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Fictional contract DOC-501</w:t>
      </w:r>
    </w:p>
    <w:p>
      <w:r>
        <w:t>The approved supplier is Vela Labs.</w:t>
      </w:r>
    </w:p>
    <w:p>
      <w:pPr>
        <w:pStyle w:val="ListBullet"/>
      </w:pPr>
      <w:r>
        <w:t>Deliver blue cases.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Price</w:t>
            </w:r>
          </w:p>
        </w:tc>
      </w:tr>
      <w:tr>
        <w:tc>
          <w:tcPr>
            <w:tcW w:type="dxa" w:w="4320"/>
          </w:tcPr>
          <w:p>
            <w:r>
              <w:t>Cases</w:t>
            </w:r>
          </w:p>
        </w:tc>
        <w:tc>
          <w:tcPr>
            <w:tcW w:type="dxa" w:w="4320"/>
          </w:tcPr>
          <w:p>
            <w:r>
              <w:t>EUR 415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828800" cy="6650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66501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