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Times New Roman" w:cs="Times New Roman" w:eastAsia="Times New Roman" w:hAnsi="Times New Roman"/>
          <w:b/>
          <w:bCs/>
          <w:color w:val="000000"/>
          <w:sz w:val="22"/>
          <w:szCs w:val="22"/>
        </w:rPr>
        <w:t xml:space="preserve">UNIVERSIDAD PRIVADA FRANZ TAMAYO</w:t>
      </w:r>
    </w:p>
    <w:p>
      <w:pPr>
        <w:spacing w:after="40" w:before="0"/>
        <w:jc w:val="center"/>
      </w:pPr>
      <w:r>
        <w:rPr>
          <w:rFonts w:ascii="Times New Roman" w:cs="Times New Roman" w:eastAsia="Times New Roman" w:hAnsi="Times New Roman"/>
          <w:b/>
          <w:bCs/>
          <w:color w:val="000000"/>
          <w:sz w:val="20"/>
          <w:szCs w:val="20"/>
        </w:rPr>
        <w:t xml:space="preserve">FACULTAD DE INGENIERÍA — INGENIERÍA DE SISTEMAS</w:t>
      </w:r>
    </w:p>
    <w:p>
      <w:pPr>
        <w:spacing w:after="60" w:before="60"/>
      </w:pPr>
      <w:r>
        <w:t xml:space="preserve"/>
      </w:r>
    </w:p>
    <w:p>
      <w:pPr>
        <w:spacing w:after="160" w:before="0"/>
        <w:jc w:val="center"/>
      </w:pPr>
      <w:r>
        <w:drawing>
          <wp:inline distT="0" distB="0" distL="0" distR="0">
            <wp:extent cx="1524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1143000"/>
                    </a:xfrm>
                    <a:prstGeom prst="rect">
                      <a:avLst/>
                    </a:prstGeom>
                  </pic:spPr>
                </pic:pic>
              </a:graphicData>
            </a:graphic>
          </wp:inline>
        </w:drawing>
      </w:r>
    </w:p>
    <w:p>
      <w:pPr>
        <w:spacing w:after="80" w:before="0"/>
        <w:jc w:val="center"/>
      </w:pPr>
      <w:r>
        <w:rPr>
          <w:rFonts w:ascii="Times New Roman" w:cs="Times New Roman" w:eastAsia="Times New Roman" w:hAnsi="Times New Roman"/>
          <w:b/>
          <w:bCs/>
          <w:color w:val="000000"/>
          <w:sz w:val="48"/>
          <w:szCs w:val="48"/>
        </w:rPr>
        <w:t xml:space="preserve">Fetal Medical Bolivia: Sistema de Historia Clínica Gineco-Obstétrica con Análisis de Ecografías mediante Redes Neuronales Convolucionales y Arquitectura de Microservicios</w:t>
      </w:r>
    </w:p>
    <w:p>
      <w:pPr>
        <w:spacing w:after="60" w:before="60"/>
      </w:pPr>
      <w:r>
        <w:t xml:space="preserve"/>
      </w:r>
    </w:p>
    <w:p>
      <w:pPr>
        <w:spacing w:after="40" w:before="0"/>
        <w:jc w:val="center"/>
      </w:pPr>
      <w:r>
        <w:rPr>
          <w:rFonts w:ascii="Times New Roman" w:cs="Times New Roman" w:eastAsia="Times New Roman" w:hAnsi="Times New Roman"/>
          <w:b/>
          <w:bCs/>
          <w:color w:val="000000"/>
          <w:sz w:val="20"/>
          <w:szCs w:val="20"/>
        </w:rPr>
        <w:t xml:space="preserve">Miguel Mirkof Becerra Guzmán</w:t>
      </w:r>
    </w:p>
    <w:p>
      <w:pPr>
        <w:spacing w:after="40" w:before="0"/>
        <w:jc w:val="center"/>
      </w:pPr>
      <w:r>
        <w:rPr>
          <w:rFonts w:ascii="Times New Roman" w:cs="Times New Roman" w:eastAsia="Times New Roman" w:hAnsi="Times New Roman"/>
          <w:color w:val="000000"/>
          <w:sz w:val="20"/>
          <w:szCs w:val="20"/>
        </w:rPr>
        <w:t xml:space="preserve">Ingeniería de Sistemas, Universidad Privada Franz Tamayo (UNIFRANZ)</w:t>
      </w:r>
    </w:p>
    <w:p>
      <w:pPr>
        <w:spacing w:after="40" w:before="0"/>
        <w:jc w:val="center"/>
      </w:pPr>
      <w:r>
        <w:rPr>
          <w:rFonts w:ascii="Times New Roman" w:cs="Times New Roman" w:eastAsia="Times New Roman" w:hAnsi="Times New Roman"/>
          <w:color w:val="000000"/>
          <w:sz w:val="20"/>
          <w:szCs w:val="20"/>
        </w:rPr>
        <w:t xml:space="preserve">La Paz, Bolivia</w:t>
      </w:r>
    </w:p>
    <w:p>
      <w:pPr>
        <w:spacing w:after="60" w:before="60"/>
      </w:pPr>
      <w:r>
        <w:t xml:space="preserve"/>
      </w:r>
    </w:p>
    <w:p>
      <w:pPr>
        <w:spacing w:after="40" w:before="0"/>
        <w:jc w:val="center"/>
      </w:pPr>
      <w:r>
        <w:rPr>
          <w:rFonts w:ascii="Times New Roman" w:cs="Times New Roman" w:eastAsia="Times New Roman" w:hAnsi="Times New Roman"/>
          <w:i/>
          <w:iCs/>
          <w:color w:val="000000"/>
          <w:sz w:val="20"/>
          <w:szCs w:val="20"/>
        </w:rPr>
        <w:t xml:space="preserve">Docente: Ing. Luis Adolfo Álvarez Guerra</w:t>
      </w:r>
    </w:p>
    <w:p>
      <w:pPr>
        <w:spacing w:after="40" w:before="0"/>
        <w:jc w:val="center"/>
      </w:pPr>
      <w:r>
        <w:rPr>
          <w:rFonts w:ascii="Times New Roman" w:cs="Times New Roman" w:eastAsia="Times New Roman" w:hAnsi="Times New Roman"/>
          <w:i/>
          <w:iCs/>
          <w:color w:val="000000"/>
          <w:sz w:val="20"/>
          <w:szCs w:val="20"/>
        </w:rPr>
        <w:t xml:space="preserve">Materia: Proyecto Integrado | Gestión I – 2026</w:t>
      </w:r>
    </w:p>
    <w:p>
      <w:pPr>
        <w:spacing w:after="60" w:before="60"/>
      </w:pPr>
      <w:r>
        <w:t xml:space="preserve"/>
      </w:r>
    </w:p>
    <w:p>
      <w:pPr>
        <w:pBdr>
          <w:bottom w:val="single" w:color="000000" w:sz="6" w:space="4"/>
        </w:pBdr>
        <w:spacing w:after="120" w:before="0"/>
      </w:pPr>
      <w:r>
        <w:t xml:space="preserve"/>
      </w:r>
    </w:p>
    <w:p>
      <w:pPr>
        <w:spacing w:after="60" w:before="0" w:line="218" w:lineRule="exact"/>
        <w:jc w:val="both"/>
      </w:pPr>
      <w:r>
        <w:rPr>
          <w:rFonts w:ascii="Times New Roman" w:cs="Times New Roman" w:eastAsia="Times New Roman" w:hAnsi="Times New Roman"/>
          <w:b/>
          <w:bCs/>
          <w:i/>
          <w:iCs/>
          <w:color w:val="000000"/>
          <w:sz w:val="20"/>
          <w:szCs w:val="20"/>
        </w:rPr>
        <w:t xml:space="preserve">Abstract</w:t>
      </w:r>
      <w:r>
        <w:rPr>
          <w:rFonts w:ascii="Times New Roman" w:cs="Times New Roman" w:eastAsia="Times New Roman" w:hAnsi="Times New Roman"/>
          <w:color w:val="000000"/>
          <w:sz w:val="20"/>
          <w:szCs w:val="20"/>
        </w:rPr>
        <w:t xml:space="preserve">—El presente trabajo expone el diseño arquitectónico completo del sistema Fetal Medical Bolivia, una plataforma web de historia clínica gineco-obstétrica con módulo de inteligencia artificial para el análisis de imágenes ecográficas mediante redes neuronales convolucionales (CNN) basadas en EfficientNet-B4 con transfer learning. El sistema opera bajo arquitectura de microservicios con Django REST Framework (backend clínico), FastAPI (servicio de inferencia ML), React 18 con TypeScript (frontend), PostgreSQL 16 (base de datos principal), servidor Orthanc para almacenamiento DICOM, y MONAI como biblioteca especializada en IA médica. El documento cubre dominio clínico gineco-obstétrico, arquitectura de software, metodología Scrum híbrida con compliance gates IEC 62304, stack tecnológico completo, modelo de datos, pipeline de ML con validación clínica, explicabilidad XAI mediante Grad-CAM y SHAP, y seguridad con cifrado AES-256 en reposo y TLS 1.3 en tránsito. El sistema está diseñado para operar en cadena de clínicas privadas en La Paz, Bolivia, con cumplimiento de normativa local (Ley 164, Ley 3131) y estándares internacionales (HL7 FHIR R4, DICOM 3.0, IEC 62304).</w:t>
      </w:r>
    </w:p>
    <w:p>
      <w:pPr>
        <w:spacing w:after="60" w:before="60"/>
      </w:pPr>
      <w:r>
        <w:t xml:space="preserve"/>
      </w:r>
    </w:p>
    <w:p>
      <w:pPr>
        <w:spacing w:after="80" w:before="0"/>
      </w:pPr>
      <w:r>
        <w:rPr>
          <w:rFonts w:ascii="Times New Roman" w:cs="Times New Roman" w:eastAsia="Times New Roman" w:hAnsi="Times New Roman"/>
          <w:i/>
          <w:iCs/>
          <w:color w:val="000000"/>
          <w:sz w:val="20"/>
          <w:szCs w:val="20"/>
        </w:rPr>
        <w:t xml:space="preserve">Index Terms</w:t>
      </w:r>
      <w:r>
        <w:rPr>
          <w:rFonts w:ascii="Times New Roman" w:cs="Times New Roman" w:eastAsia="Times New Roman" w:hAnsi="Times New Roman"/>
          <w:color w:val="000000"/>
          <w:sz w:val="20"/>
          <w:szCs w:val="20"/>
        </w:rPr>
        <w:t xml:space="preserve">—Clinical information systems, convolutional neural networks, explainable AI, Grad-CAM, gynecology and obstetrics, microservices architecture, medical image analysis, DICOM, AES-256 encryption, TLS 1.3, HL7 FHIR, Bolivia.</w:t>
      </w:r>
    </w:p>
    <w:p>
      <w:pPr>
        <w:spacing w:after="60" w:before="60"/>
      </w:pPr>
      <w:r>
        <w:t xml:space="preserve"/>
      </w:r>
    </w:p>
    <w:p>
      <w:pPr>
        <w:pBdr>
          <w:bottom w:val="single" w:color="000000" w:sz="6" w:space="4"/>
        </w:pBdr>
        <w:spacing w:after="0" w:before="0"/>
      </w:pPr>
      <w:r>
        <w:t xml:space="preserve"/>
      </w:r>
    </w:p>
    <w:p>
      <w:pPr>
        <w:sectPr>
          <w:headerReference w:type="default" r:id="rId7"/>
          <w:footerReference w:type="default" r:id="rId8"/>
          <w:type w:val="continuous"/>
          <w:pgSz w:w="12240" w:h="15840" w:orient="portrait"/>
          <w:pgMar w:top="1080" w:right="900" w:bottom="1080" w:left="900" w:header="708" w:footer="708" w:gutter="0"/>
          <w:pgNumType/>
          <w:docGrid w:linePitch="360"/>
        </w:sectPr>
      </w:pPr>
    </w:p>
    <w:p>
      <w:pPr>
        <w:spacing w:after="120" w:before="240" w:line="218" w:lineRule="exact"/>
        <w:jc w:val="center"/>
      </w:pPr>
      <w:r>
        <w:rPr>
          <w:rFonts w:ascii="Times New Roman" w:cs="Times New Roman" w:eastAsia="Times New Roman" w:hAnsi="Times New Roman"/>
          <w:b/>
          <w:bCs/>
          <w:smallCaps/>
          <w:color w:val="000000"/>
          <w:sz w:val="20"/>
          <w:szCs w:val="20"/>
        </w:rPr>
        <w:t xml:space="preserve">I. ÍNDICE DE CONTENIDOS</w:t>
      </w:r>
    </w:p>
    <w:p>
      <w:pPr>
        <w:spacing w:after="60" w:before="200" w:line="218" w:lineRule="exact"/>
        <w:jc w:val="center"/>
      </w:pPr>
      <w:r>
        <w:rPr>
          <w:rFonts w:ascii="Times New Roman" w:cs="Times New Roman" w:eastAsia="Times New Roman" w:hAnsi="Times New Roman"/>
          <w:b/>
          <w:bCs/>
          <w:color w:val="000000"/>
          <w:sz w:val="20"/>
          <w:szCs w:val="20"/>
        </w:rPr>
        <w:t xml:space="preserve"/>
      </w:r>
    </w:p>
    <w:tbl>
      <w:tblPr>
        <w:tblW w:type="dxa" w:w="350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500"/>
      </w:tblGrid>
      <w:tr>
        <w:trPr>
          <w:tblHeader/>
        </w:trPr>
        <w:tc>
          <w:tcPr>
            <w:tcW w:type="dxa" w:w="4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w:t>
            </w:r>
          </w:p>
        </w:tc>
        <w:tc>
          <w:tcPr>
            <w:tcW w:type="dxa" w:w="26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Sección</w:t>
            </w:r>
          </w:p>
        </w:tc>
        <w:tc>
          <w:tcPr>
            <w:tcW w:type="dxa" w:w="5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Pág.</w:t>
            </w:r>
          </w:p>
        </w:tc>
      </w:tr>
      <w:tr>
        <w:tc>
          <w:tcPr>
            <w:tcW w:type="dxa" w:w="4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I</w:t>
            </w:r>
          </w:p>
        </w:tc>
        <w:tc>
          <w:tcPr>
            <w:tcW w:type="dxa" w:w="26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Índice de Contenidos</w:t>
            </w:r>
          </w:p>
        </w:tc>
        <w:tc>
          <w:tcPr>
            <w:tcW w:type="dxa" w:w="5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1</w:t>
            </w:r>
          </w:p>
        </w:tc>
      </w:tr>
      <w:tr>
        <w:tc>
          <w:tcPr>
            <w:tcW w:type="dxa" w:w="4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II</w:t>
            </w:r>
          </w:p>
        </w:tc>
        <w:tc>
          <w:tcPr>
            <w:tcW w:type="dxa" w:w="26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Introducción</w:t>
            </w:r>
          </w:p>
        </w:tc>
        <w:tc>
          <w:tcPr>
            <w:tcW w:type="dxa" w:w="5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1</w:t>
            </w:r>
          </w:p>
        </w:tc>
      </w:tr>
      <w:tr>
        <w:tc>
          <w:tcPr>
            <w:tcW w:type="dxa" w:w="4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III</w:t>
            </w:r>
          </w:p>
        </w:tc>
        <w:tc>
          <w:tcPr>
            <w:tcW w:type="dxa" w:w="26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Dominio Clínico y Contexto</w:t>
            </w:r>
          </w:p>
        </w:tc>
        <w:tc>
          <w:tcPr>
            <w:tcW w:type="dxa" w:w="5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2</w:t>
            </w:r>
          </w:p>
        </w:tc>
      </w:tr>
      <w:tr>
        <w:tc>
          <w:tcPr>
            <w:tcW w:type="dxa" w:w="4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IV</w:t>
            </w:r>
          </w:p>
        </w:tc>
        <w:tc>
          <w:tcPr>
            <w:tcW w:type="dxa" w:w="26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Arquitectura del Sistema</w:t>
            </w:r>
          </w:p>
        </w:tc>
        <w:tc>
          <w:tcPr>
            <w:tcW w:type="dxa" w:w="5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3</w:t>
            </w:r>
          </w:p>
        </w:tc>
      </w:tr>
      <w:tr>
        <w:tc>
          <w:tcPr>
            <w:tcW w:type="dxa" w:w="4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V</w:t>
            </w:r>
          </w:p>
        </w:tc>
        <w:tc>
          <w:tcPr>
            <w:tcW w:type="dxa" w:w="26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Metodología de Desarrollo</w:t>
            </w:r>
          </w:p>
        </w:tc>
        <w:tc>
          <w:tcPr>
            <w:tcW w:type="dxa" w:w="5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5</w:t>
            </w:r>
          </w:p>
        </w:tc>
      </w:tr>
      <w:tr>
        <w:tc>
          <w:tcPr>
            <w:tcW w:type="dxa" w:w="4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VI</w:t>
            </w:r>
          </w:p>
        </w:tc>
        <w:tc>
          <w:tcPr>
            <w:tcW w:type="dxa" w:w="26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Stack Tecnológico</w:t>
            </w:r>
          </w:p>
        </w:tc>
        <w:tc>
          <w:tcPr>
            <w:tcW w:type="dxa" w:w="5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6</w:t>
            </w:r>
          </w:p>
        </w:tc>
      </w:tr>
      <w:tr>
        <w:tc>
          <w:tcPr>
            <w:tcW w:type="dxa" w:w="4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VII</w:t>
            </w:r>
          </w:p>
        </w:tc>
        <w:tc>
          <w:tcPr>
            <w:tcW w:type="dxa" w:w="26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Modelo de Datos</w:t>
            </w:r>
          </w:p>
        </w:tc>
        <w:tc>
          <w:tcPr>
            <w:tcW w:type="dxa" w:w="5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7</w:t>
            </w:r>
          </w:p>
        </w:tc>
      </w:tr>
      <w:tr>
        <w:tc>
          <w:tcPr>
            <w:tcW w:type="dxa" w:w="4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VIII</w:t>
            </w:r>
          </w:p>
        </w:tc>
        <w:tc>
          <w:tcPr>
            <w:tcW w:type="dxa" w:w="26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Componente de IA y CNN</w:t>
            </w:r>
          </w:p>
        </w:tc>
        <w:tc>
          <w:tcPr>
            <w:tcW w:type="dxa" w:w="5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8</w:t>
            </w:r>
          </w:p>
        </w:tc>
      </w:tr>
      <w:tr>
        <w:tc>
          <w:tcPr>
            <w:tcW w:type="dxa" w:w="4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IX</w:t>
            </w:r>
          </w:p>
        </w:tc>
        <w:tc>
          <w:tcPr>
            <w:tcW w:type="dxa" w:w="26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Explicabilidad XAI: Grad-CAM y SHAP</w:t>
            </w:r>
          </w:p>
        </w:tc>
        <w:tc>
          <w:tcPr>
            <w:tcW w:type="dxa" w:w="5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10</w:t>
            </w:r>
          </w:p>
        </w:tc>
      </w:tr>
      <w:tr>
        <w:tc>
          <w:tcPr>
            <w:tcW w:type="dxa" w:w="4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X</w:t>
            </w:r>
          </w:p>
        </w:tc>
        <w:tc>
          <w:tcPr>
            <w:tcW w:type="dxa" w:w="26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Seguridad y Cifrado</w:t>
            </w:r>
          </w:p>
        </w:tc>
        <w:tc>
          <w:tcPr>
            <w:tcW w:type="dxa" w:w="5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11</w:t>
            </w:r>
          </w:p>
        </w:tc>
      </w:tr>
      <w:tr>
        <w:tc>
          <w:tcPr>
            <w:tcW w:type="dxa" w:w="4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XI</w:t>
            </w:r>
          </w:p>
        </w:tc>
        <w:tc>
          <w:tcPr>
            <w:tcW w:type="dxa" w:w="26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Plan de Construcción</w:t>
            </w:r>
          </w:p>
        </w:tc>
        <w:tc>
          <w:tcPr>
            <w:tcW w:type="dxa" w:w="5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13</w:t>
            </w:r>
          </w:p>
        </w:tc>
      </w:tr>
      <w:tr>
        <w:tc>
          <w:tcPr>
            <w:tcW w:type="dxa" w:w="4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XII</w:t>
            </w:r>
          </w:p>
        </w:tc>
        <w:tc>
          <w:tcPr>
            <w:tcW w:type="dxa" w:w="26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Validación y Calidad</w:t>
            </w:r>
          </w:p>
        </w:tc>
        <w:tc>
          <w:tcPr>
            <w:tcW w:type="dxa" w:w="5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14</w:t>
            </w:r>
          </w:p>
        </w:tc>
      </w:tr>
      <w:tr>
        <w:tc>
          <w:tcPr>
            <w:tcW w:type="dxa" w:w="4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XIII</w:t>
            </w:r>
          </w:p>
        </w:tc>
        <w:tc>
          <w:tcPr>
            <w:tcW w:type="dxa" w:w="26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Conclusiones</w:t>
            </w:r>
          </w:p>
        </w:tc>
        <w:tc>
          <w:tcPr>
            <w:tcW w:type="dxa" w:w="5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15</w:t>
            </w:r>
          </w:p>
        </w:tc>
      </w:tr>
      <w:tr>
        <w:tc>
          <w:tcPr>
            <w:tcW w:type="dxa" w:w="4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
            </w:r>
          </w:p>
        </w:tc>
        <w:tc>
          <w:tcPr>
            <w:tcW w:type="dxa" w:w="26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Referencias</w:t>
            </w:r>
          </w:p>
        </w:tc>
        <w:tc>
          <w:tcPr>
            <w:tcW w:type="dxa" w:w="5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16</w:t>
            </w:r>
          </w:p>
        </w:tc>
      </w:tr>
    </w:tbl>
    <w:p>
      <w:pPr>
        <w:spacing w:after="60" w:before="60"/>
      </w:pPr>
      <w:r>
        <w:t xml:space="preserve"/>
      </w:r>
    </w:p>
    <w:p>
      <w:pPr>
        <w:spacing w:after="120" w:before="240" w:line="218" w:lineRule="exact"/>
        <w:jc w:val="center"/>
      </w:pPr>
      <w:r>
        <w:rPr>
          <w:rFonts w:ascii="Times New Roman" w:cs="Times New Roman" w:eastAsia="Times New Roman" w:hAnsi="Times New Roman"/>
          <w:b/>
          <w:bCs/>
          <w:smallCaps/>
          <w:color w:val="000000"/>
          <w:sz w:val="20"/>
          <w:szCs w:val="20"/>
        </w:rPr>
        <w:t xml:space="preserve">II. INTRODUCCIÓN</w:t>
      </w:r>
    </w:p>
    <w:p>
      <w:pPr>
        <w:spacing w:after="80" w:before="0" w:line="218" w:lineRule="exact"/>
        <w:ind w:firstLine="360"/>
        <w:jc w:val="both"/>
      </w:pPr>
      <w:r>
        <w:rPr>
          <w:rFonts w:ascii="Times New Roman" w:cs="Times New Roman" w:eastAsia="Times New Roman" w:hAnsi="Times New Roman"/>
          <w:color w:val="000000"/>
          <w:sz w:val="20"/>
          <w:szCs w:val="20"/>
        </w:rPr>
        <w:t xml:space="preserve">La gestión de historias clínicas en ginecología y obstetricia representa uno de los dominios de mayor criticidad en sistemas de información médica. Un error en el registro de antecedentes obstétricos, una anomalía fetal no detectada a tiempo, o un cálculo incorrecto de la edad gestacional pueden derivar en consecuencias fatales para la madre o el feto [1]. En Bolivia, el crecimiento de clínicas privadas especializadas en salud materno-fetal ha generado una necesidad urgente de sistemas digitales que no solo gestionen la historia clínica, sino que aporten valor diagnóstico mediante inteligencia artificial.</w:t>
      </w:r>
    </w:p>
    <w:p>
      <w:pPr>
        <w:spacing w:after="80" w:before="0" w:line="218" w:lineRule="exact"/>
        <w:ind w:firstLine="360"/>
        <w:jc w:val="both"/>
      </w:pPr>
      <w:r>
        <w:rPr>
          <w:rFonts w:ascii="Times New Roman" w:cs="Times New Roman" w:eastAsia="Times New Roman" w:hAnsi="Times New Roman"/>
          <w:color w:val="000000"/>
          <w:sz w:val="20"/>
          <w:szCs w:val="20"/>
        </w:rPr>
        <w:t xml:space="preserve">Fetal Medical Bolivia es una plataforma web diseñada para operar en cadena de clínicas privadas en La Paz, Bolivia, con las siguientes capacidades nucleares: (1) historia clínica gineco-obstétrica completa multi-sucursal, (2) gestión de laboratorios clínicos integrados, (3) almacenamiento y visualización de ecografías en formato DICOM, y (4) análisis automático de imágenes ecográficas mediante CNN para detección de patologías fetales y maternas. Este documento expone el diseño completo del sistema, cubriendo todos los aspectos que un proyecto de ingeniería médica real requiere: arquitectura, metodología, IA, seguridad y normativa.</w:t>
      </w:r>
    </w:p>
    <w:p>
      <w:pPr>
        <w:spacing w:after="60" w:before="60"/>
      </w:pPr>
      <w:r>
        <w:t xml:space="preserve"/>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A. Objetivos del Trabajo</w:t>
      </w:r>
    </w:p>
    <w:p>
      <w:pPr>
        <w:spacing w:after="40" w:before="0" w:line="218" w:lineRule="exact"/>
        <w:ind w:left="360" w:hanging="240"/>
        <w:jc w:val="both"/>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b w:val="false"/>
          <w:bCs w:val="false"/>
          <w:color w:val="000000"/>
          <w:sz w:val="20"/>
          <w:szCs w:val="20"/>
        </w:rPr>
        <w:t xml:space="preserve">Diseñar una arquitectura de microservicios escalable para historia clínica gineco-obstétrica multi-tenant en Bolivia.</w:t>
      </w:r>
    </w:p>
    <w:p>
      <w:pPr>
        <w:spacing w:after="40" w:before="0" w:line="218" w:lineRule="exact"/>
        <w:ind w:left="360" w:hanging="240"/>
        <w:jc w:val="both"/>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b w:val="false"/>
          <w:bCs w:val="false"/>
          <w:color w:val="000000"/>
          <w:sz w:val="20"/>
          <w:szCs w:val="20"/>
        </w:rPr>
        <w:t xml:space="preserve">Integrar un pipeline CNN (EfficientNet-B4 + MONAI) para análisis automático de ecografías con explicabilidad Grad-CAM obligatoria.</w:t>
      </w:r>
    </w:p>
    <w:p>
      <w:pPr>
        <w:spacing w:after="40" w:before="0" w:line="218" w:lineRule="exact"/>
        <w:ind w:left="360" w:hanging="240"/>
        <w:jc w:val="both"/>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b w:val="false"/>
          <w:bCs w:val="false"/>
          <w:color w:val="000000"/>
          <w:sz w:val="20"/>
          <w:szCs w:val="20"/>
        </w:rPr>
        <w:t xml:space="preserve">Garantizar seguridad de datos clínicos con AES-256 en reposo y TLS 1.3 en tránsito, cumpliendo Ley 164 de Bolivia.</w:t>
      </w:r>
    </w:p>
    <w:p>
      <w:pPr>
        <w:spacing w:after="40" w:before="0" w:line="218" w:lineRule="exact"/>
        <w:ind w:left="360" w:hanging="240"/>
        <w:jc w:val="both"/>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b w:val="false"/>
          <w:bCs w:val="false"/>
          <w:color w:val="000000"/>
          <w:sz w:val="20"/>
          <w:szCs w:val="20"/>
        </w:rPr>
        <w:t xml:space="preserve">Definir un plan de construcción ejecutable con metodología Scrum híbrida y compliance IEC 62304.</w:t>
      </w:r>
    </w:p>
    <w:p>
      <w:pPr>
        <w:spacing w:after="60" w:before="60"/>
      </w:pPr>
      <w:r>
        <w:t xml:space="preserve"/>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B. Alcance</w:t>
      </w:r>
    </w:p>
    <w:p>
      <w:pPr>
        <w:spacing w:after="80" w:before="0" w:line="218" w:lineRule="exact"/>
        <w:ind w:firstLine="360"/>
        <w:jc w:val="both"/>
      </w:pPr>
      <w:r>
        <w:rPr>
          <w:rFonts w:ascii="Times New Roman" w:cs="Times New Roman" w:eastAsia="Times New Roman" w:hAnsi="Times New Roman"/>
          <w:color w:val="000000"/>
          <w:sz w:val="20"/>
          <w:szCs w:val="20"/>
        </w:rPr>
        <w:t xml:space="preserve">El sistema abarca: módulo clínico (consultas, historia, CPN), módulo de laboratorio, módulo DICOM con visor OHIF, módulo de IA (CNN + XAI), módulo administrativo multi-sucursal, y módulo de seguridad. Opera con ~250 pacientes/día en múltiples sucursales simultáneas con un administrador central y N médicos/enfermeros registrados por clínica.</w:t>
      </w:r>
    </w:p>
    <w:p>
      <w:pPr>
        <w:spacing w:after="60" w:before="60"/>
      </w:pPr>
      <w:r>
        <w:t xml:space="preserve"/>
      </w:r>
    </w:p>
    <w:p>
      <w:pPr>
        <w:spacing w:after="120" w:before="240" w:line="218" w:lineRule="exact"/>
        <w:jc w:val="center"/>
      </w:pPr>
      <w:r>
        <w:rPr>
          <w:rFonts w:ascii="Times New Roman" w:cs="Times New Roman" w:eastAsia="Times New Roman" w:hAnsi="Times New Roman"/>
          <w:b/>
          <w:bCs/>
          <w:smallCaps/>
          <w:color w:val="000000"/>
          <w:sz w:val="20"/>
          <w:szCs w:val="20"/>
        </w:rPr>
        <w:t xml:space="preserve">III. DOMINIO CLÍNICO Y CONTEXTO</w:t>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A. Conocimiento del Dominio</w:t>
      </w:r>
    </w:p>
    <w:p>
      <w:pPr>
        <w:spacing w:after="80" w:before="0" w:line="218" w:lineRule="exact"/>
        <w:ind w:firstLine="360"/>
        <w:jc w:val="both"/>
      </w:pPr>
      <w:r>
        <w:rPr>
          <w:rFonts w:ascii="Times New Roman" w:cs="Times New Roman" w:eastAsia="Times New Roman" w:hAnsi="Times New Roman"/>
          <w:color w:val="000000"/>
          <w:sz w:val="20"/>
          <w:szCs w:val="20"/>
        </w:rPr>
        <w:t xml:space="preserve">La ginecología y obstetricia es la especialidad médica que abarca el sistema reproductor femenino y la gestión del embarazo, parto y puerperio. Sommerville [2] clasifica los sistemas de información en este dominio como safety-critical software, para los cuales el nivel de rigor metodológico y de verificación debe ser significativamente superior al software comercial estándar, dado que los fallos pueden resultar en pérdida de vida.</w:t>
      </w:r>
    </w:p>
    <w:p>
      <w:pPr>
        <w:spacing w:after="80" w:before="0" w:line="218" w:lineRule="exact"/>
        <w:ind w:firstLine="360"/>
        <w:jc w:val="both"/>
      </w:pPr>
      <w:r>
        <w:rPr>
          <w:rFonts w:ascii="Times New Roman" w:cs="Times New Roman" w:eastAsia="Times New Roman" w:hAnsi="Times New Roman"/>
          <w:color w:val="000000"/>
          <w:sz w:val="20"/>
          <w:szCs w:val="20"/>
        </w:rPr>
        <w:t xml:space="preserve">El ingeniero de sistemas debe comprender que en Bolivia el ejercicio médico está regulado por la Ley 3131 (Ley del Ejercicio Profesional Médico, 2005) [3], que todo sistema de apoyo diagnóstico tiene implicaciones legales directas, y que el módulo de IA del sistema es soporte diagnóstico —no sustituto del juicio clínico— siendo el médico el único responsable del diagnóstico final.</w:t>
      </w:r>
    </w:p>
    <w:p>
      <w:pPr>
        <w:spacing w:after="60" w:before="60"/>
      </w:pPr>
      <w:r>
        <w:t xml:space="preserve"/>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B. Terminología Estándar</w:t>
      </w:r>
    </w:p>
    <w:p>
      <w:pPr>
        <w:spacing w:after="60" w:before="200" w:line="218" w:lineRule="exact"/>
        <w:jc w:val="center"/>
      </w:pPr>
      <w:r>
        <w:rPr>
          <w:rFonts w:ascii="Times New Roman" w:cs="Times New Roman" w:eastAsia="Times New Roman" w:hAnsi="Times New Roman"/>
          <w:b/>
          <w:bCs/>
          <w:color w:val="000000"/>
          <w:sz w:val="20"/>
          <w:szCs w:val="20"/>
        </w:rPr>
        <w:t xml:space="preserve">TABLE I — Terminología Gineco-Obstétrica Aplicable</w:t>
      </w:r>
    </w:p>
    <w:tbl>
      <w:tblPr>
        <w:tblW w:type="dxa" w:w="4260"/>
        <w:tblBorders>
          <w:top w:val="single" w:color="auto" w:sz="4"/>
          <w:left w:val="single" w:color="auto" w:sz="4"/>
          <w:bottom w:val="single" w:color="auto" w:sz="4"/>
          <w:right w:val="single" w:color="auto" w:sz="4"/>
          <w:insideH w:val="single" w:color="auto" w:sz="4"/>
          <w:insideV w:val="single" w:color="auto" w:sz="4"/>
        </w:tblBorders>
      </w:tblPr>
      <w:tblGrid>
        <w:gridCol w:w="1800"/>
        <w:gridCol w:w="2460"/>
      </w:tblGrid>
      <w:tr>
        <w:trPr>
          <w:tblHeader/>
        </w:trPr>
        <w:tc>
          <w:tcPr>
            <w:tcW w:type="dxa" w:w="18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Término</w:t>
            </w:r>
          </w:p>
        </w:tc>
        <w:tc>
          <w:tcPr>
            <w:tcW w:type="dxa" w:w="246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Definición</w:t>
            </w:r>
          </w:p>
        </w:tc>
      </w:tr>
      <w:tr>
        <w:tc>
          <w:tcPr>
            <w:tcW w:type="dxa" w:w="18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Ecografía obstétrica</w:t>
            </w:r>
          </w:p>
        </w:tc>
        <w:tc>
          <w:tcPr>
            <w:tcW w:type="dxa" w:w="24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Estudio ultrasonográfico fetal, placentario y de líquido amniótico</w:t>
            </w:r>
          </w:p>
        </w:tc>
      </w:tr>
      <w:tr>
        <w:tc>
          <w:tcPr>
            <w:tcW w:type="dxa" w:w="18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Biometría fetal</w:t>
            </w:r>
          </w:p>
        </w:tc>
        <w:tc>
          <w:tcPr>
            <w:tcW w:type="dxa" w:w="24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BPD, HC, AC, FL — mediciones estándar de crecimiento fetal</w:t>
            </w:r>
          </w:p>
        </w:tc>
      </w:tr>
      <w:tr>
        <w:tc>
          <w:tcPr>
            <w:tcW w:type="dxa" w:w="18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RCIU</w:t>
            </w:r>
          </w:p>
        </w:tc>
        <w:tc>
          <w:tcPr>
            <w:tcW w:type="dxa" w:w="24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Restricción del Crecimiento Intrauterino: peso fetal &lt;P10</w:t>
            </w:r>
          </w:p>
        </w:tc>
      </w:tr>
      <w:tr>
        <w:tc>
          <w:tcPr>
            <w:tcW w:type="dxa" w:w="18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Preeclampsia</w:t>
            </w:r>
          </w:p>
        </w:tc>
        <w:tc>
          <w:tcPr>
            <w:tcW w:type="dxa" w:w="24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PA ≥140/90 + proteinuria ≥300 mg/24h en gestante</w:t>
            </w:r>
          </w:p>
        </w:tc>
      </w:tr>
      <w:tr>
        <w:tc>
          <w:tcPr>
            <w:tcW w:type="dxa" w:w="18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Eclampsia</w:t>
            </w:r>
          </w:p>
        </w:tc>
        <w:tc>
          <w:tcPr>
            <w:tcW w:type="dxa" w:w="24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Preeclampsia + convulsiones. Emergencia obstétrica máxima</w:t>
            </w:r>
          </w:p>
        </w:tc>
      </w:tr>
      <w:tr>
        <w:tc>
          <w:tcPr>
            <w:tcW w:type="dxa" w:w="18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EG</w:t>
            </w:r>
          </w:p>
        </w:tc>
        <w:tc>
          <w:tcPr>
            <w:tcW w:type="dxa" w:w="24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Edad Gestacional en semanas desde la FUM o biometría</w:t>
            </w:r>
          </w:p>
        </w:tc>
      </w:tr>
      <w:tr>
        <w:tc>
          <w:tcPr>
            <w:tcW w:type="dxa" w:w="18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GPAC</w:t>
            </w:r>
          </w:p>
        </w:tc>
        <w:tc>
          <w:tcPr>
            <w:tcW w:type="dxa" w:w="24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Código obstétrico: Gestas-Partos-Abortos-Cesáreas</w:t>
            </w:r>
          </w:p>
        </w:tc>
      </w:tr>
      <w:tr>
        <w:tc>
          <w:tcPr>
            <w:tcW w:type="dxa" w:w="18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CIE-10</w:t>
            </w:r>
          </w:p>
        </w:tc>
        <w:tc>
          <w:tcPr>
            <w:tcW w:type="dxa" w:w="24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Clasificación Internacional de Enfermedades 10.ª rev. (OMS)</w:t>
            </w:r>
          </w:p>
        </w:tc>
      </w:tr>
      <w:tr>
        <w:tc>
          <w:tcPr>
            <w:tcW w:type="dxa" w:w="18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FHIR</w:t>
            </w:r>
          </w:p>
        </w:tc>
        <w:tc>
          <w:tcPr>
            <w:tcW w:type="dxa" w:w="24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Fast Healthcare Interoperability Resources — estándar HL7</w:t>
            </w:r>
          </w:p>
        </w:tc>
      </w:tr>
      <w:tr>
        <w:tc>
          <w:tcPr>
            <w:tcW w:type="dxa" w:w="18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DICOM</w:t>
            </w:r>
          </w:p>
        </w:tc>
        <w:tc>
          <w:tcPr>
            <w:tcW w:type="dxa" w:w="24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Estándar ISO 12052 para imágenes médicas digitales</w:t>
            </w:r>
          </w:p>
        </w:tc>
      </w:tr>
      <w:tr>
        <w:tc>
          <w:tcPr>
            <w:tcW w:type="dxa" w:w="18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PACS</w:t>
            </w:r>
          </w:p>
        </w:tc>
        <w:tc>
          <w:tcPr>
            <w:tcW w:type="dxa" w:w="24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Picture Archiving and Communication System</w:t>
            </w:r>
          </w:p>
        </w:tc>
      </w:tr>
    </w:tbl>
    <w:p>
      <w:pPr>
        <w:spacing w:after="80" w:before="40" w:line="218" w:lineRule="exact"/>
      </w:pPr>
      <w:r>
        <w:rPr>
          <w:rFonts w:ascii="Times New Roman" w:cs="Times New Roman" w:eastAsia="Times New Roman" w:hAnsi="Times New Roman"/>
          <w:i/>
          <w:iCs/>
          <w:color w:val="000000"/>
          <w:sz w:val="16"/>
          <w:szCs w:val="16"/>
        </w:rPr>
        <w:t xml:space="preserve">Note. </w:t>
      </w:r>
      <w:r>
        <w:rPr>
          <w:rFonts w:ascii="Times New Roman" w:cs="Times New Roman" w:eastAsia="Times New Roman" w:hAnsi="Times New Roman"/>
          <w:color w:val="000000"/>
          <w:sz w:val="16"/>
          <w:szCs w:val="16"/>
        </w:rPr>
        <w:t xml:space="preserve">Fuentes: OMS (2022), FIGO (2021), IEEE Std 11073.</w:t>
      </w:r>
    </w:p>
    <w:p>
      <w:pPr>
        <w:spacing w:after="60" w:before="60"/>
      </w:pPr>
      <w:r>
        <w:t xml:space="preserve"/>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C. Actores del Sistema</w:t>
      </w:r>
    </w:p>
    <w:p>
      <w:pPr>
        <w:spacing w:after="60" w:before="200" w:line="218" w:lineRule="exact"/>
        <w:jc w:val="center"/>
      </w:pPr>
      <w:r>
        <w:rPr>
          <w:rFonts w:ascii="Times New Roman" w:cs="Times New Roman" w:eastAsia="Times New Roman" w:hAnsi="Times New Roman"/>
          <w:b/>
          <w:bCs/>
          <w:color w:val="000000"/>
          <w:sz w:val="20"/>
          <w:szCs w:val="20"/>
        </w:rPr>
        <w:t xml:space="preserve">TABLE II — Actores y Permisos RBAC</w:t>
      </w:r>
    </w:p>
    <w:tbl>
      <w:tblPr>
        <w:tblW w:type="dxa" w:w="42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860"/>
      </w:tblGrid>
      <w:tr>
        <w:trPr>
          <w:tblHeader/>
        </w:trPr>
        <w:tc>
          <w:tcPr>
            <w:tcW w:type="dxa" w:w="15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Actor</w:t>
            </w:r>
          </w:p>
        </w:tc>
        <w:tc>
          <w:tcPr>
            <w:tcW w:type="dxa" w:w="19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Permisos</w:t>
            </w:r>
          </w:p>
        </w:tc>
        <w:tc>
          <w:tcPr>
            <w:tcW w:type="dxa" w:w="86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Objetivo</w:t>
            </w:r>
          </w:p>
        </w:tc>
      </w:tr>
      <w:tr>
        <w:tc>
          <w:tcPr>
            <w:tcW w:type="dxa" w:w="15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Admin General</w:t>
            </w:r>
          </w:p>
        </w:tc>
        <w:tc>
          <w:tcPr>
            <w:tcW w:type="dxa" w:w="19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CRUD total, multi-sucursal</w:t>
            </w:r>
          </w:p>
        </w:tc>
        <w:tc>
          <w:tcPr>
            <w:tcW w:type="dxa" w:w="8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Control operativo cadena</w:t>
            </w:r>
          </w:p>
        </w:tc>
      </w:tr>
      <w:tr>
        <w:tc>
          <w:tcPr>
            <w:tcW w:type="dxa" w:w="15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Médico Especialista</w:t>
            </w:r>
          </w:p>
        </w:tc>
        <w:tc>
          <w:tcPr>
            <w:tcW w:type="dxa" w:w="19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Historia clínica, lab, IA, prescripción</w:t>
            </w:r>
          </w:p>
        </w:tc>
        <w:tc>
          <w:tcPr>
            <w:tcW w:type="dxa" w:w="8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Diagnóstico y tratamiento</w:t>
            </w:r>
          </w:p>
        </w:tc>
      </w:tr>
      <w:tr>
        <w:tc>
          <w:tcPr>
            <w:tcW w:type="dxa" w:w="15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Médico Laboratorio</w:t>
            </w:r>
          </w:p>
        </w:tc>
        <w:tc>
          <w:tcPr>
            <w:tcW w:type="dxa" w:w="19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DICOM, resultados, órdenes</w:t>
            </w:r>
          </w:p>
        </w:tc>
        <w:tc>
          <w:tcPr>
            <w:tcW w:type="dxa" w:w="8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Análisis de imágenes</w:t>
            </w:r>
          </w:p>
        </w:tc>
      </w:tr>
      <w:tr>
        <w:tc>
          <w:tcPr>
            <w:tcW w:type="dxa" w:w="15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Enfermera</w:t>
            </w:r>
          </w:p>
        </w:tc>
        <w:tc>
          <w:tcPr>
            <w:tcW w:type="dxa" w:w="19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Signos vitales, notas (sin diagnóstico)</w:t>
            </w:r>
          </w:p>
        </w:tc>
        <w:tc>
          <w:tcPr>
            <w:tcW w:type="dxa" w:w="8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Cuidado del paciente</w:t>
            </w:r>
          </w:p>
        </w:tc>
      </w:tr>
      <w:tr>
        <w:tc>
          <w:tcPr>
            <w:tcW w:type="dxa" w:w="15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Recepcionista</w:t>
            </w:r>
          </w:p>
        </w:tc>
        <w:tc>
          <w:tcPr>
            <w:tcW w:type="dxa" w:w="19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Pacientes, citas, facturación</w:t>
            </w:r>
          </w:p>
        </w:tc>
        <w:tc>
          <w:tcPr>
            <w:tcW w:type="dxa" w:w="8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Operación administrativa</w:t>
            </w:r>
          </w:p>
        </w:tc>
      </w:tr>
    </w:tbl>
    <w:p>
      <w:pPr>
        <w:spacing w:after="80" w:before="40" w:line="218" w:lineRule="exact"/>
      </w:pPr>
      <w:r>
        <w:rPr>
          <w:rFonts w:ascii="Times New Roman" w:cs="Times New Roman" w:eastAsia="Times New Roman" w:hAnsi="Times New Roman"/>
          <w:i/>
          <w:iCs/>
          <w:color w:val="000000"/>
          <w:sz w:val="16"/>
          <w:szCs w:val="16"/>
        </w:rPr>
        <w:t xml:space="preserve">Note. </w:t>
      </w:r>
      <w:r>
        <w:rPr>
          <w:rFonts w:ascii="Times New Roman" w:cs="Times New Roman" w:eastAsia="Times New Roman" w:hAnsi="Times New Roman"/>
          <w:color w:val="000000"/>
          <w:sz w:val="16"/>
          <w:szCs w:val="16"/>
        </w:rPr>
        <w:t xml:space="preserve">RBAC implementado con django-guardian y validación en API Gateway Kong.</w:t>
      </w:r>
    </w:p>
    <w:p>
      <w:pPr>
        <w:spacing w:after="60" w:before="60"/>
      </w:pPr>
      <w:r>
        <w:t xml:space="preserve"/>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D. Normativa Legal Bolivia</w:t>
      </w:r>
    </w:p>
    <w:p>
      <w:pPr>
        <w:spacing w:after="60" w:before="200" w:line="218" w:lineRule="exact"/>
        <w:jc w:val="center"/>
      </w:pPr>
      <w:r>
        <w:rPr>
          <w:rFonts w:ascii="Times New Roman" w:cs="Times New Roman" w:eastAsia="Times New Roman" w:hAnsi="Times New Roman"/>
          <w:b/>
          <w:bCs/>
          <w:color w:val="000000"/>
          <w:sz w:val="20"/>
          <w:szCs w:val="20"/>
        </w:rPr>
        <w:t xml:space="preserve">TABLE III — Marco Normativo Aplicable</w:t>
      </w:r>
    </w:p>
    <w:tbl>
      <w:tblPr>
        <w:tblW w:type="dxa" w:w="4260"/>
        <w:tblBorders>
          <w:top w:val="single" w:color="auto" w:sz="4"/>
          <w:left w:val="single" w:color="auto" w:sz="4"/>
          <w:bottom w:val="single" w:color="auto" w:sz="4"/>
          <w:right w:val="single" w:color="auto" w:sz="4"/>
          <w:insideH w:val="single" w:color="auto" w:sz="4"/>
          <w:insideV w:val="single" w:color="auto" w:sz="4"/>
        </w:tblBorders>
      </w:tblPr>
      <w:tblGrid>
        <w:gridCol w:w="1700"/>
        <w:gridCol w:w="2560"/>
      </w:tblGrid>
      <w:tr>
        <w:trPr>
          <w:tblHeader/>
        </w:trPr>
        <w:tc>
          <w:tcPr>
            <w:tcW w:type="dxa" w:w="17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Normativa</w:t>
            </w:r>
          </w:p>
        </w:tc>
        <w:tc>
          <w:tcPr>
            <w:tcW w:type="dxa" w:w="256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Impacto en el Sistema</w:t>
            </w:r>
          </w:p>
        </w:tc>
      </w:tr>
      <w:tr>
        <w:tc>
          <w:tcPr>
            <w:tcW w:type="dxa" w:w="17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Ley 3131 (2005)</w:t>
            </w:r>
          </w:p>
        </w:tc>
        <w:tc>
          <w:tcPr>
            <w:tcW w:type="dxa" w:w="25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Diagnóstico firmado digitalmente por médico habilitado</w:t>
            </w:r>
          </w:p>
        </w:tc>
      </w:tr>
      <w:tr>
        <w:tc>
          <w:tcPr>
            <w:tcW w:type="dxa" w:w="17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Ley 164 (2011)</w:t>
            </w:r>
          </w:p>
        </w:tc>
        <w:tc>
          <w:tcPr>
            <w:tcW w:type="dxa" w:w="25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Cifrado obligatorio, consentimiento informado, datos en Bolivia</w:t>
            </w:r>
          </w:p>
        </w:tc>
      </w:tr>
      <w:tr>
        <w:tc>
          <w:tcPr>
            <w:tcW w:type="dxa" w:w="17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DS 1793 (2013)</w:t>
            </w:r>
          </w:p>
        </w:tc>
        <w:tc>
          <w:tcPr>
            <w:tcW w:type="dxa" w:w="25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Retención mínima 10 años de datos médicos</w:t>
            </w:r>
          </w:p>
        </w:tc>
      </w:tr>
      <w:tr>
        <w:tc>
          <w:tcPr>
            <w:tcW w:type="dxa" w:w="17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RM 1328</w:t>
            </w:r>
          </w:p>
        </w:tc>
        <w:tc>
          <w:tcPr>
            <w:tcW w:type="dxa" w:w="25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Historia clínica inmutable, firmada, valor legal</w:t>
            </w:r>
          </w:p>
        </w:tc>
      </w:tr>
      <w:tr>
        <w:tc>
          <w:tcPr>
            <w:tcW w:type="dxa" w:w="17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IEC 62304:2006</w:t>
            </w:r>
          </w:p>
        </w:tc>
        <w:tc>
          <w:tcPr>
            <w:tcW w:type="dxa" w:w="25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Ciclo de vida software médico, trazabilidad</w:t>
            </w:r>
          </w:p>
        </w:tc>
      </w:tr>
      <w:tr>
        <w:tc>
          <w:tcPr>
            <w:tcW w:type="dxa" w:w="17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HL7 FHIR R4</w:t>
            </w:r>
          </w:p>
        </w:tc>
        <w:tc>
          <w:tcPr>
            <w:tcW w:type="dxa" w:w="25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Interoperabilidad clínica internacional</w:t>
            </w:r>
          </w:p>
        </w:tc>
      </w:tr>
      <w:tr>
        <w:tc>
          <w:tcPr>
            <w:tcW w:type="dxa" w:w="17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ISO/IEC 27001:2022</w:t>
            </w:r>
          </w:p>
        </w:tc>
        <w:tc>
          <w:tcPr>
            <w:tcW w:type="dxa" w:w="25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Gestión de seguridad de la información</w:t>
            </w:r>
          </w:p>
        </w:tc>
      </w:tr>
      <w:tr>
        <w:tc>
          <w:tcPr>
            <w:tcW w:type="dxa" w:w="17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DICOM 3.0 (NEMA)</w:t>
            </w:r>
          </w:p>
        </w:tc>
        <w:tc>
          <w:tcPr>
            <w:tcW w:type="dxa" w:w="25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Almacenamiento y transmisión de ecografías</w:t>
            </w:r>
          </w:p>
        </w:tc>
      </w:tr>
    </w:tbl>
    <w:p>
      <w:pPr>
        <w:spacing w:after="60" w:before="60"/>
      </w:pPr>
      <w:r>
        <w:t xml:space="preserve"/>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E. Flujo de Trabajo Clínico Real</w:t>
      </w:r>
    </w:p>
    <w:p>
      <w:pPr>
        <w:spacing w:after="80" w:before="0" w:line="218" w:lineRule="exact"/>
        <w:ind w:firstLine="360"/>
        <w:jc w:val="both"/>
      </w:pPr>
      <w:r>
        <w:rPr>
          <w:rFonts w:ascii="Times New Roman" w:cs="Times New Roman" w:eastAsia="Times New Roman" w:hAnsi="Times New Roman"/>
          <w:color w:val="000000"/>
          <w:sz w:val="20"/>
          <w:szCs w:val="20"/>
        </w:rPr>
        <w:t xml:space="preserve">El flujo principal de una consulta prenatal en el sistema sigue la secuencia descrita en la Fig. 1:</w:t>
      </w:r>
    </w:p>
    <w:p>
      <w:pPr>
        <w:spacing w:after="0" w:before="0" w:line="200" w:lineRule="exact"/>
        <w:jc w:val="center"/>
      </w:pPr>
      <w:r>
        <w:rPr>
          <w:rFonts w:ascii="Courier New" w:cs="Courier New" w:eastAsia="Courier New" w:hAnsi="Courier New"/>
          <w:color w:val="000000"/>
          <w:sz w:val="16"/>
          <w:szCs w:val="16"/>
        </w:rPr>
        <w:t xml:space="preserve">┌─────────────────────────────────────────┐</w:t>
      </w:r>
    </w:p>
    <w:p>
      <w:pPr>
        <w:spacing w:after="0" w:before="0" w:line="200" w:lineRule="exact"/>
        <w:jc w:val="center"/>
      </w:pPr>
      <w:r>
        <w:rPr>
          <w:rFonts w:ascii="Courier New" w:cs="Courier New" w:eastAsia="Courier New" w:hAnsi="Courier New"/>
          <w:color w:val="000000"/>
          <w:sz w:val="16"/>
          <w:szCs w:val="16"/>
        </w:rPr>
        <w:t xml:space="preserve">│         FLUJO CONSULTA PRENATAL          │</w:t>
      </w:r>
    </w:p>
    <w:p>
      <w:pPr>
        <w:spacing w:after="0" w:before="0" w:line="200" w:lineRule="exact"/>
        <w:jc w:val="center"/>
      </w:pPr>
      <w:r>
        <w:rPr>
          <w:rFonts w:ascii="Courier New" w:cs="Courier New" w:eastAsia="Courier New" w:hAnsi="Courier New"/>
          <w:color w:val="000000"/>
          <w:sz w:val="16"/>
          <w:szCs w:val="16"/>
        </w:rPr>
        <w:t xml:space="preserve">├─────────────────────────────────────────┤</w:t>
      </w:r>
    </w:p>
    <w:p>
      <w:pPr>
        <w:spacing w:after="0" w:before="0" w:line="200" w:lineRule="exact"/>
        <w:jc w:val="center"/>
      </w:pPr>
      <w:r>
        <w:rPr>
          <w:rFonts w:ascii="Courier New" w:cs="Courier New" w:eastAsia="Courier New" w:hAnsi="Courier New"/>
          <w:color w:val="000000"/>
          <w:sz w:val="16"/>
          <w:szCs w:val="16"/>
        </w:rPr>
        <w:t xml:space="preserve">│ 1. Recepción → Registro/Búsqueda        │</w:t>
      </w:r>
    </w:p>
    <w:p>
      <w:pPr>
        <w:spacing w:after="0" w:before="0" w:line="200" w:lineRule="exact"/>
        <w:jc w:val="center"/>
      </w:pPr>
      <w:r>
        <w:rPr>
          <w:rFonts w:ascii="Courier New" w:cs="Courier New" w:eastAsia="Courier New" w:hAnsi="Courier New"/>
          <w:color w:val="000000"/>
          <w:sz w:val="16"/>
          <w:szCs w:val="16"/>
        </w:rPr>
        <w:t xml:space="preserve">│    de paciente en sistema               │</w:t>
      </w:r>
    </w:p>
    <w:p>
      <w:pPr>
        <w:spacing w:after="0" w:before="0" w:line="200" w:lineRule="exact"/>
        <w:jc w:val="center"/>
      </w:pPr>
      <w:r>
        <w:rPr>
          <w:rFonts w:ascii="Courier New" w:cs="Courier New" w:eastAsia="Courier New" w:hAnsi="Courier New"/>
          <w:color w:val="000000"/>
          <w:sz w:val="16"/>
          <w:szCs w:val="16"/>
        </w:rPr>
        <w:t xml:space="preserve">│         ↓                               │</w:t>
      </w:r>
    </w:p>
    <w:p>
      <w:pPr>
        <w:spacing w:after="0" w:before="0" w:line="200" w:lineRule="exact"/>
        <w:jc w:val="center"/>
      </w:pPr>
      <w:r>
        <w:rPr>
          <w:rFonts w:ascii="Courier New" w:cs="Courier New" w:eastAsia="Courier New" w:hAnsi="Courier New"/>
          <w:color w:val="000000"/>
          <w:sz w:val="16"/>
          <w:szCs w:val="16"/>
        </w:rPr>
        <w:t xml:space="preserve">│ 2. Enfermera → Signos vitales           │</w:t>
      </w:r>
    </w:p>
    <w:p>
      <w:pPr>
        <w:spacing w:after="0" w:before="0" w:line="200" w:lineRule="exact"/>
        <w:jc w:val="center"/>
      </w:pPr>
      <w:r>
        <w:rPr>
          <w:rFonts w:ascii="Courier New" w:cs="Courier New" w:eastAsia="Courier New" w:hAnsi="Courier New"/>
          <w:color w:val="000000"/>
          <w:sz w:val="16"/>
          <w:szCs w:val="16"/>
        </w:rPr>
        <w:t xml:space="preserve">│    (PA, peso, talla, FCF, AU)           │</w:t>
      </w:r>
    </w:p>
    <w:p>
      <w:pPr>
        <w:spacing w:after="0" w:before="0" w:line="200" w:lineRule="exact"/>
        <w:jc w:val="center"/>
      </w:pPr>
      <w:r>
        <w:rPr>
          <w:rFonts w:ascii="Courier New" w:cs="Courier New" w:eastAsia="Courier New" w:hAnsi="Courier New"/>
          <w:color w:val="000000"/>
          <w:sz w:val="16"/>
          <w:szCs w:val="16"/>
        </w:rPr>
        <w:t xml:space="preserve">│         ↓                               │</w:t>
      </w:r>
    </w:p>
    <w:p>
      <w:pPr>
        <w:spacing w:after="0" w:before="0" w:line="200" w:lineRule="exact"/>
        <w:jc w:val="center"/>
      </w:pPr>
      <w:r>
        <w:rPr>
          <w:rFonts w:ascii="Courier New" w:cs="Courier New" w:eastAsia="Courier New" w:hAnsi="Courier New"/>
          <w:color w:val="000000"/>
          <w:sz w:val="16"/>
          <w:szCs w:val="16"/>
        </w:rPr>
        <w:t xml:space="preserve">│ 3. Médico → Anamnesis + Examen Físico   │</w:t>
      </w:r>
    </w:p>
    <w:p>
      <w:pPr>
        <w:spacing w:after="0" w:before="0" w:line="200" w:lineRule="exact"/>
        <w:jc w:val="center"/>
      </w:pPr>
      <w:r>
        <w:rPr>
          <w:rFonts w:ascii="Courier New" w:cs="Courier New" w:eastAsia="Courier New" w:hAnsi="Courier New"/>
          <w:color w:val="000000"/>
          <w:sz w:val="16"/>
          <w:szCs w:val="16"/>
        </w:rPr>
        <w:t xml:space="preserve">│    Accede a historia clínica completa   │</w:t>
      </w:r>
    </w:p>
    <w:p>
      <w:pPr>
        <w:spacing w:after="0" w:before="0" w:line="200" w:lineRule="exact"/>
        <w:jc w:val="center"/>
      </w:pPr>
      <w:r>
        <w:rPr>
          <w:rFonts w:ascii="Courier New" w:cs="Courier New" w:eastAsia="Courier New" w:hAnsi="Courier New"/>
          <w:color w:val="000000"/>
          <w:sz w:val="16"/>
          <w:szCs w:val="16"/>
        </w:rPr>
        <w:t xml:space="preserve">│         ↓                               │</w:t>
      </w:r>
    </w:p>
    <w:p>
      <w:pPr>
        <w:spacing w:after="0" w:before="0" w:line="200" w:lineRule="exact"/>
        <w:jc w:val="center"/>
      </w:pPr>
      <w:r>
        <w:rPr>
          <w:rFonts w:ascii="Courier New" w:cs="Courier New" w:eastAsia="Courier New" w:hAnsi="Courier New"/>
          <w:color w:val="000000"/>
          <w:sz w:val="16"/>
          <w:szCs w:val="16"/>
        </w:rPr>
        <w:t xml:space="preserve">│ 4. Médico → Solicita lab y/o ecografía  │</w:t>
      </w:r>
    </w:p>
    <w:p>
      <w:pPr>
        <w:spacing w:after="0" w:before="0" w:line="200" w:lineRule="exact"/>
        <w:jc w:val="center"/>
      </w:pPr>
      <w:r>
        <w:rPr>
          <w:rFonts w:ascii="Courier New" w:cs="Courier New" w:eastAsia="Courier New" w:hAnsi="Courier New"/>
          <w:color w:val="000000"/>
          <w:sz w:val="16"/>
          <w:szCs w:val="16"/>
        </w:rPr>
        <w:t xml:space="preserve">│         ↓                               │</w:t>
      </w:r>
    </w:p>
    <w:p>
      <w:pPr>
        <w:spacing w:after="0" w:before="0" w:line="200" w:lineRule="exact"/>
        <w:jc w:val="center"/>
      </w:pPr>
      <w:r>
        <w:rPr>
          <w:rFonts w:ascii="Courier New" w:cs="Courier New" w:eastAsia="Courier New" w:hAnsi="Courier New"/>
          <w:color w:val="000000"/>
          <w:sz w:val="16"/>
          <w:szCs w:val="16"/>
        </w:rPr>
        <w:t xml:space="preserve">│ 5. Laboratorio → Sube DICOM a Orthanc   │</w:t>
      </w:r>
    </w:p>
    <w:p>
      <w:pPr>
        <w:spacing w:after="0" w:before="0" w:line="200" w:lineRule="exact"/>
        <w:jc w:val="center"/>
      </w:pPr>
      <w:r>
        <w:rPr>
          <w:rFonts w:ascii="Courier New" w:cs="Courier New" w:eastAsia="Courier New" w:hAnsi="Courier New"/>
          <w:color w:val="000000"/>
          <w:sz w:val="16"/>
          <w:szCs w:val="16"/>
        </w:rPr>
        <w:t xml:space="preserve">│    CNN analiza automáticamente          │</w:t>
      </w:r>
    </w:p>
    <w:p>
      <w:pPr>
        <w:spacing w:after="0" w:before="0" w:line="200" w:lineRule="exact"/>
        <w:jc w:val="center"/>
      </w:pPr>
      <w:r>
        <w:rPr>
          <w:rFonts w:ascii="Courier New" w:cs="Courier New" w:eastAsia="Courier New" w:hAnsi="Courier New"/>
          <w:color w:val="000000"/>
          <w:sz w:val="16"/>
          <w:szCs w:val="16"/>
        </w:rPr>
        <w:t xml:space="preserve">│         ↓                               │</w:t>
      </w:r>
    </w:p>
    <w:p>
      <w:pPr>
        <w:spacing w:after="0" w:before="0" w:line="200" w:lineRule="exact"/>
        <w:jc w:val="center"/>
      </w:pPr>
      <w:r>
        <w:rPr>
          <w:rFonts w:ascii="Courier New" w:cs="Courier New" w:eastAsia="Courier New" w:hAnsi="Courier New"/>
          <w:color w:val="000000"/>
          <w:sz w:val="16"/>
          <w:szCs w:val="16"/>
        </w:rPr>
        <w:t xml:space="preserve">│ 6. Médico → Valida análisis IA          │</w:t>
      </w:r>
    </w:p>
    <w:p>
      <w:pPr>
        <w:spacing w:after="0" w:before="0" w:line="200" w:lineRule="exact"/>
        <w:jc w:val="center"/>
      </w:pPr>
      <w:r>
        <w:rPr>
          <w:rFonts w:ascii="Courier New" w:cs="Courier New" w:eastAsia="Courier New" w:hAnsi="Courier New"/>
          <w:color w:val="000000"/>
          <w:sz w:val="16"/>
          <w:szCs w:val="16"/>
        </w:rPr>
        <w:t xml:space="preserve">│    Grad-CAM visible en OHIF Viewer      │</w:t>
      </w:r>
    </w:p>
    <w:p>
      <w:pPr>
        <w:spacing w:after="0" w:before="0" w:line="200" w:lineRule="exact"/>
        <w:jc w:val="center"/>
      </w:pPr>
      <w:r>
        <w:rPr>
          <w:rFonts w:ascii="Courier New" w:cs="Courier New" w:eastAsia="Courier New" w:hAnsi="Courier New"/>
          <w:color w:val="000000"/>
          <w:sz w:val="16"/>
          <w:szCs w:val="16"/>
        </w:rPr>
        <w:t xml:space="preserve">│         ↓                               │</w:t>
      </w:r>
    </w:p>
    <w:p>
      <w:pPr>
        <w:spacing w:after="0" w:before="0" w:line="200" w:lineRule="exact"/>
        <w:jc w:val="center"/>
      </w:pPr>
      <w:r>
        <w:rPr>
          <w:rFonts w:ascii="Courier New" w:cs="Courier New" w:eastAsia="Courier New" w:hAnsi="Courier New"/>
          <w:color w:val="000000"/>
          <w:sz w:val="16"/>
          <w:szCs w:val="16"/>
        </w:rPr>
        <w:t xml:space="preserve">│ 7. Diagnóstico firmado + Tratamiento    │</w:t>
      </w:r>
    </w:p>
    <w:p>
      <w:pPr>
        <w:spacing w:after="0" w:before="0" w:line="200" w:lineRule="exact"/>
        <w:jc w:val="center"/>
      </w:pPr>
      <w:r>
        <w:rPr>
          <w:rFonts w:ascii="Courier New" w:cs="Courier New" w:eastAsia="Courier New" w:hAnsi="Courier New"/>
          <w:color w:val="000000"/>
          <w:sz w:val="16"/>
          <w:szCs w:val="16"/>
        </w:rPr>
        <w:t xml:space="preserve">│    Historia clínica archivada           │</w:t>
      </w:r>
    </w:p>
    <w:p>
      <w:pPr>
        <w:spacing w:after="0" w:before="0" w:line="200" w:lineRule="exact"/>
        <w:jc w:val="center"/>
      </w:pPr>
      <w:r>
        <w:rPr>
          <w:rFonts w:ascii="Courier New" w:cs="Courier New" w:eastAsia="Courier New" w:hAnsi="Courier New"/>
          <w:color w:val="000000"/>
          <w:sz w:val="16"/>
          <w:szCs w:val="16"/>
        </w:rPr>
        <w:t xml:space="preserve">└─────────────────────────────────────────┘</w:t>
      </w:r>
    </w:p>
    <w:p>
      <w:pPr>
        <w:spacing w:after="160" w:before="60" w:line="218" w:lineRule="exact"/>
        <w:jc w:val="center"/>
      </w:pPr>
      <w:r>
        <w:rPr>
          <w:rFonts w:ascii="Times New Roman" w:cs="Times New Roman" w:eastAsia="Times New Roman" w:hAnsi="Times New Roman"/>
          <w:i/>
          <w:iCs/>
          <w:color w:val="000000"/>
          <w:sz w:val="20"/>
          <w:szCs w:val="20"/>
        </w:rPr>
        <w:t xml:space="preserve">Fig. 1. Flujo principal de consulta prenatal en Fetal Medical Bolivia.</w:t>
      </w:r>
    </w:p>
    <w:p>
      <w:pPr>
        <w:spacing w:after="60" w:before="60"/>
      </w:pPr>
      <w:r>
        <w:t xml:space="preserve"/>
      </w:r>
    </w:p>
    <w:p>
      <w:pPr>
        <w:spacing w:after="120" w:before="240" w:line="218" w:lineRule="exact"/>
        <w:jc w:val="center"/>
      </w:pPr>
      <w:r>
        <w:rPr>
          <w:rFonts w:ascii="Times New Roman" w:cs="Times New Roman" w:eastAsia="Times New Roman" w:hAnsi="Times New Roman"/>
          <w:b/>
          <w:bCs/>
          <w:smallCaps/>
          <w:color w:val="000000"/>
          <w:sz w:val="20"/>
          <w:szCs w:val="20"/>
        </w:rPr>
        <w:t xml:space="preserve">IV. ARQUITECTURA DEL SISTEMA</w:t>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A. Justificación de Microservicios</w:t>
      </w:r>
    </w:p>
    <w:p>
      <w:pPr>
        <w:spacing w:after="80" w:before="0" w:line="218" w:lineRule="exact"/>
        <w:ind w:firstLine="360"/>
        <w:jc w:val="both"/>
      </w:pPr>
      <w:r>
        <w:rPr>
          <w:rFonts w:ascii="Times New Roman" w:cs="Times New Roman" w:eastAsia="Times New Roman" w:hAnsi="Times New Roman"/>
          <w:color w:val="000000"/>
          <w:sz w:val="20"/>
          <w:szCs w:val="20"/>
        </w:rPr>
        <w:t xml:space="preserve">Bass, Clements y Kazman [4] definen la arquitectura de microservicios como la descomposición del sistema en servicios independientemente desplegables que se comunican mediante APIs bien definidas. Para el presente sistema, esta elección se justifica en tres factores: (a) el servicio ML requiere recursos GPU intensivos que deben escalar de forma independiente al módulo administrativo; (b) un fallo en el servicio de análisis ecográfico no debe propagarse a los módulos clínicos; (c) la arquitectura monolítica Django no permite el aislamiento de fallos requerido para software médico de criticidad máxima.</w:t>
      </w:r>
    </w:p>
    <w:p>
      <w:pPr>
        <w:spacing w:after="60" w:before="60"/>
      </w:pPr>
      <w:r>
        <w:t xml:space="preserve"/>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B. Diagrama de Arquitectura General</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React 18  │   API GATEWAY   │  Kong 3.x</w:t>
      </w:r>
    </w:p>
    <w:p>
      <w:pPr>
        <w:spacing w:after="0" w:before="0" w:line="200" w:lineRule="exact"/>
        <w:jc w:val="center"/>
      </w:pPr>
      <w:r>
        <w:rPr>
          <w:rFonts w:ascii="Courier New" w:cs="Courier New" w:eastAsia="Courier New" w:hAnsi="Courier New"/>
          <w:color w:val="000000"/>
          <w:sz w:val="16"/>
          <w:szCs w:val="16"/>
        </w:rPr>
        <w:t xml:space="preserve">  (SPA)  →  │   JWT · TLS 1.3 │</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              ▼              ▼</w:t>
      </w:r>
    </w:p>
    <w:p>
      <w:pPr>
        <w:spacing w:after="0" w:before="0" w:line="200" w:lineRule="exact"/>
        <w:jc w:val="center"/>
      </w:pPr>
      <w:r>
        <w:rPr>
          <w:rFonts w:ascii="Courier New" w:cs="Courier New" w:eastAsia="Courier New" w:hAnsi="Courier New"/>
          <w:color w:val="000000"/>
          <w:sz w:val="16"/>
          <w:szCs w:val="16"/>
        </w:rPr>
        <w:t xml:space="preserve">  ┌───────┐    ┌──────────┐   ┌─────────┐</w:t>
      </w:r>
    </w:p>
    <w:p>
      <w:pPr>
        <w:spacing w:after="0" w:before="0" w:line="200" w:lineRule="exact"/>
        <w:jc w:val="center"/>
      </w:pPr>
      <w:r>
        <w:rPr>
          <w:rFonts w:ascii="Courier New" w:cs="Courier New" w:eastAsia="Courier New" w:hAnsi="Courier New"/>
          <w:color w:val="000000"/>
          <w:sz w:val="16"/>
          <w:szCs w:val="16"/>
        </w:rPr>
        <w:t xml:space="preserve">  │ Auth  │    │ Clinical │   │  Lab    │</w:t>
      </w:r>
    </w:p>
    <w:p>
      <w:pPr>
        <w:spacing w:after="0" w:before="0" w:line="200" w:lineRule="exact"/>
        <w:jc w:val="center"/>
      </w:pPr>
      <w:r>
        <w:rPr>
          <w:rFonts w:ascii="Courier New" w:cs="Courier New" w:eastAsia="Courier New" w:hAnsi="Courier New"/>
          <w:color w:val="000000"/>
          <w:sz w:val="16"/>
          <w:szCs w:val="16"/>
        </w:rPr>
        <w:t xml:space="preserve">  │Service│    │  Core    │   │ Service │</w:t>
      </w:r>
    </w:p>
    <w:p>
      <w:pPr>
        <w:spacing w:after="0" w:before="0" w:line="200" w:lineRule="exact"/>
        <w:jc w:val="center"/>
      </w:pPr>
      <w:r>
        <w:rPr>
          <w:rFonts w:ascii="Courier New" w:cs="Courier New" w:eastAsia="Courier New" w:hAnsi="Courier New"/>
          <w:color w:val="000000"/>
          <w:sz w:val="16"/>
          <w:szCs w:val="16"/>
        </w:rPr>
        <w:t xml:space="preserve">  │Django │    │ Django   │   │ Django  │</w:t>
      </w:r>
    </w:p>
    <w:p>
      <w:pPr>
        <w:spacing w:after="0" w:before="0" w:line="200" w:lineRule="exact"/>
        <w:jc w:val="center"/>
      </w:pPr>
      <w:r>
        <w:rPr>
          <w:rFonts w:ascii="Courier New" w:cs="Courier New" w:eastAsia="Courier New" w:hAnsi="Courier New"/>
          <w:color w:val="000000"/>
          <w:sz w:val="16"/>
          <w:szCs w:val="16"/>
        </w:rPr>
        <w:t xml:space="preserve">  └───────┘    └────┬─────┘   └────┬────┘</w:t>
      </w:r>
    </w:p>
    <w:p>
      <w:pPr>
        <w:spacing w:after="0" w:before="0" w:line="200" w:lineRule="exact"/>
        <w:jc w:val="center"/>
      </w:pPr>
      <w:r>
        <w:rPr>
          <w:rFonts w:ascii="Courier New" w:cs="Courier New" w:eastAsia="Courier New" w:hAnsi="Courier New"/>
          <w:color w:val="000000"/>
          <w:sz w:val="16"/>
          <w:szCs w:val="16"/>
        </w:rPr>
        <w:t xml:space="preserve">                   │               │</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    PostgreSQL 16         │</w:t>
      </w:r>
    </w:p>
    <w:p>
      <w:pPr>
        <w:spacing w:after="0" w:before="0" w:line="200" w:lineRule="exact"/>
        <w:jc w:val="center"/>
      </w:pPr>
      <w:r>
        <w:rPr>
          <w:rFonts w:ascii="Courier New" w:cs="Courier New" w:eastAsia="Courier New" w:hAnsi="Courier New"/>
          <w:color w:val="000000"/>
          <w:sz w:val="16"/>
          <w:szCs w:val="16"/>
        </w:rPr>
        <w:t xml:space="preserve">            │  (ACID · AES-256 reposo) │</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              ▼              ▼</w:t>
      </w:r>
    </w:p>
    <w:p>
      <w:pPr>
        <w:spacing w:after="0" w:before="0" w:line="200" w:lineRule="exact"/>
        <w:jc w:val="center"/>
      </w:pPr>
      <w:r>
        <w:rPr>
          <w:rFonts w:ascii="Courier New" w:cs="Courier New" w:eastAsia="Courier New" w:hAnsi="Courier New"/>
          <w:color w:val="000000"/>
          <w:sz w:val="16"/>
          <w:szCs w:val="16"/>
        </w:rPr>
        <w:t xml:space="preserve">  ┌────────┐   ┌──────────┐  ┌──────────┐</w:t>
      </w:r>
    </w:p>
    <w:p>
      <w:pPr>
        <w:spacing w:after="0" w:before="0" w:line="200" w:lineRule="exact"/>
        <w:jc w:val="center"/>
      </w:pPr>
      <w:r>
        <w:rPr>
          <w:rFonts w:ascii="Courier New" w:cs="Courier New" w:eastAsia="Courier New" w:hAnsi="Courier New"/>
          <w:color w:val="000000"/>
          <w:sz w:val="16"/>
          <w:szCs w:val="16"/>
        </w:rPr>
        <w:t xml:space="preserve">  │ DICOM  │   │ ML/AI    │  │  Admin   │</w:t>
      </w:r>
    </w:p>
    <w:p>
      <w:pPr>
        <w:spacing w:after="0" w:before="0" w:line="200" w:lineRule="exact"/>
        <w:jc w:val="center"/>
      </w:pPr>
      <w:r>
        <w:rPr>
          <w:rFonts w:ascii="Courier New" w:cs="Courier New" w:eastAsia="Courier New" w:hAnsi="Courier New"/>
          <w:color w:val="000000"/>
          <w:sz w:val="16"/>
          <w:szCs w:val="16"/>
        </w:rPr>
        <w:t xml:space="preserve">  │Orthanc │   │ FastAPI  │  │ Service  │</w:t>
      </w:r>
    </w:p>
    <w:p>
      <w:pPr>
        <w:spacing w:after="0" w:before="0" w:line="200" w:lineRule="exact"/>
        <w:jc w:val="center"/>
      </w:pPr>
      <w:r>
        <w:rPr>
          <w:rFonts w:ascii="Courier New" w:cs="Courier New" w:eastAsia="Courier New" w:hAnsi="Courier New"/>
          <w:color w:val="000000"/>
          <w:sz w:val="16"/>
          <w:szCs w:val="16"/>
        </w:rPr>
        <w:t xml:space="preserve">  │MinIO   │   │ PyTorch2 │  │ Django   │</w:t>
      </w:r>
    </w:p>
    <w:p>
      <w:pPr>
        <w:spacing w:after="0" w:before="0" w:line="200" w:lineRule="exact"/>
        <w:jc w:val="center"/>
      </w:pPr>
      <w:r>
        <w:rPr>
          <w:rFonts w:ascii="Courier New" w:cs="Courier New" w:eastAsia="Courier New" w:hAnsi="Courier New"/>
          <w:color w:val="000000"/>
          <w:sz w:val="16"/>
          <w:szCs w:val="16"/>
        </w:rPr>
        <w:t xml:space="preserve">  └────────┘   └──────────┘  └──────────┘</w:t>
      </w:r>
    </w:p>
    <w:p>
      <w:pPr>
        <w:spacing w:after="0" w:before="0" w:line="200" w:lineRule="exact"/>
        <w:jc w:val="center"/>
      </w:pPr>
      <w:r>
        <w:rPr>
          <w:rFonts w:ascii="Courier New" w:cs="Courier New" w:eastAsia="Courier New" w:hAnsi="Courier New"/>
          <w:color w:val="000000"/>
          <w:sz w:val="16"/>
          <w:szCs w:val="16"/>
        </w:rPr>
        <w:t xml:space="preserve">      │              │</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   RabbitMQ (eventos)  │</w:t>
      </w:r>
    </w:p>
    <w:p>
      <w:pPr>
        <w:spacing w:after="0" w:before="0" w:line="200" w:lineRule="exact"/>
        <w:jc w:val="center"/>
      </w:pPr>
      <w:r>
        <w:rPr>
          <w:rFonts w:ascii="Courier New" w:cs="Courier New" w:eastAsia="Courier New" w:hAnsi="Courier New"/>
          <w:color w:val="000000"/>
          <w:sz w:val="16"/>
          <w:szCs w:val="16"/>
        </w:rPr>
        <w:t xml:space="preserve">  │   Redis (caché/WS)    │</w:t>
      </w:r>
    </w:p>
    <w:p>
      <w:pPr>
        <w:spacing w:after="0" w:before="0" w:line="200" w:lineRule="exact"/>
        <w:jc w:val="center"/>
      </w:pPr>
      <w:r>
        <w:rPr>
          <w:rFonts w:ascii="Courier New" w:cs="Courier New" w:eastAsia="Courier New" w:hAnsi="Courier New"/>
          <w:color w:val="000000"/>
          <w:sz w:val="16"/>
          <w:szCs w:val="16"/>
        </w:rPr>
        <w:t xml:space="preserve">  └───────────────────────┘</w:t>
      </w:r>
    </w:p>
    <w:p>
      <w:pPr>
        <w:spacing w:after="160" w:before="60" w:line="218" w:lineRule="exact"/>
        <w:jc w:val="center"/>
      </w:pPr>
      <w:r>
        <w:rPr>
          <w:rFonts w:ascii="Times New Roman" w:cs="Times New Roman" w:eastAsia="Times New Roman" w:hAnsi="Times New Roman"/>
          <w:i/>
          <w:iCs/>
          <w:color w:val="000000"/>
          <w:sz w:val="20"/>
          <w:szCs w:val="20"/>
        </w:rPr>
        <w:t xml:space="preserve">Fig. 2. Arquitectura general de microservicios de Fetal Medical Bolivia.</w:t>
      </w:r>
    </w:p>
    <w:p>
      <w:pPr>
        <w:spacing w:after="60" w:before="60"/>
      </w:pPr>
      <w:r>
        <w:t xml:space="preserve"/>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C. Servicios del Sistema</w:t>
      </w:r>
    </w:p>
    <w:p>
      <w:pPr>
        <w:spacing w:after="60" w:before="200" w:line="218" w:lineRule="exact"/>
        <w:jc w:val="center"/>
      </w:pPr>
      <w:r>
        <w:rPr>
          <w:rFonts w:ascii="Times New Roman" w:cs="Times New Roman" w:eastAsia="Times New Roman" w:hAnsi="Times New Roman"/>
          <w:b/>
          <w:bCs/>
          <w:color w:val="000000"/>
          <w:sz w:val="20"/>
          <w:szCs w:val="20"/>
        </w:rPr>
        <w:t xml:space="preserve">TABLE IV — Microservicios y Responsabilidades</w:t>
      </w:r>
    </w:p>
    <w:tbl>
      <w:tblPr>
        <w:tblW w:type="dxa" w:w="62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900"/>
        <w:gridCol w:w="1760"/>
      </w:tblGrid>
      <w:tr>
        <w:trPr>
          <w:tblHeader/>
        </w:trPr>
        <w:tc>
          <w:tcPr>
            <w:tcW w:type="dxa" w:w="12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Servicio</w:t>
            </w:r>
          </w:p>
        </w:tc>
        <w:tc>
          <w:tcPr>
            <w:tcW w:type="dxa" w:w="14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Tecnología</w:t>
            </w:r>
          </w:p>
        </w:tc>
        <w:tc>
          <w:tcPr>
            <w:tcW w:type="dxa" w:w="19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Responsabilidad</w:t>
            </w:r>
          </w:p>
        </w:tc>
        <w:tc>
          <w:tcPr>
            <w:tcW w:type="dxa" w:w="176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Comunicación</w:t>
            </w:r>
          </w:p>
        </w:tc>
      </w:tr>
      <w:tr>
        <w:tc>
          <w:tcPr>
            <w:tcW w:type="dxa" w:w="12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API Gateway</w:t>
            </w:r>
          </w:p>
        </w:tc>
        <w:tc>
          <w:tcPr>
            <w:tcW w:type="dxa" w:w="14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Kong 3.x</w:t>
            </w:r>
          </w:p>
        </w:tc>
        <w:tc>
          <w:tcPr>
            <w:tcW w:type="dxa" w:w="19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Enrutamiento, JWT, rate limiting, SSL</w:t>
            </w:r>
          </w:p>
        </w:tc>
        <w:tc>
          <w:tcPr>
            <w:tcW w:type="dxa" w:w="17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Entrada única para clientes</w:t>
            </w:r>
          </w:p>
        </w:tc>
      </w:tr>
      <w:tr>
        <w:tc>
          <w:tcPr>
            <w:tcW w:type="dxa" w:w="12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Auth Service</w:t>
            </w:r>
          </w:p>
        </w:tc>
        <w:tc>
          <w:tcPr>
            <w:tcW w:type="dxa" w:w="14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Django + SimpleJWT</w:t>
            </w:r>
          </w:p>
        </w:tc>
        <w:tc>
          <w:tcPr>
            <w:tcW w:type="dxa" w:w="19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Login, MFA, RBAC, tokens</w:t>
            </w:r>
          </w:p>
        </w:tc>
        <w:tc>
          <w:tcPr>
            <w:tcW w:type="dxa" w:w="17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REST síncrono</w:t>
            </w:r>
          </w:p>
        </w:tc>
      </w:tr>
      <w:tr>
        <w:tc>
          <w:tcPr>
            <w:tcW w:type="dxa" w:w="12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Clinical Core</w:t>
            </w:r>
          </w:p>
        </w:tc>
        <w:tc>
          <w:tcPr>
            <w:tcW w:type="dxa" w:w="14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Django REST</w:t>
            </w:r>
          </w:p>
        </w:tc>
        <w:tc>
          <w:tcPr>
            <w:tcW w:type="dxa" w:w="19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Historia clínica, consultas, CPN</w:t>
            </w:r>
          </w:p>
        </w:tc>
        <w:tc>
          <w:tcPr>
            <w:tcW w:type="dxa" w:w="17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REST + eventos RabbitMQ</w:t>
            </w:r>
          </w:p>
        </w:tc>
      </w:tr>
      <w:tr>
        <w:tc>
          <w:tcPr>
            <w:tcW w:type="dxa" w:w="12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Lab Service</w:t>
            </w:r>
          </w:p>
        </w:tc>
        <w:tc>
          <w:tcPr>
            <w:tcW w:type="dxa" w:w="14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Django REST</w:t>
            </w:r>
          </w:p>
        </w:tc>
        <w:tc>
          <w:tcPr>
            <w:tcW w:type="dxa" w:w="19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Órdenes, resultados, alertas críticas</w:t>
            </w:r>
          </w:p>
        </w:tc>
        <w:tc>
          <w:tcPr>
            <w:tcW w:type="dxa" w:w="17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REST + RabbitMQ</w:t>
            </w:r>
          </w:p>
        </w:tc>
      </w:tr>
      <w:tr>
        <w:tc>
          <w:tcPr>
            <w:tcW w:type="dxa" w:w="12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ML/AI Service</w:t>
            </w:r>
          </w:p>
        </w:tc>
        <w:tc>
          <w:tcPr>
            <w:tcW w:type="dxa" w:w="14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FastAPI + PyTorch</w:t>
            </w:r>
          </w:p>
        </w:tc>
        <w:tc>
          <w:tcPr>
            <w:tcW w:type="dxa" w:w="19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Inferencia CNN, Grad-CAM, reportes</w:t>
            </w:r>
          </w:p>
        </w:tc>
        <w:tc>
          <w:tcPr>
            <w:tcW w:type="dxa" w:w="17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Asíncrono Celery/RabbitMQ</w:t>
            </w:r>
          </w:p>
        </w:tc>
      </w:tr>
      <w:tr>
        <w:tc>
          <w:tcPr>
            <w:tcW w:type="dxa" w:w="12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DICOM Service</w:t>
            </w:r>
          </w:p>
        </w:tc>
        <w:tc>
          <w:tcPr>
            <w:tcW w:type="dxa" w:w="14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Orthanc + FastAPI</w:t>
            </w:r>
          </w:p>
        </w:tc>
        <w:tc>
          <w:tcPr>
            <w:tcW w:type="dxa" w:w="19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PACS DICOM, visor OHIF, MinIO</w:t>
            </w:r>
          </w:p>
        </w:tc>
        <w:tc>
          <w:tcPr>
            <w:tcW w:type="dxa" w:w="17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REST + S3-API MinIO</w:t>
            </w:r>
          </w:p>
        </w:tc>
      </w:tr>
      <w:tr>
        <w:tc>
          <w:tcPr>
            <w:tcW w:type="dxa" w:w="12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Admin Service</w:t>
            </w:r>
          </w:p>
        </w:tc>
        <w:tc>
          <w:tcPr>
            <w:tcW w:type="dxa" w:w="14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Django REST</w:t>
            </w:r>
          </w:p>
        </w:tc>
        <w:tc>
          <w:tcPr>
            <w:tcW w:type="dxa" w:w="19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Sucursales, usuarios, facturación</w:t>
            </w:r>
          </w:p>
        </w:tc>
        <w:tc>
          <w:tcPr>
            <w:tcW w:type="dxa" w:w="17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REST síncrono</w:t>
            </w:r>
          </w:p>
        </w:tc>
      </w:tr>
      <w:tr>
        <w:tc>
          <w:tcPr>
            <w:tcW w:type="dxa" w:w="12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Notifications</w:t>
            </w:r>
          </w:p>
        </w:tc>
        <w:tc>
          <w:tcPr>
            <w:tcW w:type="dxa" w:w="14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FastAPI + Redis</w:t>
            </w:r>
          </w:p>
        </w:tc>
        <w:tc>
          <w:tcPr>
            <w:tcW w:type="dxa" w:w="19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WebSocket, alertas en tiempo real</w:t>
            </w:r>
          </w:p>
        </w:tc>
        <w:tc>
          <w:tcPr>
            <w:tcW w:type="dxa" w:w="17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Pub/Sub Redis + WS</w:t>
            </w:r>
          </w:p>
        </w:tc>
      </w:tr>
    </w:tbl>
    <w:p>
      <w:pPr>
        <w:spacing w:after="60" w:before="60"/>
      </w:pPr>
      <w:r>
        <w:t xml:space="preserve"/>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D. Architecture Decision Records (ADR)</w:t>
      </w:r>
    </w:p>
    <w:p>
      <w:pPr>
        <w:spacing w:after="60" w:before="200" w:line="218" w:lineRule="exact"/>
        <w:jc w:val="center"/>
      </w:pPr>
      <w:r>
        <w:rPr>
          <w:rFonts w:ascii="Times New Roman" w:cs="Times New Roman" w:eastAsia="Times New Roman" w:hAnsi="Times New Roman"/>
          <w:b/>
          <w:bCs/>
          <w:color w:val="000000"/>
          <w:sz w:val="20"/>
          <w:szCs w:val="20"/>
        </w:rPr>
        <w:t xml:space="preserve">TABLE V — ADRs Principales</w:t>
      </w:r>
    </w:p>
    <w:tbl>
      <w:tblPr>
        <w:tblW w:type="dxa" w:w="62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300"/>
        <w:gridCol w:w="2860"/>
      </w:tblGrid>
      <w:tr>
        <w:trPr>
          <w:tblHeader/>
        </w:trPr>
        <w:tc>
          <w:tcPr>
            <w:tcW w:type="dxa" w:w="7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ADR</w:t>
            </w:r>
          </w:p>
        </w:tc>
        <w:tc>
          <w:tcPr>
            <w:tcW w:type="dxa" w:w="14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Decisión</w:t>
            </w:r>
          </w:p>
        </w:tc>
        <w:tc>
          <w:tcPr>
            <w:tcW w:type="dxa" w:w="13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Alternativa descartada</w:t>
            </w:r>
          </w:p>
        </w:tc>
        <w:tc>
          <w:tcPr>
            <w:tcW w:type="dxa" w:w="286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Razón</w:t>
            </w:r>
          </w:p>
        </w:tc>
      </w:tr>
      <w:tr>
        <w:tc>
          <w:tcPr>
            <w:tcW w:type="dxa" w:w="7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ADR-001</w:t>
            </w:r>
          </w:p>
        </w:tc>
        <w:tc>
          <w:tcPr>
            <w:tcW w:type="dxa" w:w="14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FastAPI para ML Service</w:t>
            </w:r>
          </w:p>
        </w:tc>
        <w:tc>
          <w:tcPr>
            <w:tcW w:type="dxa" w:w="13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Django para todo</w:t>
            </w:r>
          </w:p>
        </w:tc>
        <w:tc>
          <w:tcPr>
            <w:tcW w:type="dxa" w:w="28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Latencia &lt;2s; FastAPI async-nativo es 3× más rápido en inferencia [5]</w:t>
            </w:r>
          </w:p>
        </w:tc>
      </w:tr>
      <w:tr>
        <w:tc>
          <w:tcPr>
            <w:tcW w:type="dxa" w:w="7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ADR-002</w:t>
            </w:r>
          </w:p>
        </w:tc>
        <w:tc>
          <w:tcPr>
            <w:tcW w:type="dxa" w:w="14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PostgreSQL 16 principal</w:t>
            </w:r>
          </w:p>
        </w:tc>
        <w:tc>
          <w:tcPr>
            <w:tcW w:type="dxa" w:w="13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MongoDB</w:t>
            </w:r>
          </w:p>
        </w:tc>
        <w:tc>
          <w:tcPr>
            <w:tcW w:type="dxa" w:w="28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ACID obligatorio para datos médicos con valor legal [6]</w:t>
            </w:r>
          </w:p>
        </w:tc>
      </w:tr>
      <w:tr>
        <w:tc>
          <w:tcPr>
            <w:tcW w:type="dxa" w:w="7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ADR-003</w:t>
            </w:r>
          </w:p>
        </w:tc>
        <w:tc>
          <w:tcPr>
            <w:tcW w:type="dxa" w:w="14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RabbitMQ mensajería</w:t>
            </w:r>
          </w:p>
        </w:tc>
        <w:tc>
          <w:tcPr>
            <w:tcW w:type="dxa" w:w="13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Apache Kafka</w:t>
            </w:r>
          </w:p>
        </w:tc>
        <w:tc>
          <w:tcPr>
            <w:tcW w:type="dxa" w:w="28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Kafka excesivo para volumen actual; mayor complejidad operacional</w:t>
            </w:r>
          </w:p>
        </w:tc>
      </w:tr>
      <w:tr>
        <w:tc>
          <w:tcPr>
            <w:tcW w:type="dxa" w:w="7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ADR-004</w:t>
            </w:r>
          </w:p>
        </w:tc>
        <w:tc>
          <w:tcPr>
            <w:tcW w:type="dxa" w:w="14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MinIO on-premise</w:t>
            </w:r>
          </w:p>
        </w:tc>
        <w:tc>
          <w:tcPr>
            <w:tcW w:type="dxa" w:w="13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AWS S3</w:t>
            </w:r>
          </w:p>
        </w:tc>
        <w:tc>
          <w:tcPr>
            <w:tcW w:type="dxa" w:w="28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Ley 164 Bolivia: datos médicos no deben salir del país</w:t>
            </w:r>
          </w:p>
        </w:tc>
      </w:tr>
      <w:tr>
        <w:tc>
          <w:tcPr>
            <w:tcW w:type="dxa" w:w="7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ADR-005</w:t>
            </w:r>
          </w:p>
        </w:tc>
        <w:tc>
          <w:tcPr>
            <w:tcW w:type="dxa" w:w="14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Orthanc PACS</w:t>
            </w:r>
          </w:p>
        </w:tc>
        <w:tc>
          <w:tcPr>
            <w:tcW w:type="dxa" w:w="13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DICOM en PostgreSQL bytea</w:t>
            </w:r>
          </w:p>
        </w:tc>
        <w:tc>
          <w:tcPr>
            <w:tcW w:type="dxa" w:w="28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Antipatrón conocido: DICOMs en BD degradan performance [7]</w:t>
            </w:r>
          </w:p>
        </w:tc>
      </w:tr>
    </w:tbl>
    <w:p>
      <w:pPr>
        <w:spacing w:after="60" w:before="60"/>
      </w:pPr>
      <w:r>
        <w:t xml:space="preserve"/>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E. Diagrama de Comunicación entre Servicios</w:t>
      </w:r>
    </w:p>
    <w:p>
      <w:pPr>
        <w:spacing w:after="0" w:before="0" w:line="200" w:lineRule="exact"/>
        <w:jc w:val="center"/>
      </w:pPr>
      <w:r>
        <w:rPr>
          <w:rFonts w:ascii="Courier New" w:cs="Courier New" w:eastAsia="Courier New" w:hAnsi="Courier New"/>
          <w:color w:val="000000"/>
          <w:sz w:val="16"/>
          <w:szCs w:val="16"/>
        </w:rPr>
        <w:t xml:space="preserve">  Frontend (React)                        </w:t>
      </w:r>
    </w:p>
    <w:p>
      <w:pPr>
        <w:spacing w:after="0" w:before="0" w:line="200" w:lineRule="exact"/>
        <w:jc w:val="center"/>
      </w:pPr>
      <w:r>
        <w:rPr>
          <w:rFonts w:ascii="Courier New" w:cs="Courier New" w:eastAsia="Courier New" w:hAnsi="Courier New"/>
          <w:color w:val="000000"/>
          <w:sz w:val="16"/>
          <w:szCs w:val="16"/>
        </w:rPr>
        <w:t xml:space="preserve">       │ HTTPS/TLS 1.3                    </w:t>
      </w:r>
    </w:p>
    <w:p>
      <w:pPr>
        <w:spacing w:after="0" w:before="0" w:line="200" w:lineRule="exact"/>
        <w:jc w:val="center"/>
      </w:pPr>
      <w:r>
        <w:rPr>
          <w:rFonts w:ascii="Courier New" w:cs="Courier New" w:eastAsia="Courier New" w:hAnsi="Courier New"/>
          <w:color w:val="000000"/>
          <w:sz w:val="16"/>
          <w:szCs w:val="16"/>
        </w:rPr>
        <w:t xml:space="preserve">  ┌────▼────────────────────────┐         </w:t>
      </w:r>
    </w:p>
    <w:p>
      <w:pPr>
        <w:spacing w:after="0" w:before="0" w:line="200" w:lineRule="exact"/>
        <w:jc w:val="center"/>
      </w:pPr>
      <w:r>
        <w:rPr>
          <w:rFonts w:ascii="Courier New" w:cs="Courier New" w:eastAsia="Courier New" w:hAnsi="Courier New"/>
          <w:color w:val="000000"/>
          <w:sz w:val="16"/>
          <w:szCs w:val="16"/>
        </w:rPr>
        <w:t xml:space="preserve">  │      Kong API Gateway       │         </w:t>
      </w:r>
    </w:p>
    <w:p>
      <w:pPr>
        <w:spacing w:after="0" w:before="0" w:line="200" w:lineRule="exact"/>
        <w:jc w:val="center"/>
      </w:pPr>
      <w:r>
        <w:rPr>
          <w:rFonts w:ascii="Courier New" w:cs="Courier New" w:eastAsia="Courier New" w:hAnsi="Courier New"/>
          <w:color w:val="000000"/>
          <w:sz w:val="16"/>
          <w:szCs w:val="16"/>
        </w:rPr>
        <w:t xml:space="preserve">  │  JWT validation · rate limit│         </w:t>
      </w:r>
    </w:p>
    <w:p>
      <w:pPr>
        <w:spacing w:after="0" w:before="0" w:line="200" w:lineRule="exact"/>
        <w:jc w:val="center"/>
      </w:pPr>
      <w:r>
        <w:rPr>
          <w:rFonts w:ascii="Courier New" w:cs="Courier New" w:eastAsia="Courier New" w:hAnsi="Courier New"/>
          <w:color w:val="000000"/>
          <w:sz w:val="16"/>
          <w:szCs w:val="16"/>
        </w:rPr>
        <w:t xml:space="preserve">  └──┬─────┬──────┬──────┬─────┘         </w:t>
      </w:r>
    </w:p>
    <w:p>
      <w:pPr>
        <w:spacing w:after="0" w:before="0" w:line="200" w:lineRule="exact"/>
        <w:jc w:val="center"/>
      </w:pPr>
      <w:r>
        <w:rPr>
          <w:rFonts w:ascii="Courier New" w:cs="Courier New" w:eastAsia="Courier New" w:hAnsi="Courier New"/>
          <w:color w:val="000000"/>
          <w:sz w:val="16"/>
          <w:szCs w:val="16"/>
        </w:rPr>
        <w:t xml:space="preserve">     │     │      │      │                </w:t>
      </w:r>
    </w:p>
    <w:p>
      <w:pPr>
        <w:spacing w:after="0" w:before="0" w:line="200" w:lineRule="exact"/>
        <w:jc w:val="center"/>
      </w:pPr>
      <w:r>
        <w:rPr>
          <w:rFonts w:ascii="Courier New" w:cs="Courier New" w:eastAsia="Courier New" w:hAnsi="Courier New"/>
          <w:color w:val="000000"/>
          <w:sz w:val="16"/>
          <w:szCs w:val="16"/>
        </w:rPr>
        <w:t xml:space="preserve">   Auth  Clin   Lab    Admin              </w:t>
      </w:r>
    </w:p>
    <w:p>
      <w:pPr>
        <w:spacing w:after="0" w:before="0" w:line="200" w:lineRule="exact"/>
        <w:jc w:val="center"/>
      </w:pPr>
      <w:r>
        <w:rPr>
          <w:rFonts w:ascii="Courier New" w:cs="Courier New" w:eastAsia="Courier New" w:hAnsi="Courier New"/>
          <w:color w:val="000000"/>
          <w:sz w:val="16"/>
          <w:szCs w:val="16"/>
        </w:rPr>
        <w:t xml:space="preserve">   Svc   Core   Svc    Svc                </w:t>
      </w:r>
    </w:p>
    <w:p>
      <w:pPr>
        <w:spacing w:after="0" w:before="0" w:line="200" w:lineRule="exact"/>
        <w:jc w:val="center"/>
      </w:pPr>
      <w:r>
        <w:rPr>
          <w:rFonts w:ascii="Courier New" w:cs="Courier New" w:eastAsia="Courier New" w:hAnsi="Courier New"/>
          <w:color w:val="000000"/>
          <w:sz w:val="16"/>
          <w:szCs w:val="16"/>
        </w:rPr>
        <w:t xml:space="preserve">           │     │                        </w:t>
      </w:r>
    </w:p>
    <w:p>
      <w:pPr>
        <w:spacing w:after="0" w:before="0" w:line="200" w:lineRule="exact"/>
        <w:jc w:val="center"/>
      </w:pPr>
      <w:r>
        <w:rPr>
          <w:rFonts w:ascii="Courier New" w:cs="Courier New" w:eastAsia="Courier New" w:hAnsi="Courier New"/>
          <w:color w:val="000000"/>
          <w:sz w:val="16"/>
          <w:szCs w:val="16"/>
        </w:rPr>
        <w:t xml:space="preserve">      ┌────▼─────▼────┐                  </w:t>
      </w:r>
    </w:p>
    <w:p>
      <w:pPr>
        <w:spacing w:after="0" w:before="0" w:line="200" w:lineRule="exact"/>
        <w:jc w:val="center"/>
      </w:pPr>
      <w:r>
        <w:rPr>
          <w:rFonts w:ascii="Courier New" w:cs="Courier New" w:eastAsia="Courier New" w:hAnsi="Courier New"/>
          <w:color w:val="000000"/>
          <w:sz w:val="16"/>
          <w:szCs w:val="16"/>
        </w:rPr>
        <w:t xml:space="preserve">      │  PostgreSQL 16│                   </w:t>
      </w:r>
    </w:p>
    <w:p>
      <w:pPr>
        <w:spacing w:after="0" w:before="0" w:line="200" w:lineRule="exact"/>
        <w:jc w:val="center"/>
      </w:pPr>
      <w:r>
        <w:rPr>
          <w:rFonts w:ascii="Courier New" w:cs="Courier New" w:eastAsia="Courier New" w:hAnsi="Courier New"/>
          <w:color w:val="000000"/>
          <w:sz w:val="16"/>
          <w:szCs w:val="16"/>
        </w:rPr>
        <w:t xml:space="preserve">      │  (cifrado en  │                   </w:t>
      </w:r>
    </w:p>
    <w:p>
      <w:pPr>
        <w:spacing w:after="0" w:before="0" w:line="200" w:lineRule="exact"/>
        <w:jc w:val="center"/>
      </w:pPr>
      <w:r>
        <w:rPr>
          <w:rFonts w:ascii="Courier New" w:cs="Courier New" w:eastAsia="Courier New" w:hAnsi="Courier New"/>
          <w:color w:val="000000"/>
          <w:sz w:val="16"/>
          <w:szCs w:val="16"/>
        </w:rPr>
        <w:t xml:space="preserve">      │   reposo)     │                   </w:t>
      </w:r>
    </w:p>
    <w:p>
      <w:pPr>
        <w:spacing w:after="0" w:before="0" w:line="200" w:lineRule="exact"/>
        <w:jc w:val="center"/>
      </w:pPr>
      <w:r>
        <w:rPr>
          <w:rFonts w:ascii="Courier New" w:cs="Courier New" w:eastAsia="Courier New" w:hAnsi="Courier New"/>
          <w:color w:val="000000"/>
          <w:sz w:val="16"/>
          <w:szCs w:val="16"/>
        </w:rPr>
        <w:t xml:space="preserve">      └───────────────┘                   </w:t>
      </w:r>
    </w:p>
    <w:p>
      <w:pPr>
        <w:spacing w:after="0" w:before="0" w:line="200" w:lineRule="exact"/>
        <w:jc w:val="center"/>
      </w:pPr>
      <w:r>
        <w:rPr>
          <w:rFonts w:ascii="Courier New" w:cs="Courier New" w:eastAsia="Courier New" w:hAnsi="Courier New"/>
          <w:color w:val="000000"/>
          <w:sz w:val="16"/>
          <w:szCs w:val="16"/>
        </w:rPr>
        <w:t xml:space="preserve">           │  eventos (RabbitMQ)           </w:t>
      </w:r>
    </w:p>
    <w:p>
      <w:pPr>
        <w:spacing w:after="0" w:before="0" w:line="200" w:lineRule="exact"/>
        <w:jc w:val="center"/>
      </w:pPr>
      <w:r>
        <w:rPr>
          <w:rFonts w:ascii="Courier New" w:cs="Courier New" w:eastAsia="Courier New" w:hAnsi="Courier New"/>
          <w:color w:val="000000"/>
          <w:sz w:val="16"/>
          <w:szCs w:val="16"/>
        </w:rPr>
        <w:t xml:space="preserve">      ┌────▼──────────┐                   </w:t>
      </w:r>
    </w:p>
    <w:p>
      <w:pPr>
        <w:spacing w:after="0" w:before="0" w:line="200" w:lineRule="exact"/>
        <w:jc w:val="center"/>
      </w:pPr>
      <w:r>
        <w:rPr>
          <w:rFonts w:ascii="Courier New" w:cs="Courier New" w:eastAsia="Courier New" w:hAnsi="Courier New"/>
          <w:color w:val="000000"/>
          <w:sz w:val="16"/>
          <w:szCs w:val="16"/>
        </w:rPr>
        <w:t xml:space="preserve">      │  ML/AI Service│ ← FastAPI+PyTorch  </w:t>
      </w:r>
    </w:p>
    <w:p>
      <w:pPr>
        <w:spacing w:after="0" w:before="0" w:line="200" w:lineRule="exact"/>
        <w:jc w:val="center"/>
      </w:pPr>
      <w:r>
        <w:rPr>
          <w:rFonts w:ascii="Courier New" w:cs="Courier New" w:eastAsia="Courier New" w:hAnsi="Courier New"/>
          <w:color w:val="000000"/>
          <w:sz w:val="16"/>
          <w:szCs w:val="16"/>
        </w:rPr>
        <w:t xml:space="preserve">      │  (GPU worker) │   MONAI + EfficientB4</w:t>
      </w:r>
    </w:p>
    <w:p>
      <w:pPr>
        <w:spacing w:after="0" w:before="0" w:line="200" w:lineRule="exact"/>
        <w:jc w:val="center"/>
      </w:pPr>
      <w:r>
        <w:rPr>
          <w:rFonts w:ascii="Courier New" w:cs="Courier New" w:eastAsia="Courier New" w:hAnsi="Courier New"/>
          <w:color w:val="000000"/>
          <w:sz w:val="16"/>
          <w:szCs w:val="16"/>
        </w:rPr>
        <w:t xml:space="preserve">      └──────┬────────┘                   </w:t>
      </w:r>
    </w:p>
    <w:p>
      <w:pPr>
        <w:spacing w:after="0" w:before="0" w:line="200" w:lineRule="exact"/>
        <w:jc w:val="center"/>
      </w:pPr>
      <w:r>
        <w:rPr>
          <w:rFonts w:ascii="Courier New" w:cs="Courier New" w:eastAsia="Courier New" w:hAnsi="Courier New"/>
          <w:color w:val="000000"/>
          <w:sz w:val="16"/>
          <w:szCs w:val="16"/>
        </w:rPr>
        <w:t xml:space="preserve">             │ Grad-CAM overlay            </w:t>
      </w:r>
    </w:p>
    <w:p>
      <w:pPr>
        <w:spacing w:after="0" w:before="0" w:line="200" w:lineRule="exact"/>
        <w:jc w:val="center"/>
      </w:pPr>
      <w:r>
        <w:rPr>
          <w:rFonts w:ascii="Courier New" w:cs="Courier New" w:eastAsia="Courier New" w:hAnsi="Courier New"/>
          <w:color w:val="000000"/>
          <w:sz w:val="16"/>
          <w:szCs w:val="16"/>
        </w:rPr>
        <w:t xml:space="preserve">      ┌──────▼────────┐                   </w:t>
      </w:r>
    </w:p>
    <w:p>
      <w:pPr>
        <w:spacing w:after="0" w:before="0" w:line="200" w:lineRule="exact"/>
        <w:jc w:val="center"/>
      </w:pPr>
      <w:r>
        <w:rPr>
          <w:rFonts w:ascii="Courier New" w:cs="Courier New" w:eastAsia="Courier New" w:hAnsi="Courier New"/>
          <w:color w:val="000000"/>
          <w:sz w:val="16"/>
          <w:szCs w:val="16"/>
        </w:rPr>
        <w:t xml:space="preserve">      │  Orthanc PACS │ ← DICOM 3.0        </w:t>
      </w:r>
    </w:p>
    <w:p>
      <w:pPr>
        <w:spacing w:after="0" w:before="0" w:line="200" w:lineRule="exact"/>
        <w:jc w:val="center"/>
      </w:pPr>
      <w:r>
        <w:rPr>
          <w:rFonts w:ascii="Courier New" w:cs="Courier New" w:eastAsia="Courier New" w:hAnsi="Courier New"/>
          <w:color w:val="000000"/>
          <w:sz w:val="16"/>
          <w:szCs w:val="16"/>
        </w:rPr>
        <w:t xml:space="preserve">      │  MinIO AES-256│                   </w:t>
      </w:r>
    </w:p>
    <w:p>
      <w:pPr>
        <w:spacing w:after="0" w:before="0" w:line="200" w:lineRule="exact"/>
        <w:jc w:val="center"/>
      </w:pPr>
      <w:r>
        <w:rPr>
          <w:rFonts w:ascii="Courier New" w:cs="Courier New" w:eastAsia="Courier New" w:hAnsi="Courier New"/>
          <w:color w:val="000000"/>
          <w:sz w:val="16"/>
          <w:szCs w:val="16"/>
        </w:rPr>
        <w:t xml:space="preserve">      └───────────────┘                   </w:t>
      </w:r>
    </w:p>
    <w:p>
      <w:pPr>
        <w:spacing w:after="160" w:before="60" w:line="218" w:lineRule="exact"/>
        <w:jc w:val="center"/>
      </w:pPr>
      <w:r>
        <w:rPr>
          <w:rFonts w:ascii="Times New Roman" w:cs="Times New Roman" w:eastAsia="Times New Roman" w:hAnsi="Times New Roman"/>
          <w:i/>
          <w:iCs/>
          <w:color w:val="000000"/>
          <w:sz w:val="20"/>
          <w:szCs w:val="20"/>
        </w:rPr>
        <w:t xml:space="preserve">Fig. 3. Flujo de comunicación entre microservicios (síncrono REST y asíncrono RabbitMQ).</w:t>
      </w:r>
    </w:p>
    <w:p>
      <w:pPr>
        <w:spacing w:after="60" w:before="60"/>
      </w:pPr>
      <w:r>
        <w:t xml:space="preserve"/>
      </w:r>
    </w:p>
    <w:p>
      <w:pPr>
        <w:spacing w:after="120" w:before="240" w:line="218" w:lineRule="exact"/>
        <w:jc w:val="center"/>
      </w:pPr>
      <w:r>
        <w:rPr>
          <w:rFonts w:ascii="Times New Roman" w:cs="Times New Roman" w:eastAsia="Times New Roman" w:hAnsi="Times New Roman"/>
          <w:b/>
          <w:bCs/>
          <w:smallCaps/>
          <w:color w:val="000000"/>
          <w:sz w:val="20"/>
          <w:szCs w:val="20"/>
        </w:rPr>
        <w:t xml:space="preserve">V. METODOLOGÍA DE DESARROLLO</w:t>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A. Justificación: Scrum Híbrido con Compliance Gates</w:t>
      </w:r>
    </w:p>
    <w:p>
      <w:pPr>
        <w:spacing w:after="80" w:before="0" w:line="218" w:lineRule="exact"/>
        <w:ind w:firstLine="360"/>
        <w:jc w:val="both"/>
      </w:pPr>
      <w:r>
        <w:rPr>
          <w:rFonts w:ascii="Times New Roman" w:cs="Times New Roman" w:eastAsia="Times New Roman" w:hAnsi="Times New Roman"/>
          <w:color w:val="000000"/>
          <w:sz w:val="20"/>
          <w:szCs w:val="20"/>
        </w:rPr>
        <w:t xml:space="preserve">Dado que el equipo es de un desarrollador full stack con supervisión docente, el proyecto tiene componentes de IA que requieren investigación exploratoria (Spikes), y el nivel de criticidad es máximo, se adopta Scrum (Schwaber &amp; Sutherland, 2020) [8] con dos adaptaciones: Spikes obligatorios antes del Sprint 1 para validar viabilidad técnica de la CNN, y Compliance Gates al final de cada fase para verificar requisitos normativos IEC 62304 [9] antes de avanzar. Pressman y Maxim [10] denominan esta combinación proceso ágil disciplinado, apropiada para software médico que requiere agilidad sin sacrificar trazabilidad.</w:t>
      </w:r>
    </w:p>
    <w:p>
      <w:pPr>
        <w:spacing w:after="60" w:before="60"/>
      </w:pPr>
      <w:r>
        <w:t xml:space="preserve"/>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B. Ciclo de Vida del Proyecto</w:t>
      </w:r>
    </w:p>
    <w:p>
      <w:pPr>
        <w:spacing w:after="0" w:before="0" w:line="200" w:lineRule="exact"/>
        <w:jc w:val="center"/>
      </w:pPr>
      <w:r>
        <w:rPr>
          <w:rFonts w:ascii="Courier New" w:cs="Courier New" w:eastAsia="Courier New" w:hAnsi="Courier New"/>
          <w:color w:val="000000"/>
          <w:sz w:val="16"/>
          <w:szCs w:val="16"/>
        </w:rPr>
        <w:t xml:space="preserve">FASES DEL PROYECTO — FETAL MEDICAL BOLIVIA</w:t>
      </w:r>
    </w:p>
    <w:p>
      <w:pPr>
        <w:spacing w:after="0" w:before="0" w:line="200" w:lineRule="exact"/>
        <w:jc w:val="center"/>
      </w:pPr>
      <w:r>
        <w:rPr>
          <w:rFonts w:ascii="Courier New" w:cs="Courier New" w:eastAsia="Courier New" w:hAnsi="Courier New"/>
          <w:color w:val="000000"/>
          <w:sz w:val="16"/>
          <w:szCs w:val="16"/>
        </w:rPr>
        <w:t xml:space="preserve"/>
      </w:r>
    </w:p>
    <w:p>
      <w:pPr>
        <w:spacing w:after="0" w:before="0" w:line="200" w:lineRule="exact"/>
        <w:jc w:val="center"/>
      </w:pPr>
      <w:r>
        <w:rPr>
          <w:rFonts w:ascii="Courier New" w:cs="Courier New" w:eastAsia="Courier New" w:hAnsi="Courier New"/>
          <w:color w:val="000000"/>
          <w:sz w:val="16"/>
          <w:szCs w:val="16"/>
        </w:rPr>
        <w:t xml:space="preserve">F0  ████  Spikes + Infraestructura (2 sem)</w:t>
      </w:r>
    </w:p>
    <w:p>
      <w:pPr>
        <w:spacing w:after="0" w:before="0" w:line="200" w:lineRule="exact"/>
        <w:jc w:val="center"/>
      </w:pPr>
      <w:r>
        <w:rPr>
          <w:rFonts w:ascii="Courier New" w:cs="Courier New" w:eastAsia="Courier New" w:hAnsi="Courier New"/>
          <w:color w:val="000000"/>
          <w:sz w:val="16"/>
          <w:szCs w:val="16"/>
        </w:rPr>
        <w:t xml:space="preserve">         Docker, Kong, Orthanc, CNN Spike</w:t>
      </w:r>
    </w:p>
    <w:p>
      <w:pPr>
        <w:spacing w:after="0" w:before="0" w:line="200" w:lineRule="exact"/>
        <w:jc w:val="center"/>
      </w:pPr>
      <w:r>
        <w:rPr>
          <w:rFonts w:ascii="Courier New" w:cs="Courier New" w:eastAsia="Courier New" w:hAnsi="Courier New"/>
          <w:color w:val="000000"/>
          <w:sz w:val="16"/>
          <w:szCs w:val="16"/>
        </w:rPr>
        <w:t xml:space="preserve"/>
      </w:r>
    </w:p>
    <w:p>
      <w:pPr>
        <w:spacing w:after="0" w:before="0" w:line="200" w:lineRule="exact"/>
        <w:jc w:val="center"/>
      </w:pPr>
      <w:r>
        <w:rPr>
          <w:rFonts w:ascii="Courier New" w:cs="Courier New" w:eastAsia="Courier New" w:hAnsi="Courier New"/>
          <w:color w:val="000000"/>
          <w:sz w:val="16"/>
          <w:szCs w:val="16"/>
        </w:rPr>
        <w:t xml:space="preserve">F1  ████  Auth + Pacientes (2 sem)</w:t>
      </w:r>
    </w:p>
    <w:p>
      <w:pPr>
        <w:spacing w:after="0" w:before="0" w:line="200" w:lineRule="exact"/>
        <w:jc w:val="center"/>
      </w:pPr>
      <w:r>
        <w:rPr>
          <w:rFonts w:ascii="Courier New" w:cs="Courier New" w:eastAsia="Courier New" w:hAnsi="Courier New"/>
          <w:color w:val="000000"/>
          <w:sz w:val="16"/>
          <w:szCs w:val="16"/>
        </w:rPr>
        <w:t xml:space="preserve">         MFA, RBAC, Historia Clínica base</w:t>
      </w:r>
    </w:p>
    <w:p>
      <w:pPr>
        <w:spacing w:after="0" w:before="0" w:line="200" w:lineRule="exact"/>
        <w:jc w:val="center"/>
      </w:pPr>
      <w:r>
        <w:rPr>
          <w:rFonts w:ascii="Courier New" w:cs="Courier New" w:eastAsia="Courier New" w:hAnsi="Courier New"/>
          <w:color w:val="000000"/>
          <w:sz w:val="16"/>
          <w:szCs w:val="16"/>
        </w:rPr>
        <w:t xml:space="preserve"/>
      </w:r>
    </w:p>
    <w:p>
      <w:pPr>
        <w:spacing w:after="0" w:before="0" w:line="200" w:lineRule="exact"/>
        <w:jc w:val="center"/>
      </w:pPr>
      <w:r>
        <w:rPr>
          <w:rFonts w:ascii="Courier New" w:cs="Courier New" w:eastAsia="Courier New" w:hAnsi="Courier New"/>
          <w:color w:val="000000"/>
          <w:sz w:val="16"/>
          <w:szCs w:val="16"/>
        </w:rPr>
        <w:t xml:space="preserve">F2  ████  Historia Clínica Completa (2 sem)</w:t>
      </w:r>
    </w:p>
    <w:p>
      <w:pPr>
        <w:spacing w:after="0" w:before="0" w:line="200" w:lineRule="exact"/>
        <w:jc w:val="center"/>
      </w:pPr>
      <w:r>
        <w:rPr>
          <w:rFonts w:ascii="Courier New" w:cs="Courier New" w:eastAsia="Courier New" w:hAnsi="Courier New"/>
          <w:color w:val="000000"/>
          <w:sz w:val="16"/>
          <w:szCs w:val="16"/>
        </w:rPr>
        <w:t xml:space="preserve">         CPN, Diagnósticos CIE-10, PDF</w:t>
      </w:r>
    </w:p>
    <w:p>
      <w:pPr>
        <w:spacing w:after="0" w:before="0" w:line="200" w:lineRule="exact"/>
        <w:jc w:val="center"/>
      </w:pPr>
      <w:r>
        <w:rPr>
          <w:rFonts w:ascii="Courier New" w:cs="Courier New" w:eastAsia="Courier New" w:hAnsi="Courier New"/>
          <w:color w:val="000000"/>
          <w:sz w:val="16"/>
          <w:szCs w:val="16"/>
        </w:rPr>
        <w:t xml:space="preserve"/>
      </w:r>
    </w:p>
    <w:p>
      <w:pPr>
        <w:spacing w:after="0" w:before="0" w:line="200" w:lineRule="exact"/>
        <w:jc w:val="center"/>
      </w:pPr>
      <w:r>
        <w:rPr>
          <w:rFonts w:ascii="Courier New" w:cs="Courier New" w:eastAsia="Courier New" w:hAnsi="Courier New"/>
          <w:color w:val="000000"/>
          <w:sz w:val="16"/>
          <w:szCs w:val="16"/>
        </w:rPr>
        <w:t xml:space="preserve">F3  ████  Laboratorio (1.5 sem)</w:t>
      </w:r>
    </w:p>
    <w:p>
      <w:pPr>
        <w:spacing w:after="0" w:before="0" w:line="200" w:lineRule="exact"/>
        <w:jc w:val="center"/>
      </w:pPr>
      <w:r>
        <w:rPr>
          <w:rFonts w:ascii="Courier New" w:cs="Courier New" w:eastAsia="Courier New" w:hAnsi="Courier New"/>
          <w:color w:val="000000"/>
          <w:sz w:val="16"/>
          <w:szCs w:val="16"/>
        </w:rPr>
        <w:t xml:space="preserve">         Órdenes, resultados, alertas</w:t>
      </w:r>
    </w:p>
    <w:p>
      <w:pPr>
        <w:spacing w:after="0" w:before="0" w:line="200" w:lineRule="exact"/>
        <w:jc w:val="center"/>
      </w:pPr>
      <w:r>
        <w:rPr>
          <w:rFonts w:ascii="Courier New" w:cs="Courier New" w:eastAsia="Courier New" w:hAnsi="Courier New"/>
          <w:color w:val="000000"/>
          <w:sz w:val="16"/>
          <w:szCs w:val="16"/>
        </w:rPr>
        <w:t xml:space="preserve"/>
      </w:r>
    </w:p>
    <w:p>
      <w:pPr>
        <w:spacing w:after="0" w:before="0" w:line="200" w:lineRule="exact"/>
        <w:jc w:val="center"/>
      </w:pPr>
      <w:r>
        <w:rPr>
          <w:rFonts w:ascii="Courier New" w:cs="Courier New" w:eastAsia="Courier New" w:hAnsi="Courier New"/>
          <w:color w:val="000000"/>
          <w:sz w:val="16"/>
          <w:szCs w:val="16"/>
        </w:rPr>
        <w:t xml:space="preserve">F4  ████  DICOM + IA v1 (3 sem)  ← CRÍTICA</w:t>
      </w:r>
    </w:p>
    <w:p>
      <w:pPr>
        <w:spacing w:after="0" w:before="0" w:line="200" w:lineRule="exact"/>
        <w:jc w:val="center"/>
      </w:pPr>
      <w:r>
        <w:rPr>
          <w:rFonts w:ascii="Courier New" w:cs="Courier New" w:eastAsia="Courier New" w:hAnsi="Courier New"/>
          <w:color w:val="000000"/>
          <w:sz w:val="16"/>
          <w:szCs w:val="16"/>
        </w:rPr>
        <w:t xml:space="preserve">         CNN, Grad-CAM, validación médica</w:t>
      </w:r>
    </w:p>
    <w:p>
      <w:pPr>
        <w:spacing w:after="0" w:before="0" w:line="200" w:lineRule="exact"/>
        <w:jc w:val="center"/>
      </w:pPr>
      <w:r>
        <w:rPr>
          <w:rFonts w:ascii="Courier New" w:cs="Courier New" w:eastAsia="Courier New" w:hAnsi="Courier New"/>
          <w:color w:val="000000"/>
          <w:sz w:val="16"/>
          <w:szCs w:val="16"/>
        </w:rPr>
        <w:t xml:space="preserve"/>
      </w:r>
    </w:p>
    <w:p>
      <w:pPr>
        <w:spacing w:after="0" w:before="0" w:line="200" w:lineRule="exact"/>
        <w:jc w:val="center"/>
      </w:pPr>
      <w:r>
        <w:rPr>
          <w:rFonts w:ascii="Courier New" w:cs="Courier New" w:eastAsia="Courier New" w:hAnsi="Courier New"/>
          <w:color w:val="000000"/>
          <w:sz w:val="16"/>
          <w:szCs w:val="16"/>
        </w:rPr>
        <w:t xml:space="preserve">F5  ████  Admin Multi-Sucursal (1.5 sem)</w:t>
      </w:r>
    </w:p>
    <w:p>
      <w:pPr>
        <w:spacing w:after="0" w:before="0" w:line="200" w:lineRule="exact"/>
        <w:jc w:val="center"/>
      </w:pPr>
      <w:r>
        <w:rPr>
          <w:rFonts w:ascii="Courier New" w:cs="Courier New" w:eastAsia="Courier New" w:hAnsi="Courier New"/>
          <w:color w:val="000000"/>
          <w:sz w:val="16"/>
          <w:szCs w:val="16"/>
        </w:rPr>
        <w:t xml:space="preserve">         Tenant isolation, facturación</w:t>
      </w:r>
    </w:p>
    <w:p>
      <w:pPr>
        <w:spacing w:after="0" w:before="0" w:line="200" w:lineRule="exact"/>
        <w:jc w:val="center"/>
      </w:pPr>
      <w:r>
        <w:rPr>
          <w:rFonts w:ascii="Courier New" w:cs="Courier New" w:eastAsia="Courier New" w:hAnsi="Courier New"/>
          <w:color w:val="000000"/>
          <w:sz w:val="16"/>
          <w:szCs w:val="16"/>
        </w:rPr>
        <w:t xml:space="preserve"/>
      </w:r>
    </w:p>
    <w:p>
      <w:pPr>
        <w:spacing w:after="0" w:before="0" w:line="200" w:lineRule="exact"/>
        <w:jc w:val="center"/>
      </w:pPr>
      <w:r>
        <w:rPr>
          <w:rFonts w:ascii="Courier New" w:cs="Courier New" w:eastAsia="Courier New" w:hAnsi="Courier New"/>
          <w:color w:val="000000"/>
          <w:sz w:val="16"/>
          <w:szCs w:val="16"/>
        </w:rPr>
        <w:t xml:space="preserve">F6  ████  Seguridad + Compliance (1 sem)</w:t>
      </w:r>
    </w:p>
    <w:p>
      <w:pPr>
        <w:spacing w:after="0" w:before="0" w:line="200" w:lineRule="exact"/>
        <w:jc w:val="center"/>
      </w:pPr>
      <w:r>
        <w:rPr>
          <w:rFonts w:ascii="Courier New" w:cs="Courier New" w:eastAsia="Courier New" w:hAnsi="Courier New"/>
          <w:color w:val="000000"/>
          <w:sz w:val="16"/>
          <w:szCs w:val="16"/>
        </w:rPr>
        <w:t xml:space="preserve">         AES-256, TLS 1.3, OWASP Top 10</w:t>
      </w:r>
    </w:p>
    <w:p>
      <w:pPr>
        <w:spacing w:after="0" w:before="0" w:line="200" w:lineRule="exact"/>
        <w:jc w:val="center"/>
      </w:pPr>
      <w:r>
        <w:rPr>
          <w:rFonts w:ascii="Courier New" w:cs="Courier New" w:eastAsia="Courier New" w:hAnsi="Courier New"/>
          <w:color w:val="000000"/>
          <w:sz w:val="16"/>
          <w:szCs w:val="16"/>
        </w:rPr>
        <w:t xml:space="preserve"/>
      </w:r>
    </w:p>
    <w:p>
      <w:pPr>
        <w:spacing w:after="0" w:before="0" w:line="200" w:lineRule="exact"/>
        <w:jc w:val="center"/>
      </w:pPr>
      <w:r>
        <w:rPr>
          <w:rFonts w:ascii="Courier New" w:cs="Courier New" w:eastAsia="Courier New" w:hAnsi="Courier New"/>
          <w:color w:val="000000"/>
          <w:sz w:val="16"/>
          <w:szCs w:val="16"/>
        </w:rPr>
        <w:t xml:space="preserve">F7  ████  Validación + Deploy (1 sem)</w:t>
      </w:r>
    </w:p>
    <w:p>
      <w:pPr>
        <w:spacing w:after="0" w:before="0" w:line="200" w:lineRule="exact"/>
        <w:jc w:val="center"/>
      </w:pPr>
      <w:r>
        <w:rPr>
          <w:rFonts w:ascii="Courier New" w:cs="Courier New" w:eastAsia="Courier New" w:hAnsi="Courier New"/>
          <w:color w:val="000000"/>
          <w:sz w:val="16"/>
          <w:szCs w:val="16"/>
        </w:rPr>
        <w:t xml:space="preserve">         UAT médico, documentación, prod</w:t>
      </w:r>
    </w:p>
    <w:p>
      <w:pPr>
        <w:spacing w:after="160" w:before="60" w:line="218" w:lineRule="exact"/>
        <w:jc w:val="center"/>
      </w:pPr>
      <w:r>
        <w:rPr>
          <w:rFonts w:ascii="Times New Roman" w:cs="Times New Roman" w:eastAsia="Times New Roman" w:hAnsi="Times New Roman"/>
          <w:i/>
          <w:iCs/>
          <w:color w:val="000000"/>
          <w:sz w:val="20"/>
          <w:szCs w:val="20"/>
        </w:rPr>
        <w:t xml:space="preserve">Fig. 4. Diagrama de fases del proyecto con duración estimada.</w:t>
      </w:r>
    </w:p>
    <w:p>
      <w:pPr>
        <w:spacing w:after="60" w:before="60"/>
      </w:pPr>
      <w:r>
        <w:t xml:space="preserve"/>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C. Spikes de Investigación Obligatorios</w:t>
      </w:r>
    </w:p>
    <w:p>
      <w:pPr>
        <w:spacing w:after="60" w:before="200" w:line="218" w:lineRule="exact"/>
        <w:jc w:val="center"/>
      </w:pPr>
      <w:r>
        <w:rPr>
          <w:rFonts w:ascii="Times New Roman" w:cs="Times New Roman" w:eastAsia="Times New Roman" w:hAnsi="Times New Roman"/>
          <w:b/>
          <w:bCs/>
          <w:color w:val="000000"/>
          <w:sz w:val="20"/>
          <w:szCs w:val="20"/>
        </w:rPr>
        <w:t xml:space="preserve">TABLE VI — Spikes Previos al Sprint 1</w:t>
      </w:r>
    </w:p>
    <w:tbl>
      <w:tblPr>
        <w:tblW w:type="dxa" w:w="62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900"/>
        <w:gridCol w:w="2660"/>
      </w:tblGrid>
      <w:tr>
        <w:trPr>
          <w:tblHeader/>
        </w:trPr>
        <w:tc>
          <w:tcPr>
            <w:tcW w:type="dxa" w:w="11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Spike</w:t>
            </w:r>
          </w:p>
        </w:tc>
        <w:tc>
          <w:tcPr>
            <w:tcW w:type="dxa" w:w="16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Objetivo</w:t>
            </w:r>
          </w:p>
        </w:tc>
        <w:tc>
          <w:tcPr>
            <w:tcW w:type="dxa" w:w="9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Duración</w:t>
            </w:r>
          </w:p>
        </w:tc>
        <w:tc>
          <w:tcPr>
            <w:tcW w:type="dxa" w:w="266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Criterio Done</w:t>
            </w:r>
          </w:p>
        </w:tc>
      </w:tr>
      <w:tr>
        <w:tc>
          <w:tcPr>
            <w:tcW w:type="dxa" w:w="11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CNN Médico</w:t>
            </w:r>
          </w:p>
        </w:tc>
        <w:tc>
          <w:tcPr>
            <w:tcW w:type="dxa" w:w="16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EfficientNet-B4+MONAI sobre DICOM</w:t>
            </w:r>
          </w:p>
        </w:tc>
        <w:tc>
          <w:tcPr>
            <w:tcW w:type="dxa" w:w="9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3 días</w:t>
            </w:r>
          </w:p>
        </w:tc>
        <w:tc>
          <w:tcPr>
            <w:tcW w:type="dxa" w:w="26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Inferencia funcional en 10 imágenes DICOM</w:t>
            </w:r>
          </w:p>
        </w:tc>
      </w:tr>
      <w:tr>
        <w:tc>
          <w:tcPr>
            <w:tcW w:type="dxa" w:w="11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DICOM-Orthanc</w:t>
            </w:r>
          </w:p>
        </w:tc>
        <w:tc>
          <w:tcPr>
            <w:tcW w:type="dxa" w:w="16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Subida DICOM, REST API, OHIF Viewer</w:t>
            </w:r>
          </w:p>
        </w:tc>
        <w:tc>
          <w:tcPr>
            <w:tcW w:type="dxa" w:w="9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2 días</w:t>
            </w:r>
          </w:p>
        </w:tc>
        <w:tc>
          <w:tcPr>
            <w:tcW w:type="dxa" w:w="26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DICOM subido y visualizable en OHIF local</w:t>
            </w:r>
          </w:p>
        </w:tc>
      </w:tr>
      <w:tr>
        <w:tc>
          <w:tcPr>
            <w:tcW w:type="dxa" w:w="11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Multi-tenant</w:t>
            </w:r>
          </w:p>
        </w:tc>
        <w:tc>
          <w:tcPr>
            <w:tcW w:type="dxa" w:w="16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Aislamiento de datos por clínica</w:t>
            </w:r>
          </w:p>
        </w:tc>
        <w:tc>
          <w:tcPr>
            <w:tcW w:type="dxa" w:w="9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2 días</w:t>
            </w:r>
          </w:p>
        </w:tc>
        <w:tc>
          <w:tcPr>
            <w:tcW w:type="dxa" w:w="26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Usuario clínica A no ve datos de clínica B</w:t>
            </w:r>
          </w:p>
        </w:tc>
      </w:tr>
      <w:tr>
        <w:tc>
          <w:tcPr>
            <w:tcW w:type="dxa" w:w="11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Kong Gateway</w:t>
            </w:r>
          </w:p>
        </w:tc>
        <w:tc>
          <w:tcPr>
            <w:tcW w:type="dxa" w:w="16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JWT validation + routing a servicios</w:t>
            </w:r>
          </w:p>
        </w:tc>
        <w:tc>
          <w:tcPr>
            <w:tcW w:type="dxa" w:w="9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1 día</w:t>
            </w:r>
          </w:p>
        </w:tc>
        <w:tc>
          <w:tcPr>
            <w:tcW w:type="dxa" w:w="26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Sin JWT → 401; con JWT válido → 200</w:t>
            </w:r>
          </w:p>
        </w:tc>
      </w:tr>
    </w:tbl>
    <w:p>
      <w:pPr>
        <w:spacing w:after="60" w:before="60"/>
      </w:pPr>
      <w:r>
        <w:t xml:space="preserve"/>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D. Definition of Done</w:t>
      </w:r>
    </w:p>
    <w:p>
      <w:pPr>
        <w:spacing w:after="80" w:before="0" w:line="218" w:lineRule="exact"/>
        <w:ind w:firstLine="360"/>
        <w:jc w:val="both"/>
      </w:pPr>
      <w:r>
        <w:rPr>
          <w:rFonts w:ascii="Times New Roman" w:cs="Times New Roman" w:eastAsia="Times New Roman" w:hAnsi="Times New Roman"/>
          <w:color w:val="000000"/>
          <w:sz w:val="20"/>
          <w:szCs w:val="20"/>
        </w:rPr>
        <w:t xml:space="preserve">Historia funcional: código con self-review, cobertura tests ≥80% lógica de negocio, test de integración aprobado, validado en staging, OpenAPI actualizado, sin vulnerabilidades críticas en bandit.</w:t>
      </w:r>
    </w:p>
    <w:p>
      <w:pPr>
        <w:spacing w:after="80" w:before="0" w:line="218" w:lineRule="exact"/>
        <w:ind w:firstLine="360"/>
        <w:jc w:val="both"/>
      </w:pPr>
      <w:r>
        <w:rPr>
          <w:rFonts w:ascii="Times New Roman" w:cs="Times New Roman" w:eastAsia="Times New Roman" w:hAnsi="Times New Roman"/>
          <w:color w:val="000000"/>
          <w:sz w:val="20"/>
          <w:szCs w:val="20"/>
        </w:rPr>
        <w:t xml:space="preserve">Historia ML/IA: métricas técnicas cumplen umbrales (AUC-ROC ≥0.90, Sensibilidad ≥0.92), validación clínica documentada por médico especialista, Grad-CAM visible en frontend, modo degradado probado, modelo versionado en MLflow.</w:t>
      </w:r>
    </w:p>
    <w:p>
      <w:pPr>
        <w:spacing w:after="80" w:before="0" w:line="218" w:lineRule="exact"/>
        <w:ind w:firstLine="360"/>
        <w:jc w:val="both"/>
      </w:pPr>
      <w:r>
        <w:rPr>
          <w:rFonts w:ascii="Times New Roman" w:cs="Times New Roman" w:eastAsia="Times New Roman" w:hAnsi="Times New Roman"/>
          <w:color w:val="000000"/>
          <w:sz w:val="20"/>
          <w:szCs w:val="20"/>
        </w:rPr>
        <w:t xml:space="preserve">Historia de seguridad: control OWASP verificado, audit log genera entrada correcta, test de acceso no autorizado (rol incorrecto → HTTP 403), documentado en SAD y checklist IEC 62304.</w:t>
      </w:r>
    </w:p>
    <w:p>
      <w:pPr>
        <w:spacing w:after="60" w:before="60"/>
      </w:pPr>
      <w:r>
        <w:t xml:space="preserve"/>
      </w:r>
    </w:p>
    <w:p>
      <w:pPr>
        <w:spacing w:after="120" w:before="240" w:line="218" w:lineRule="exact"/>
        <w:jc w:val="center"/>
      </w:pPr>
      <w:r>
        <w:rPr>
          <w:rFonts w:ascii="Times New Roman" w:cs="Times New Roman" w:eastAsia="Times New Roman" w:hAnsi="Times New Roman"/>
          <w:b/>
          <w:bCs/>
          <w:smallCaps/>
          <w:color w:val="000000"/>
          <w:sz w:val="20"/>
          <w:szCs w:val="20"/>
        </w:rPr>
        <w:t xml:space="preserve">VI. STACK TECNOLÓGICO</w:t>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A. Tabla de Stack Completo</w:t>
      </w:r>
    </w:p>
    <w:p>
      <w:pPr>
        <w:spacing w:after="60" w:before="200" w:line="218" w:lineRule="exact"/>
        <w:jc w:val="center"/>
      </w:pPr>
      <w:r>
        <w:rPr>
          <w:rFonts w:ascii="Times New Roman" w:cs="Times New Roman" w:eastAsia="Times New Roman" w:hAnsi="Times New Roman"/>
          <w:b/>
          <w:bCs/>
          <w:color w:val="000000"/>
          <w:sz w:val="20"/>
          <w:szCs w:val="20"/>
        </w:rPr>
        <w:t xml:space="preserve">TABLE VII — Stack Tecnológico por Capa</w:t>
      </w: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800"/>
        <w:gridCol w:w="1700"/>
        <w:gridCol w:w="900"/>
      </w:tblGrid>
      <w:tr>
        <w:trPr>
          <w:tblHeader/>
        </w:trPr>
        <w:tc>
          <w:tcPr>
            <w:tcW w:type="dxa" w:w="10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Capa</w:t>
            </w:r>
          </w:p>
        </w:tc>
        <w:tc>
          <w:tcPr>
            <w:tcW w:type="dxa" w:w="12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Tecnología</w:t>
            </w:r>
          </w:p>
        </w:tc>
        <w:tc>
          <w:tcPr>
            <w:tcW w:type="dxa" w:w="8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Versión</w:t>
            </w:r>
          </w:p>
        </w:tc>
        <w:tc>
          <w:tcPr>
            <w:tcW w:type="dxa" w:w="17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Justificación</w:t>
            </w:r>
          </w:p>
        </w:tc>
        <w:tc>
          <w:tcPr>
            <w:tcW w:type="dxa" w:w="9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Alternativa</w:t>
            </w:r>
          </w:p>
        </w:tc>
      </w:tr>
      <w:tr>
        <w:tc>
          <w:tcPr>
            <w:tcW w:type="dxa" w:w="10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Frontend</w:t>
            </w:r>
          </w:p>
        </w:tc>
        <w:tc>
          <w:tcPr>
            <w:tcW w:type="dxa" w:w="12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React + TypeScript</w:t>
            </w:r>
          </w:p>
        </w:tc>
        <w:tc>
          <w:tcPr>
            <w:tcW w:type="dxa" w:w="8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React 18</w:t>
            </w:r>
          </w:p>
        </w:tc>
        <w:tc>
          <w:tcPr>
            <w:tcW w:type="dxa" w:w="17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TS previene errores de tipo en datos clínicos</w:t>
            </w:r>
          </w:p>
        </w:tc>
        <w:tc>
          <w:tcPr>
            <w:tcW w:type="dxa" w:w="9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Vue 3</w:t>
            </w:r>
          </w:p>
        </w:tc>
      </w:tr>
      <w:tr>
        <w:tc>
          <w:tcPr>
            <w:tcW w:type="dxa" w:w="10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UI</w:t>
            </w:r>
          </w:p>
        </w:tc>
        <w:tc>
          <w:tcPr>
            <w:tcW w:type="dxa" w:w="12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Ant Design</w:t>
            </w:r>
          </w:p>
        </w:tc>
        <w:tc>
          <w:tcPr>
            <w:tcW w:type="dxa" w:w="8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5.x</w:t>
            </w:r>
          </w:p>
        </w:tc>
        <w:tc>
          <w:tcPr>
            <w:tcW w:type="dxa" w:w="17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Componentes enterprise para tablas médicas complejas</w:t>
            </w:r>
          </w:p>
        </w:tc>
        <w:tc>
          <w:tcPr>
            <w:tcW w:type="dxa" w:w="9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Material-UI</w:t>
            </w:r>
          </w:p>
        </w:tc>
      </w:tr>
      <w:tr>
        <w:tc>
          <w:tcPr>
            <w:tcW w:type="dxa" w:w="10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State</w:t>
            </w:r>
          </w:p>
        </w:tc>
        <w:tc>
          <w:tcPr>
            <w:tcW w:type="dxa" w:w="12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Zustand + ReactQuery</w:t>
            </w:r>
          </w:p>
        </w:tc>
        <w:tc>
          <w:tcPr>
            <w:tcW w:type="dxa" w:w="8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4.x + 5.x</w:t>
            </w:r>
          </w:p>
        </w:tc>
        <w:tc>
          <w:tcPr>
            <w:tcW w:type="dxa" w:w="17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RQ para server state; Zustand para UI state</w:t>
            </w:r>
          </w:p>
        </w:tc>
        <w:tc>
          <w:tcPr>
            <w:tcW w:type="dxa" w:w="9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Redux Toolkit</w:t>
            </w:r>
          </w:p>
        </w:tc>
      </w:tr>
      <w:tr>
        <w:tc>
          <w:tcPr>
            <w:tcW w:type="dxa" w:w="10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DICOM Viewer</w:t>
            </w:r>
          </w:p>
        </w:tc>
        <w:tc>
          <w:tcPr>
            <w:tcW w:type="dxa" w:w="12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OHIF Viewer</w:t>
            </w:r>
          </w:p>
        </w:tc>
        <w:tc>
          <w:tcPr>
            <w:tcW w:type="dxa" w:w="8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3.x</w:t>
            </w:r>
          </w:p>
        </w:tc>
        <w:tc>
          <w:tcPr>
            <w:tcW w:type="dxa" w:w="17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Estándar clínico open-source, integración nativa Orthanc</w:t>
            </w:r>
          </w:p>
        </w:tc>
        <w:tc>
          <w:tcPr>
            <w:tcW w:type="dxa" w:w="9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Cornerstone.js</w:t>
            </w:r>
          </w:p>
        </w:tc>
      </w:tr>
      <w:tr>
        <w:tc>
          <w:tcPr>
            <w:tcW w:type="dxa" w:w="10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Backend</w:t>
            </w:r>
          </w:p>
        </w:tc>
        <w:tc>
          <w:tcPr>
            <w:tcW w:type="dxa" w:w="12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Django + DRF</w:t>
            </w:r>
          </w:p>
        </w:tc>
        <w:tc>
          <w:tcPr>
            <w:tcW w:type="dxa" w:w="8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Django 5</w:t>
            </w:r>
          </w:p>
        </w:tc>
        <w:tc>
          <w:tcPr>
            <w:tcW w:type="dxa" w:w="17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ORM maduro, auth robusta, ecosistema médico</w:t>
            </w:r>
          </w:p>
        </w:tc>
        <w:tc>
          <w:tcPr>
            <w:tcW w:type="dxa" w:w="9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FastAPI solo</w:t>
            </w:r>
          </w:p>
        </w:tc>
      </w:tr>
      <w:tr>
        <w:tc>
          <w:tcPr>
            <w:tcW w:type="dxa" w:w="10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ML Service</w:t>
            </w:r>
          </w:p>
        </w:tc>
        <w:tc>
          <w:tcPr>
            <w:tcW w:type="dxa" w:w="12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FastAPI + PyTorch</w:t>
            </w:r>
          </w:p>
        </w:tc>
        <w:tc>
          <w:tcPr>
            <w:tcW w:type="dxa" w:w="8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0.110 + 2.2</w:t>
            </w:r>
          </w:p>
        </w:tc>
        <w:tc>
          <w:tcPr>
            <w:tcW w:type="dxa" w:w="17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Async para inferencia &lt;2s; MONAI para IA médica</w:t>
            </w:r>
          </w:p>
        </w:tc>
        <w:tc>
          <w:tcPr>
            <w:tcW w:type="dxa" w:w="9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TensorFlow</w:t>
            </w:r>
          </w:p>
        </w:tc>
      </w:tr>
      <w:tr>
        <w:tc>
          <w:tcPr>
            <w:tcW w:type="dxa" w:w="10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DICOM Server</w:t>
            </w:r>
          </w:p>
        </w:tc>
        <w:tc>
          <w:tcPr>
            <w:tcW w:type="dxa" w:w="12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Orthanc</w:t>
            </w:r>
          </w:p>
        </w:tc>
        <w:tc>
          <w:tcPr>
            <w:tcW w:type="dxa" w:w="8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1.12</w:t>
            </w:r>
          </w:p>
        </w:tc>
        <w:tc>
          <w:tcPr>
            <w:tcW w:type="dxa" w:w="17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PACS open-source hospitalario con REST API nativa</w:t>
            </w:r>
          </w:p>
        </w:tc>
        <w:tc>
          <w:tcPr>
            <w:tcW w:type="dxa" w:w="9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DCM4CHEE</w:t>
            </w:r>
          </w:p>
        </w:tc>
      </w:tr>
      <w:tr>
        <w:tc>
          <w:tcPr>
            <w:tcW w:type="dxa" w:w="10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Base de datos</w:t>
            </w:r>
          </w:p>
        </w:tc>
        <w:tc>
          <w:tcPr>
            <w:tcW w:type="dxa" w:w="12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PostgreSQL</w:t>
            </w:r>
          </w:p>
        </w:tc>
        <w:tc>
          <w:tcPr>
            <w:tcW w:type="dxa" w:w="8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16.x</w:t>
            </w:r>
          </w:p>
        </w:tc>
        <w:tc>
          <w:tcPr>
            <w:tcW w:type="dxa" w:w="17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ACID compliance, JSONB, pg_vector para embeddings</w:t>
            </w:r>
          </w:p>
        </w:tc>
        <w:tc>
          <w:tcPr>
            <w:tcW w:type="dxa" w:w="9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MySQL 8</w:t>
            </w:r>
          </w:p>
        </w:tc>
      </w:tr>
      <w:tr>
        <w:tc>
          <w:tcPr>
            <w:tcW w:type="dxa" w:w="10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Caché</w:t>
            </w:r>
          </w:p>
        </w:tc>
        <w:tc>
          <w:tcPr>
            <w:tcW w:type="dxa" w:w="12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Redis</w:t>
            </w:r>
          </w:p>
        </w:tc>
        <w:tc>
          <w:tcPr>
            <w:tcW w:type="dxa" w:w="8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7.x</w:t>
            </w:r>
          </w:p>
        </w:tc>
        <w:tc>
          <w:tcPr>
            <w:tcW w:type="dxa" w:w="17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Sesiones, rate limiting, Pub/Sub notificaciones</w:t>
            </w:r>
          </w:p>
        </w:tc>
        <w:tc>
          <w:tcPr>
            <w:tcW w:type="dxa" w:w="9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Memcached</w:t>
            </w:r>
          </w:p>
        </w:tc>
      </w:tr>
      <w:tr>
        <w:tc>
          <w:tcPr>
            <w:tcW w:type="dxa" w:w="10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Mensajería</w:t>
            </w:r>
          </w:p>
        </w:tc>
        <w:tc>
          <w:tcPr>
            <w:tcW w:type="dxa" w:w="12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RabbitMQ</w:t>
            </w:r>
          </w:p>
        </w:tc>
        <w:tc>
          <w:tcPr>
            <w:tcW w:type="dxa" w:w="8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3.13</w:t>
            </w:r>
          </w:p>
        </w:tc>
        <w:tc>
          <w:tcPr>
            <w:tcW w:type="dxa" w:w="17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Desacoplamiento servicios. Menor complejidad que Kafka</w:t>
            </w:r>
          </w:p>
        </w:tc>
        <w:tc>
          <w:tcPr>
            <w:tcW w:type="dxa" w:w="9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Apache Kafka</w:t>
            </w:r>
          </w:p>
        </w:tc>
      </w:tr>
      <w:tr>
        <w:tc>
          <w:tcPr>
            <w:tcW w:type="dxa" w:w="10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API Gateway</w:t>
            </w:r>
          </w:p>
        </w:tc>
        <w:tc>
          <w:tcPr>
            <w:tcW w:type="dxa" w:w="12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Kong</w:t>
            </w:r>
          </w:p>
        </w:tc>
        <w:tc>
          <w:tcPr>
            <w:tcW w:type="dxa" w:w="8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3.x</w:t>
            </w:r>
          </w:p>
        </w:tc>
        <w:tc>
          <w:tcPr>
            <w:tcW w:type="dxa" w:w="17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Rate limiting, JWT, SSL, plugins open-source</w:t>
            </w:r>
          </w:p>
        </w:tc>
        <w:tc>
          <w:tcPr>
            <w:tcW w:type="dxa" w:w="9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Nginx</w:t>
            </w:r>
          </w:p>
        </w:tc>
      </w:tr>
      <w:tr>
        <w:tc>
          <w:tcPr>
            <w:tcW w:type="dxa" w:w="10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Almacenamiento</w:t>
            </w:r>
          </w:p>
        </w:tc>
        <w:tc>
          <w:tcPr>
            <w:tcW w:type="dxa" w:w="12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MinIO</w:t>
            </w:r>
          </w:p>
        </w:tc>
        <w:tc>
          <w:tcPr>
            <w:tcW w:type="dxa" w:w="8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2024</w:t>
            </w:r>
          </w:p>
        </w:tc>
        <w:tc>
          <w:tcPr>
            <w:tcW w:type="dxa" w:w="17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S3-API on-premise; cumple Ley 164 Bolivia</w:t>
            </w:r>
          </w:p>
        </w:tc>
        <w:tc>
          <w:tcPr>
            <w:tcW w:type="dxa" w:w="9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AWS S3</w:t>
            </w:r>
          </w:p>
        </w:tc>
      </w:tr>
      <w:tr>
        <w:tc>
          <w:tcPr>
            <w:tcW w:type="dxa" w:w="10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IA Médica</w:t>
            </w:r>
          </w:p>
        </w:tc>
        <w:tc>
          <w:tcPr>
            <w:tcW w:type="dxa" w:w="12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MONAI</w:t>
            </w:r>
          </w:p>
        </w:tc>
        <w:tc>
          <w:tcPr>
            <w:tcW w:type="dxa" w:w="8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1.3</w:t>
            </w:r>
          </w:p>
        </w:tc>
        <w:tc>
          <w:tcPr>
            <w:tcW w:type="dxa" w:w="17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Transforms DICOM, métricas clínicas, modelos pre-entrenados</w:t>
            </w:r>
          </w:p>
        </w:tc>
        <w:tc>
          <w:tcPr>
            <w:tcW w:type="dxa" w:w="9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PyTorch puro</w:t>
            </w:r>
          </w:p>
        </w:tc>
      </w:tr>
      <w:tr>
        <w:tc>
          <w:tcPr>
            <w:tcW w:type="dxa" w:w="10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Infraestructura</w:t>
            </w:r>
          </w:p>
        </w:tc>
        <w:tc>
          <w:tcPr>
            <w:tcW w:type="dxa" w:w="12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Docker + K3s</w:t>
            </w:r>
          </w:p>
        </w:tc>
        <w:tc>
          <w:tcPr>
            <w:tcW w:type="dxa" w:w="8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Docker 25</w:t>
            </w:r>
          </w:p>
        </w:tc>
        <w:tc>
          <w:tcPr>
            <w:tcW w:type="dxa" w:w="17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Compose para dev; K3s Kubernetes ligero para prod</w:t>
            </w:r>
          </w:p>
        </w:tc>
        <w:tc>
          <w:tcPr>
            <w:tcW w:type="dxa" w:w="9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Docker Swarm</w:t>
            </w:r>
          </w:p>
        </w:tc>
      </w:tr>
      <w:tr>
        <w:tc>
          <w:tcPr>
            <w:tcW w:type="dxa" w:w="10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CI/CD</w:t>
            </w:r>
          </w:p>
        </w:tc>
        <w:tc>
          <w:tcPr>
            <w:tcW w:type="dxa" w:w="12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GitHub Actions</w:t>
            </w:r>
          </w:p>
        </w:tc>
        <w:tc>
          <w:tcPr>
            <w:tcW w:type="dxa" w:w="8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w:t>
            </w:r>
          </w:p>
        </w:tc>
        <w:tc>
          <w:tcPr>
            <w:tcW w:type="dxa" w:w="17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Pipelines test/lint/build/deploy automatizados</w:t>
            </w:r>
          </w:p>
        </w:tc>
        <w:tc>
          <w:tcPr>
            <w:tcW w:type="dxa" w:w="9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GitLab CI</w:t>
            </w:r>
          </w:p>
        </w:tc>
      </w:tr>
      <w:tr>
        <w:tc>
          <w:tcPr>
            <w:tcW w:type="dxa" w:w="10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Monitoreo</w:t>
            </w:r>
          </w:p>
        </w:tc>
        <w:tc>
          <w:tcPr>
            <w:tcW w:type="dxa" w:w="12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Prometheus+Grafana+Sentry</w:t>
            </w:r>
          </w:p>
        </w:tc>
        <w:tc>
          <w:tcPr>
            <w:tcW w:type="dxa" w:w="8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Prom 2.50</w:t>
            </w:r>
          </w:p>
        </w:tc>
        <w:tc>
          <w:tcPr>
            <w:tcW w:type="dxa" w:w="17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Métricas, dashboards y errores centralizados</w:t>
            </w:r>
          </w:p>
        </w:tc>
        <w:tc>
          <w:tcPr>
            <w:tcW w:type="dxa" w:w="9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Datadog</w:t>
            </w:r>
          </w:p>
        </w:tc>
      </w:tr>
      <w:tr>
        <w:tc>
          <w:tcPr>
            <w:tcW w:type="dxa" w:w="10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Secretos</w:t>
            </w:r>
          </w:p>
        </w:tc>
        <w:tc>
          <w:tcPr>
            <w:tcW w:type="dxa" w:w="12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HashiCorp Vault</w:t>
            </w:r>
          </w:p>
        </w:tc>
        <w:tc>
          <w:tcPr>
            <w:tcW w:type="dxa" w:w="8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1.16</w:t>
            </w:r>
          </w:p>
        </w:tc>
        <w:tc>
          <w:tcPr>
            <w:tcW w:type="dxa" w:w="17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Gestión centralizada. Nunca en código ni .env prod</w:t>
            </w:r>
          </w:p>
        </w:tc>
        <w:tc>
          <w:tcPr>
            <w:tcW w:type="dxa" w:w="9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Doppler</w:t>
            </w:r>
          </w:p>
        </w:tc>
      </w:tr>
    </w:tbl>
    <w:p>
      <w:pPr>
        <w:spacing w:after="60" w:before="60"/>
      </w:pPr>
      <w:r>
        <w:t xml:space="preserve"/>
      </w:r>
    </w:p>
    <w:p>
      <w:pPr>
        <w:spacing w:after="120" w:before="240" w:line="218" w:lineRule="exact"/>
        <w:jc w:val="center"/>
      </w:pPr>
      <w:r>
        <w:rPr>
          <w:rFonts w:ascii="Times New Roman" w:cs="Times New Roman" w:eastAsia="Times New Roman" w:hAnsi="Times New Roman"/>
          <w:b/>
          <w:bCs/>
          <w:smallCaps/>
          <w:color w:val="000000"/>
          <w:sz w:val="20"/>
          <w:szCs w:val="20"/>
        </w:rPr>
        <w:t xml:space="preserve">VII. MODELO DE DATOS</w:t>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A. Entidades Principales</w:t>
      </w:r>
    </w:p>
    <w:p>
      <w:pPr>
        <w:spacing w:after="60" w:before="200" w:line="218" w:lineRule="exact"/>
        <w:jc w:val="center"/>
      </w:pPr>
      <w:r>
        <w:rPr>
          <w:rFonts w:ascii="Times New Roman" w:cs="Times New Roman" w:eastAsia="Times New Roman" w:hAnsi="Times New Roman"/>
          <w:b/>
          <w:bCs/>
          <w:color w:val="000000"/>
          <w:sz w:val="20"/>
          <w:szCs w:val="20"/>
        </w:rPr>
        <w:t xml:space="preserve">TABLE VIII — Entidades del Modelo de Datos</w:t>
      </w:r>
    </w:p>
    <w:tbl>
      <w:tblPr>
        <w:tblW w:type="dxa" w:w="52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1560"/>
      </w:tblGrid>
      <w:tr>
        <w:trPr>
          <w:tblHeader/>
        </w:trPr>
        <w:tc>
          <w:tcPr>
            <w:tcW w:type="dxa" w:w="13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Entidad</w:t>
            </w:r>
          </w:p>
        </w:tc>
        <w:tc>
          <w:tcPr>
            <w:tcW w:type="dxa" w:w="24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Campos Esenciales</w:t>
            </w:r>
          </w:p>
        </w:tc>
        <w:tc>
          <w:tcPr>
            <w:tcW w:type="dxa" w:w="156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Cardinalidad</w:t>
            </w:r>
          </w:p>
        </w:tc>
      </w:tr>
      <w:tr>
        <w:tc>
          <w:tcPr>
            <w:tcW w:type="dxa" w:w="13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Clinica</w:t>
            </w:r>
          </w:p>
        </w:tc>
        <w:tc>
          <w:tcPr>
            <w:tcW w:type="dxa" w:w="24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id(UUID), nombre, licencia_sanitaria, activa</w:t>
            </w:r>
          </w:p>
        </w:tc>
        <w:tc>
          <w:tcPr>
            <w:tcW w:type="dxa" w:w="15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1→N Usuarios, Pacientes</w:t>
            </w:r>
          </w:p>
        </w:tc>
      </w:tr>
      <w:tr>
        <w:tc>
          <w:tcPr>
            <w:tcW w:type="dxa" w:w="13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Usuario</w:t>
            </w:r>
          </w:p>
        </w:tc>
        <w:tc>
          <w:tcPr>
            <w:tcW w:type="dxa" w:w="24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id, clinica_id(FK), rol(ENUM), mfa_secret, registro_profesional</w:t>
            </w:r>
          </w:p>
        </w:tc>
        <w:tc>
          <w:tcPr>
            <w:tcW w:type="dxa" w:w="15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N→1 Clínica</w:t>
            </w:r>
          </w:p>
        </w:tc>
      </w:tr>
      <w:tr>
        <w:tc>
          <w:tcPr>
            <w:tcW w:type="dxa" w:w="13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Paciente</w:t>
            </w:r>
          </w:p>
        </w:tc>
        <w:tc>
          <w:tcPr>
            <w:tcW w:type="dxa" w:w="24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id, clinica_id(FK), nombres, ci(cifrado), grupo_sanguineo, alergias(JSONB)</w:t>
            </w:r>
          </w:p>
        </w:tc>
        <w:tc>
          <w:tcPr>
            <w:tcW w:type="dxa" w:w="15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1→1 Historia, N Consultas</w:t>
            </w:r>
          </w:p>
        </w:tc>
      </w:tr>
      <w:tr>
        <w:tc>
          <w:tcPr>
            <w:tcW w:type="dxa" w:w="13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HistoriaClinica</w:t>
            </w:r>
          </w:p>
        </w:tc>
        <w:tc>
          <w:tcPr>
            <w:tcW w:type="dxa" w:w="24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id, paciente_id(FK), antecedentes_obstetricos(JSONB: GPAC,FUM)</w:t>
            </w:r>
          </w:p>
        </w:tc>
        <w:tc>
          <w:tcPr>
            <w:tcW w:type="dxa" w:w="15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1→N Consultas</w:t>
            </w:r>
          </w:p>
        </w:tc>
      </w:tr>
      <w:tr>
        <w:tc>
          <w:tcPr>
            <w:tcW w:type="dxa" w:w="13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ConsultaObstetrica</w:t>
            </w:r>
          </w:p>
        </w:tc>
        <w:tc>
          <w:tcPr>
            <w:tcW w:type="dxa" w:w="24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id, historia_id(FK), examen_fisico(JSONB), diagnostico_cie10(array), firmado_at</w:t>
            </w:r>
          </w:p>
        </w:tc>
        <w:tc>
          <w:tcPr>
            <w:tcW w:type="dxa" w:w="15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N→N Órdenes, Ecografías</w:t>
            </w:r>
          </w:p>
        </w:tc>
      </w:tr>
      <w:tr>
        <w:tc>
          <w:tcPr>
            <w:tcW w:type="dxa" w:w="13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OrdenLaboratorio</w:t>
            </w:r>
          </w:p>
        </w:tc>
        <w:tc>
          <w:tcPr>
            <w:tcW w:type="dxa" w:w="24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id, consulta_id(FK), examenes(JSONB), urgente, estado(ENUM)</w:t>
            </w:r>
          </w:p>
        </w:tc>
        <w:tc>
          <w:tcPr>
            <w:tcW w:type="dxa" w:w="15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1→N Resultados</w:t>
            </w:r>
          </w:p>
        </w:tc>
      </w:tr>
      <w:tr>
        <w:tc>
          <w:tcPr>
            <w:tcW w:type="dxa" w:w="13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ResultadoLaboratorio</w:t>
            </w:r>
          </w:p>
        </w:tc>
        <w:tc>
          <w:tcPr>
            <w:tcW w:type="dxa" w:w="24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id, orden_id(FK), valor, unidad, estado_alerta(ENUM: NORMAL|CRITICO)</w:t>
            </w:r>
          </w:p>
        </w:tc>
        <w:tc>
          <w:tcPr>
            <w:tcW w:type="dxa" w:w="15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N→1 Orden</w:t>
            </w:r>
          </w:p>
        </w:tc>
      </w:tr>
      <w:tr>
        <w:tc>
          <w:tcPr>
            <w:tcW w:type="dxa" w:w="13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Ecografia</w:t>
            </w:r>
          </w:p>
        </w:tc>
        <w:tc>
          <w:tcPr>
            <w:tcW w:type="dxa" w:w="24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id, consulta_id(FK), dicom_study_id(Orthanc), estado_ia(ENUM)</w:t>
            </w:r>
          </w:p>
        </w:tc>
        <w:tc>
          <w:tcPr>
            <w:tcW w:type="dxa" w:w="15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1→1 AnalisisIA</w:t>
            </w:r>
          </w:p>
        </w:tc>
      </w:tr>
      <w:tr>
        <w:tc>
          <w:tcPr>
            <w:tcW w:type="dxa" w:w="13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AnalisisIA</w:t>
            </w:r>
          </w:p>
        </w:tc>
        <w:tc>
          <w:tcPr>
            <w:tcW w:type="dxa" w:w="24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id, ecografia_id(FK), hallazgos(JSONB), gradcam_url, score_global(float), riesgo_preeclampsia(float), validado_por_id(FK)</w:t>
            </w:r>
          </w:p>
        </w:tc>
        <w:tc>
          <w:tcPr>
            <w:tcW w:type="dxa" w:w="15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1→1 Ecografía</w:t>
            </w:r>
          </w:p>
        </w:tc>
      </w:tr>
      <w:tr>
        <w:tc>
          <w:tcPr>
            <w:tcW w:type="dxa" w:w="13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AuditLog</w:t>
            </w:r>
          </w:p>
        </w:tc>
        <w:tc>
          <w:tcPr>
            <w:tcW w:type="dxa" w:w="24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id, usuario_id, accion(ENUM), datos_anterior(JSONB), datos_nuevo(JSONB), ip, timestamp (immutable)</w:t>
            </w:r>
          </w:p>
        </w:tc>
        <w:tc>
          <w:tcPr>
            <w:tcW w:type="dxa" w:w="15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Append-only</w:t>
            </w:r>
          </w:p>
        </w:tc>
      </w:tr>
    </w:tbl>
    <w:p>
      <w:pPr>
        <w:spacing w:after="80" w:before="40" w:line="218" w:lineRule="exact"/>
      </w:pPr>
      <w:r>
        <w:rPr>
          <w:rFonts w:ascii="Times New Roman" w:cs="Times New Roman" w:eastAsia="Times New Roman" w:hAnsi="Times New Roman"/>
          <w:i/>
          <w:iCs/>
          <w:color w:val="000000"/>
          <w:sz w:val="16"/>
          <w:szCs w:val="16"/>
        </w:rPr>
        <w:t xml:space="preserve">Note. </w:t>
      </w:r>
      <w:r>
        <w:rPr>
          <w:rFonts w:ascii="Times New Roman" w:cs="Times New Roman" w:eastAsia="Times New Roman" w:hAnsi="Times New Roman"/>
          <w:color w:val="000000"/>
          <w:sz w:val="16"/>
          <w:szCs w:val="16"/>
        </w:rPr>
        <w:t xml:space="preserve">UUID como PK en todas las entidades garantiza unicidad en entorno multi-tenant.</w:t>
      </w:r>
    </w:p>
    <w:p>
      <w:pPr>
        <w:spacing w:after="60" w:before="60"/>
      </w:pPr>
      <w:r>
        <w:t xml:space="preserve"/>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B. Estándares de Datos</w:t>
      </w:r>
    </w:p>
    <w:p>
      <w:pPr>
        <w:spacing w:after="40" w:before="0" w:line="218" w:lineRule="exact"/>
        <w:ind w:left="360" w:hanging="240"/>
        <w:jc w:val="both"/>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b w:val="false"/>
          <w:bCs w:val="false"/>
          <w:color w:val="000000"/>
          <w:sz w:val="20"/>
          <w:szCs w:val="20"/>
        </w:rPr>
        <w:t xml:space="preserve">CIE-10 (OMS): codificación de diagnósticos en campo diagnostico_cie10.</w:t>
      </w:r>
    </w:p>
    <w:p>
      <w:pPr>
        <w:spacing w:after="40" w:before="0" w:line="218" w:lineRule="exact"/>
        <w:ind w:left="360" w:hanging="240"/>
        <w:jc w:val="both"/>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b w:val="false"/>
          <w:bCs w:val="false"/>
          <w:color w:val="000000"/>
          <w:sz w:val="20"/>
          <w:szCs w:val="20"/>
        </w:rPr>
        <w:t xml:space="preserve">HL7 FHIR R4: entidades mapeables a recursos Patient, Observation, DiagnosticReport para interoperabilidad futura.</w:t>
      </w:r>
    </w:p>
    <w:p>
      <w:pPr>
        <w:spacing w:after="40" w:before="0" w:line="218" w:lineRule="exact"/>
        <w:ind w:left="360" w:hanging="240"/>
        <w:jc w:val="both"/>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b w:val="false"/>
          <w:bCs w:val="false"/>
          <w:color w:val="000000"/>
          <w:sz w:val="20"/>
          <w:szCs w:val="20"/>
        </w:rPr>
        <w:t xml:space="preserve">DICOM 3.0 (NEMA PS3): almacenamiento en Orthanc; metadatos en tags estándar.</w:t>
      </w:r>
    </w:p>
    <w:p>
      <w:pPr>
        <w:spacing w:after="40" w:before="0" w:line="218" w:lineRule="exact"/>
        <w:ind w:left="360" w:hanging="240"/>
        <w:jc w:val="both"/>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b w:val="false"/>
          <w:bCs w:val="false"/>
          <w:color w:val="000000"/>
          <w:sz w:val="20"/>
          <w:szCs w:val="20"/>
        </w:rPr>
        <w:t xml:space="preserve">SNOMED-CT: terminología de hallazgos en JSONB de AnalisisIA.</w:t>
      </w:r>
    </w:p>
    <w:p>
      <w:pPr>
        <w:spacing w:after="60" w:before="60"/>
      </w:pPr>
      <w:r>
        <w:t xml:space="preserve"/>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C. Política de Retención y Backup</w:t>
      </w:r>
    </w:p>
    <w:p>
      <w:pPr>
        <w:spacing w:after="40" w:before="0" w:line="218" w:lineRule="exact"/>
        <w:ind w:left="360" w:hanging="240"/>
        <w:jc w:val="both"/>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b w:val="false"/>
          <w:bCs w:val="false"/>
          <w:color w:val="000000"/>
          <w:sz w:val="20"/>
          <w:szCs w:val="20"/>
        </w:rPr>
        <w:t xml:space="preserve">Retención mínima 10 años (DS 1793 Bolivia). Backup PostgreSQL cada 4 horas.</w:t>
      </w:r>
    </w:p>
    <w:p>
      <w:pPr>
        <w:spacing w:after="40" w:before="0" w:line="218" w:lineRule="exact"/>
        <w:ind w:left="360" w:hanging="240"/>
        <w:jc w:val="both"/>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b w:val="false"/>
          <w:bCs w:val="false"/>
          <w:color w:val="000000"/>
          <w:sz w:val="20"/>
          <w:szCs w:val="20"/>
        </w:rPr>
        <w:t xml:space="preserve">AuditLog append-only. Usuario de aplicación sin permisos UPDATE/DELETE en esta tabla.</w:t>
      </w:r>
    </w:p>
    <w:p>
      <w:pPr>
        <w:spacing w:after="40" w:before="0" w:line="218" w:lineRule="exact"/>
        <w:ind w:left="360" w:hanging="240"/>
        <w:jc w:val="both"/>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b w:val="false"/>
          <w:bCs w:val="false"/>
          <w:color w:val="000000"/>
          <w:sz w:val="20"/>
          <w:szCs w:val="20"/>
        </w:rPr>
        <w:t xml:space="preserve">DICOMs en MinIO: backup incremental diario, retención indefinida, SSE AES-256.</w:t>
      </w:r>
    </w:p>
    <w:p>
      <w:pPr>
        <w:spacing w:after="60" w:before="60"/>
      </w:pPr>
      <w:r>
        <w:t xml:space="preserve"/>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D. Diagrama Entidad-Relación Simplificado</w:t>
      </w:r>
    </w:p>
    <w:p>
      <w:pPr>
        <w:spacing w:after="0" w:before="0" w:line="200" w:lineRule="exact"/>
        <w:jc w:val="center"/>
      </w:pPr>
      <w:r>
        <w:rPr>
          <w:rFonts w:ascii="Courier New" w:cs="Courier New" w:eastAsia="Courier New" w:hAnsi="Courier New"/>
          <w:color w:val="000000"/>
          <w:sz w:val="16"/>
          <w:szCs w:val="16"/>
        </w:rPr>
        <w:t xml:space="preserve">  Clinica ──┬── Usuario (N)</w:t>
      </w:r>
    </w:p>
    <w:p>
      <w:pPr>
        <w:spacing w:after="0" w:before="0" w:line="200" w:lineRule="exact"/>
        <w:jc w:val="center"/>
      </w:pPr>
      <w:r>
        <w:rPr>
          <w:rFonts w:ascii="Courier New" w:cs="Courier New" w:eastAsia="Courier New" w:hAnsi="Courier New"/>
          <w:color w:val="000000"/>
          <w:sz w:val="16"/>
          <w:szCs w:val="16"/>
        </w:rPr>
        <w:t xml:space="preserve">            └── Paciente (N)</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HistoriaClinica (1:1)</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ConsultaObstetrica (N)</w:t>
      </w:r>
    </w:p>
    <w:p>
      <w:pPr>
        <w:spacing w:after="0" w:before="0" w:line="200" w:lineRule="exact"/>
        <w:jc w:val="center"/>
      </w:pPr>
      <w:r>
        <w:rPr>
          <w:rFonts w:ascii="Courier New" w:cs="Courier New" w:eastAsia="Courier New" w:hAnsi="Courier New"/>
          <w:color w:val="000000"/>
          <w:sz w:val="16"/>
          <w:szCs w:val="16"/>
        </w:rPr>
        <w:t xml:space="preserve">             ├── OrdenLaboratorio (N)</w:t>
      </w:r>
    </w:p>
    <w:p>
      <w:pPr>
        <w:spacing w:after="0" w:before="0" w:line="200" w:lineRule="exact"/>
        <w:jc w:val="center"/>
      </w:pPr>
      <w:r>
        <w:rPr>
          <w:rFonts w:ascii="Courier New" w:cs="Courier New" w:eastAsia="Courier New" w:hAnsi="Courier New"/>
          <w:color w:val="000000"/>
          <w:sz w:val="16"/>
          <w:szCs w:val="16"/>
        </w:rPr>
        <w:t xml:space="preserve">             │       └── ResultadoLaboratorio (N)</w:t>
      </w:r>
    </w:p>
    <w:p>
      <w:pPr>
        <w:spacing w:after="0" w:before="0" w:line="200" w:lineRule="exact"/>
        <w:jc w:val="center"/>
      </w:pPr>
      <w:r>
        <w:rPr>
          <w:rFonts w:ascii="Courier New" w:cs="Courier New" w:eastAsia="Courier New" w:hAnsi="Courier New"/>
          <w:color w:val="000000"/>
          <w:sz w:val="16"/>
          <w:szCs w:val="16"/>
        </w:rPr>
        <w:t xml:space="preserve">             └── Ecografia (N)</w:t>
      </w:r>
    </w:p>
    <w:p>
      <w:pPr>
        <w:spacing w:after="0" w:before="0" w:line="200" w:lineRule="exact"/>
        <w:jc w:val="center"/>
      </w:pPr>
      <w:r>
        <w:rPr>
          <w:rFonts w:ascii="Courier New" w:cs="Courier New" w:eastAsia="Courier New" w:hAnsi="Courier New"/>
          <w:color w:val="000000"/>
          <w:sz w:val="16"/>
          <w:szCs w:val="16"/>
        </w:rPr>
        <w:t xml:space="preserve">                     └── AnalisisIA (1:1)</w:t>
      </w:r>
    </w:p>
    <w:p>
      <w:pPr>
        <w:spacing w:after="0" w:before="0" w:line="200" w:lineRule="exact"/>
        <w:jc w:val="center"/>
      </w:pPr>
      <w:r>
        <w:rPr>
          <w:rFonts w:ascii="Courier New" w:cs="Courier New" w:eastAsia="Courier New" w:hAnsi="Courier New"/>
          <w:color w:val="000000"/>
          <w:sz w:val="16"/>
          <w:szCs w:val="16"/>
        </w:rPr>
        <w:t xml:space="preserve">                          ├── hallazgos (JSONB)</w:t>
      </w:r>
    </w:p>
    <w:p>
      <w:pPr>
        <w:spacing w:after="0" w:before="0" w:line="200" w:lineRule="exact"/>
        <w:jc w:val="center"/>
      </w:pPr>
      <w:r>
        <w:rPr>
          <w:rFonts w:ascii="Courier New" w:cs="Courier New" w:eastAsia="Courier New" w:hAnsi="Courier New"/>
          <w:color w:val="000000"/>
          <w:sz w:val="16"/>
          <w:szCs w:val="16"/>
        </w:rPr>
        <w:t xml:space="preserve">                          ├── gradcam_url</w:t>
      </w:r>
    </w:p>
    <w:p>
      <w:pPr>
        <w:spacing w:after="0" w:before="0" w:line="200" w:lineRule="exact"/>
        <w:jc w:val="center"/>
      </w:pPr>
      <w:r>
        <w:rPr>
          <w:rFonts w:ascii="Courier New" w:cs="Courier New" w:eastAsia="Courier New" w:hAnsi="Courier New"/>
          <w:color w:val="000000"/>
          <w:sz w:val="16"/>
          <w:szCs w:val="16"/>
        </w:rPr>
        <w:t xml:space="preserve">                          └── validado_por_medico</w:t>
      </w:r>
    </w:p>
    <w:p>
      <w:pPr>
        <w:spacing w:after="0" w:before="0" w:line="200" w:lineRule="exact"/>
        <w:jc w:val="center"/>
      </w:pPr>
      <w:r>
        <w:rPr>
          <w:rFonts w:ascii="Courier New" w:cs="Courier New" w:eastAsia="Courier New" w:hAnsi="Courier New"/>
          <w:color w:val="000000"/>
          <w:sz w:val="16"/>
          <w:szCs w:val="16"/>
        </w:rPr>
        <w:t xml:space="preserve"/>
      </w:r>
    </w:p>
    <w:p>
      <w:pPr>
        <w:spacing w:after="0" w:before="0" w:line="200" w:lineRule="exact"/>
        <w:jc w:val="center"/>
      </w:pPr>
      <w:r>
        <w:rPr>
          <w:rFonts w:ascii="Courier New" w:cs="Courier New" w:eastAsia="Courier New" w:hAnsi="Courier New"/>
          <w:color w:val="000000"/>
          <w:sz w:val="16"/>
          <w:szCs w:val="16"/>
        </w:rPr>
        <w:t xml:space="preserve">  AuditLog ← (registra todas las acciones)</w:t>
      </w:r>
    </w:p>
    <w:p>
      <w:pPr>
        <w:spacing w:after="160" w:before="60" w:line="218" w:lineRule="exact"/>
        <w:jc w:val="center"/>
      </w:pPr>
      <w:r>
        <w:rPr>
          <w:rFonts w:ascii="Times New Roman" w:cs="Times New Roman" w:eastAsia="Times New Roman" w:hAnsi="Times New Roman"/>
          <w:i/>
          <w:iCs/>
          <w:color w:val="000000"/>
          <w:sz w:val="20"/>
          <w:szCs w:val="20"/>
        </w:rPr>
        <w:t xml:space="preserve">Fig. 5. Diagrama ER simplificado de Fetal Medical Bolivia.</w:t>
      </w:r>
    </w:p>
    <w:p>
      <w:pPr>
        <w:spacing w:after="60" w:before="60"/>
      </w:pPr>
      <w:r>
        <w:t xml:space="preserve"/>
      </w:r>
    </w:p>
    <w:p>
      <w:pPr>
        <w:spacing w:after="120" w:before="240" w:line="218" w:lineRule="exact"/>
        <w:jc w:val="center"/>
      </w:pPr>
      <w:r>
        <w:rPr>
          <w:rFonts w:ascii="Times New Roman" w:cs="Times New Roman" w:eastAsia="Times New Roman" w:hAnsi="Times New Roman"/>
          <w:b/>
          <w:bCs/>
          <w:smallCaps/>
          <w:color w:val="000000"/>
          <w:sz w:val="20"/>
          <w:szCs w:val="20"/>
        </w:rPr>
        <w:t xml:space="preserve">VIII. COMPONENTE DE IA Y REDES NEURONALES CONVOLUCIONALES</w:t>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A. Advertencia Clínica Obligatoria</w:t>
      </w:r>
    </w:p>
    <w:p>
      <w:pPr>
        <w:spacing w:after="80" w:before="0" w:line="218" w:lineRule="exact"/>
        <w:ind w:firstLine="360"/>
        <w:jc w:val="both"/>
      </w:pPr>
      <w:r>
        <w:rPr>
          <w:rFonts w:ascii="Times New Roman" w:cs="Times New Roman" w:eastAsia="Times New Roman" w:hAnsi="Times New Roman"/>
          <w:color w:val="000000"/>
          <w:sz w:val="20"/>
          <w:szCs w:val="20"/>
        </w:rPr>
        <w:t xml:space="preserve">El módulo de IA es soporte diagnóstico. No reemplaza al médico especialista. Todo análisis generado debe ser revisado y validado por el médico responsable antes de influir en cualquier decisión clínica. Esta condición es requisito legal bajo la Ley 3131 de Bolivia y requisito ético bajo los principios de beneficencia y no maleficencia de la bioética médica (Beauchamp &amp; Childress, 2019) [11].</w:t>
      </w:r>
    </w:p>
    <w:p>
      <w:pPr>
        <w:spacing w:after="60" w:before="60"/>
      </w:pPr>
      <w:r>
        <w:t xml:space="preserve"/>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B. Arquitectura del Modelo CNN</w:t>
      </w:r>
    </w:p>
    <w:p>
      <w:pPr>
        <w:spacing w:after="80" w:before="0" w:line="218" w:lineRule="exact"/>
        <w:ind w:firstLine="360"/>
        <w:jc w:val="both"/>
      </w:pPr>
      <w:r>
        <w:rPr>
          <w:rFonts w:ascii="Times New Roman" w:cs="Times New Roman" w:eastAsia="Times New Roman" w:hAnsi="Times New Roman"/>
          <w:color w:val="000000"/>
          <w:sz w:val="20"/>
          <w:szCs w:val="20"/>
        </w:rPr>
        <w:t xml:space="preserve">Se adopta EfficientNet-B4 con transfer learning desde ImageNet, adaptado al dominio ecográfico con fine-tuning sobre dataset obstétrico. Tan y Le [12] demostraron que EfficientNet supera a ResNet y VGG en la relación accuracy/parámetros. Tajbakhsh et al. [13] confirmaron en IEEE Transactions on Medical Imaging que el transfer learning desde ImageNet es efectivo para imágenes médicas incluso con datasets limitados, siempre que se aplique fine-tuning en dos fases. La biblioteca MONAI [14] provee transforms DICOM específicos para imágenes ecográficas, métricas clínicas (Dice, Hausdorff) y modelos pre-entrenados en dominio médico.</w:t>
      </w:r>
    </w:p>
    <w:p>
      <w:pPr>
        <w:spacing w:after="60" w:before="60"/>
      </w:pPr>
      <w:r>
        <w:t xml:space="preserve"/>
      </w:r>
    </w:p>
    <w:p>
      <w:pPr>
        <w:spacing w:after="0" w:before="0" w:line="200" w:lineRule="exact"/>
        <w:jc w:val="center"/>
      </w:pPr>
      <w:r>
        <w:rPr>
          <w:rFonts w:ascii="Courier New" w:cs="Courier New" w:eastAsia="Courier New" w:hAnsi="Courier New"/>
          <w:color w:val="000000"/>
          <w:sz w:val="16"/>
          <w:szCs w:val="16"/>
        </w:rPr>
        <w:t xml:space="preserve">  PIPELINE CNN — ANÁLISIS DE ECOGRAFÍA</w:t>
      </w:r>
    </w:p>
    <w:p>
      <w:pPr>
        <w:spacing w:after="0" w:before="0" w:line="200" w:lineRule="exact"/>
        <w:jc w:val="center"/>
      </w:pPr>
      <w:r>
        <w:rPr>
          <w:rFonts w:ascii="Courier New" w:cs="Courier New" w:eastAsia="Courier New" w:hAnsi="Courier New"/>
          <w:color w:val="000000"/>
          <w:sz w:val="16"/>
          <w:szCs w:val="16"/>
        </w:rPr>
        <w:t xml:space="preserve"/>
      </w:r>
    </w:p>
    <w:p>
      <w:pPr>
        <w:spacing w:after="0" w:before="0" w:line="200" w:lineRule="exact"/>
        <w:jc w:val="center"/>
      </w:pPr>
      <w:r>
        <w:rPr>
          <w:rFonts w:ascii="Courier New" w:cs="Courier New" w:eastAsia="Courier New" w:hAnsi="Courier New"/>
          <w:color w:val="000000"/>
          <w:sz w:val="16"/>
          <w:szCs w:val="16"/>
        </w:rPr>
        <w:t xml:space="preserve">  Imagen DICOM (Orthanc)</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 Preprocesamiento (MONAI)           │</w:t>
      </w:r>
    </w:p>
    <w:p>
      <w:pPr>
        <w:spacing w:after="0" w:before="0" w:line="200" w:lineRule="exact"/>
        <w:jc w:val="center"/>
      </w:pPr>
      <w:r>
        <w:rPr>
          <w:rFonts w:ascii="Courier New" w:cs="Courier New" w:eastAsia="Courier New" w:hAnsi="Courier New"/>
          <w:color w:val="000000"/>
          <w:sz w:val="16"/>
          <w:szCs w:val="16"/>
        </w:rPr>
        <w:t xml:space="preserve">  │ • DICOM → PNG (normalizado)        │</w:t>
      </w:r>
    </w:p>
    <w:p>
      <w:pPr>
        <w:spacing w:after="0" w:before="0" w:line="200" w:lineRule="exact"/>
        <w:jc w:val="center"/>
      </w:pPr>
      <w:r>
        <w:rPr>
          <w:rFonts w:ascii="Courier New" w:cs="Courier New" w:eastAsia="Courier New" w:hAnsi="Courier New"/>
          <w:color w:val="000000"/>
          <w:sz w:val="16"/>
          <w:szCs w:val="16"/>
        </w:rPr>
        <w:t xml:space="preserve">  │ • Resize 384×384                  │</w:t>
      </w:r>
    </w:p>
    <w:p>
      <w:pPr>
        <w:spacing w:after="0" w:before="0" w:line="200" w:lineRule="exact"/>
        <w:jc w:val="center"/>
      </w:pPr>
      <w:r>
        <w:rPr>
          <w:rFonts w:ascii="Courier New" w:cs="Courier New" w:eastAsia="Courier New" w:hAnsi="Courier New"/>
          <w:color w:val="000000"/>
          <w:sz w:val="16"/>
          <w:szCs w:val="16"/>
        </w:rPr>
        <w:t xml:space="preserve">  │ • Normalización de intensidades   │</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 EfficientNet-B4 Backbone           │</w:t>
      </w:r>
    </w:p>
    <w:p>
      <w:pPr>
        <w:spacing w:after="0" w:before="0" w:line="200" w:lineRule="exact"/>
        <w:jc w:val="center"/>
      </w:pPr>
      <w:r>
        <w:rPr>
          <w:rFonts w:ascii="Courier New" w:cs="Courier New" w:eastAsia="Courier New" w:hAnsi="Courier New"/>
          <w:color w:val="000000"/>
          <w:sz w:val="16"/>
          <w:szCs w:val="16"/>
        </w:rPr>
        <w:t xml:space="preserve">  │ (pre-entrenado ImageNet)           │</w:t>
      </w:r>
    </w:p>
    <w:p>
      <w:pPr>
        <w:spacing w:after="0" w:before="0" w:line="200" w:lineRule="exact"/>
        <w:jc w:val="center"/>
      </w:pPr>
      <w:r>
        <w:rPr>
          <w:rFonts w:ascii="Courier New" w:cs="Courier New" w:eastAsia="Courier New" w:hAnsi="Courier New"/>
          <w:color w:val="000000"/>
          <w:sz w:val="16"/>
          <w:szCs w:val="16"/>
        </w:rPr>
        <w:t xml:space="preserve">  │ Fine-tuning 2 fases               │</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                 │</w:t>
      </w:r>
    </w:p>
    <w:p>
      <w:pPr>
        <w:spacing w:after="0" w:before="0" w:line="200" w:lineRule="exact"/>
        <w:jc w:val="center"/>
      </w:pPr>
      <w:r>
        <w:rPr>
          <w:rFonts w:ascii="Courier New" w:cs="Courier New" w:eastAsia="Courier New" w:hAnsi="Courier New"/>
          <w:color w:val="000000"/>
          <w:sz w:val="16"/>
          <w:szCs w:val="16"/>
        </w:rPr>
        <w:t xml:space="preserve">  ┌──────▼──────┐  ┌──────▼──────────┐</w:t>
      </w:r>
    </w:p>
    <w:p>
      <w:pPr>
        <w:spacing w:after="0" w:before="0" w:line="200" w:lineRule="exact"/>
        <w:jc w:val="center"/>
      </w:pPr>
      <w:r>
        <w:rPr>
          <w:rFonts w:ascii="Courier New" w:cs="Courier New" w:eastAsia="Courier New" w:hAnsi="Courier New"/>
          <w:color w:val="000000"/>
          <w:sz w:val="16"/>
          <w:szCs w:val="16"/>
        </w:rPr>
        <w:t xml:space="preserve">  │ Cabeza      │  │ Rama de         │</w:t>
      </w:r>
    </w:p>
    <w:p>
      <w:pPr>
        <w:spacing w:after="0" w:before="0" w:line="200" w:lineRule="exact"/>
        <w:jc w:val="center"/>
      </w:pPr>
      <w:r>
        <w:rPr>
          <w:rFonts w:ascii="Courier New" w:cs="Courier New" w:eastAsia="Courier New" w:hAnsi="Courier New"/>
          <w:color w:val="000000"/>
          <w:sz w:val="16"/>
          <w:szCs w:val="16"/>
        </w:rPr>
        <w:t xml:space="preserve">  │ Clasificación│  │ Regresión       │</w:t>
      </w:r>
    </w:p>
    <w:p>
      <w:pPr>
        <w:spacing w:after="0" w:before="0" w:line="200" w:lineRule="exact"/>
        <w:jc w:val="center"/>
      </w:pPr>
      <w:r>
        <w:rPr>
          <w:rFonts w:ascii="Courier New" w:cs="Courier New" w:eastAsia="Courier New" w:hAnsi="Courier New"/>
          <w:color w:val="000000"/>
          <w:sz w:val="16"/>
          <w:szCs w:val="16"/>
        </w:rPr>
        <w:t xml:space="preserve">  │ Multi-label │  │ (Biometría)     │</w:t>
      </w:r>
    </w:p>
    <w:p>
      <w:pPr>
        <w:spacing w:after="0" w:before="0" w:line="200" w:lineRule="exact"/>
        <w:jc w:val="center"/>
      </w:pPr>
      <w:r>
        <w:rPr>
          <w:rFonts w:ascii="Courier New" w:cs="Courier New" w:eastAsia="Courier New" w:hAnsi="Courier New"/>
          <w:color w:val="000000"/>
          <w:sz w:val="16"/>
          <w:szCs w:val="16"/>
        </w:rPr>
        <w:t xml:space="preserve">  │ (patologías)│  │ BPD,HC,AC,FL    │</w:t>
      </w:r>
    </w:p>
    <w:p>
      <w:pPr>
        <w:spacing w:after="0" w:before="0" w:line="200" w:lineRule="exact"/>
        <w:jc w:val="center"/>
      </w:pPr>
      <w:r>
        <w:rPr>
          <w:rFonts w:ascii="Courier New" w:cs="Courier New" w:eastAsia="Courier New" w:hAnsi="Courier New"/>
          <w:color w:val="000000"/>
          <w:sz w:val="16"/>
          <w:szCs w:val="16"/>
        </w:rPr>
        <w:t xml:space="preserve">  └──────┬──────┘  └──────┬──────────┘</w:t>
      </w:r>
    </w:p>
    <w:p>
      <w:pPr>
        <w:spacing w:after="0" w:before="0" w:line="200" w:lineRule="exact"/>
        <w:jc w:val="center"/>
      </w:pPr>
      <w:r>
        <w:rPr>
          <w:rFonts w:ascii="Courier New" w:cs="Courier New" w:eastAsia="Courier New" w:hAnsi="Courier New"/>
          <w:color w:val="000000"/>
          <w:sz w:val="16"/>
          <w:szCs w:val="16"/>
        </w:rPr>
        <w:t xml:space="preserve">         │                │</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        REPORTE IA                │</w:t>
      </w:r>
    </w:p>
    <w:p>
      <w:pPr>
        <w:spacing w:after="0" w:before="0" w:line="200" w:lineRule="exact"/>
        <w:jc w:val="center"/>
      </w:pPr>
      <w:r>
        <w:rPr>
          <w:rFonts w:ascii="Courier New" w:cs="Courier New" w:eastAsia="Courier New" w:hAnsi="Courier New"/>
          <w:color w:val="000000"/>
          <w:sz w:val="16"/>
          <w:szCs w:val="16"/>
        </w:rPr>
        <w:t xml:space="preserve">  │ + Grad-CAM overlay sobre imagen  │</w:t>
      </w:r>
    </w:p>
    <w:p>
      <w:pPr>
        <w:spacing w:after="0" w:before="0" w:line="200" w:lineRule="exact"/>
        <w:jc w:val="center"/>
      </w:pPr>
      <w:r>
        <w:rPr>
          <w:rFonts w:ascii="Courier New" w:cs="Courier New" w:eastAsia="Courier New" w:hAnsi="Courier New"/>
          <w:color w:val="000000"/>
          <w:sz w:val="16"/>
          <w:szCs w:val="16"/>
        </w:rPr>
        <w:t xml:space="preserve">  │ + Score confianza por hallazgo   │</w:t>
      </w:r>
    </w:p>
    <w:p>
      <w:pPr>
        <w:spacing w:after="0" w:before="0" w:line="200" w:lineRule="exact"/>
        <w:jc w:val="center"/>
      </w:pPr>
      <w:r>
        <w:rPr>
          <w:rFonts w:ascii="Courier New" w:cs="Courier New" w:eastAsia="Courier New" w:hAnsi="Courier New"/>
          <w:color w:val="000000"/>
          <w:sz w:val="16"/>
          <w:szCs w:val="16"/>
        </w:rPr>
        <w:t xml:space="preserve">  │ + Riesgo preeclampsia (SHAP)     │</w:t>
      </w:r>
    </w:p>
    <w:p>
      <w:pPr>
        <w:spacing w:after="0" w:before="0" w:line="200" w:lineRule="exact"/>
        <w:jc w:val="center"/>
      </w:pPr>
      <w:r>
        <w:rPr>
          <w:rFonts w:ascii="Courier New" w:cs="Courier New" w:eastAsia="Courier New" w:hAnsi="Courier New"/>
          <w:color w:val="000000"/>
          <w:sz w:val="16"/>
          <w:szCs w:val="16"/>
        </w:rPr>
        <w:t xml:space="preserve">  └──────────────────────────────────┘</w:t>
      </w:r>
    </w:p>
    <w:p>
      <w:pPr>
        <w:spacing w:after="160" w:before="60" w:line="218" w:lineRule="exact"/>
        <w:jc w:val="center"/>
      </w:pPr>
      <w:r>
        <w:rPr>
          <w:rFonts w:ascii="Times New Roman" w:cs="Times New Roman" w:eastAsia="Times New Roman" w:hAnsi="Times New Roman"/>
          <w:i/>
          <w:iCs/>
          <w:color w:val="000000"/>
          <w:sz w:val="20"/>
          <w:szCs w:val="20"/>
        </w:rPr>
        <w:t xml:space="preserve">Fig. 6. Pipeline CNN para análisis de ecografías con salidas multi-tarea.</w:t>
      </w:r>
    </w:p>
    <w:p>
      <w:pPr>
        <w:spacing w:after="60" w:before="60"/>
      </w:pPr>
      <w:r>
        <w:t xml:space="preserve"/>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C. Condiciones Clínicas Detectadas</w:t>
      </w:r>
    </w:p>
    <w:p>
      <w:pPr>
        <w:spacing w:after="60" w:before="200" w:line="218" w:lineRule="exact"/>
        <w:jc w:val="center"/>
      </w:pPr>
      <w:r>
        <w:rPr>
          <w:rFonts w:ascii="Times New Roman" w:cs="Times New Roman" w:eastAsia="Times New Roman" w:hAnsi="Times New Roman"/>
          <w:b/>
          <w:bCs/>
          <w:color w:val="000000"/>
          <w:sz w:val="20"/>
          <w:szCs w:val="20"/>
        </w:rPr>
        <w:t xml:space="preserve">TABLE IX — Condiciones Detectables por el Módulo IA</w:t>
      </w:r>
    </w:p>
    <w:tbl>
      <w:tblPr>
        <w:tblW w:type="dxa" w:w="52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200"/>
        <w:gridCol w:w="1060"/>
      </w:tblGrid>
      <w:tr>
        <w:trPr>
          <w:tblHeader/>
        </w:trPr>
        <w:tc>
          <w:tcPr>
            <w:tcW w:type="dxa" w:w="12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Categoría</w:t>
            </w:r>
          </w:p>
        </w:tc>
        <w:tc>
          <w:tcPr>
            <w:tcW w:type="dxa" w:w="18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Condición Clínica</w:t>
            </w:r>
          </w:p>
        </w:tc>
        <w:tc>
          <w:tcPr>
            <w:tcW w:type="dxa" w:w="12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Tarea ML</w:t>
            </w:r>
          </w:p>
        </w:tc>
        <w:tc>
          <w:tcPr>
            <w:tcW w:type="dxa" w:w="106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Métrica Principal</w:t>
            </w:r>
          </w:p>
        </w:tc>
      </w:tr>
      <w:tr>
        <w:tc>
          <w:tcPr>
            <w:tcW w:type="dxa" w:w="12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Anomalías estructurales</w:t>
            </w:r>
          </w:p>
        </w:tc>
        <w:tc>
          <w:tcPr>
            <w:tcW w:type="dxa" w:w="18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Anencefalia, espina bífida, malformaciones cardíacas</w:t>
            </w:r>
          </w:p>
        </w:tc>
        <w:tc>
          <w:tcPr>
            <w:tcW w:type="dxa" w:w="12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Clasificación binaria</w:t>
            </w:r>
          </w:p>
        </w:tc>
        <w:tc>
          <w:tcPr>
            <w:tcW w:type="dxa" w:w="10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Sensibilidad ≥0.92</w:t>
            </w:r>
          </w:p>
        </w:tc>
      </w:tr>
      <w:tr>
        <w:tc>
          <w:tcPr>
            <w:tcW w:type="dxa" w:w="12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Crecimiento fetal</w:t>
            </w:r>
          </w:p>
        </w:tc>
        <w:tc>
          <w:tcPr>
            <w:tcW w:type="dxa" w:w="18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RCIU, macrosomía, biometría (BPD,HC,AC,FL)</w:t>
            </w:r>
          </w:p>
        </w:tc>
        <w:tc>
          <w:tcPr>
            <w:tcW w:type="dxa" w:w="12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Regresión + percentil</w:t>
            </w:r>
          </w:p>
        </w:tc>
        <w:tc>
          <w:tcPr>
            <w:tcW w:type="dxa" w:w="10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MAE ≤3.0 mm</w:t>
            </w:r>
          </w:p>
        </w:tc>
      </w:tr>
      <w:tr>
        <w:tc>
          <w:tcPr>
            <w:tcW w:type="dxa" w:w="12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Patología placentaria</w:t>
            </w:r>
          </w:p>
        </w:tc>
        <w:tc>
          <w:tcPr>
            <w:tcW w:type="dxa" w:w="18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Placenta previa, desprendimiento, calcificaciones</w:t>
            </w:r>
          </w:p>
        </w:tc>
        <w:tc>
          <w:tcPr>
            <w:tcW w:type="dxa" w:w="12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Clasificación + segmentación</w:t>
            </w:r>
          </w:p>
        </w:tc>
        <w:tc>
          <w:tcPr>
            <w:tcW w:type="dxa" w:w="10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AUC-ROC ≥0.90</w:t>
            </w:r>
          </w:p>
        </w:tc>
      </w:tr>
      <w:tr>
        <w:tc>
          <w:tcPr>
            <w:tcW w:type="dxa" w:w="12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Líquido amniótico</w:t>
            </w:r>
          </w:p>
        </w:tc>
        <w:tc>
          <w:tcPr>
            <w:tcW w:type="dxa" w:w="18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Oligohidramnios, polihidramnios (ILA)</w:t>
            </w:r>
          </w:p>
        </w:tc>
        <w:tc>
          <w:tcPr>
            <w:tcW w:type="dxa" w:w="12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Regresión numérica</w:t>
            </w:r>
          </w:p>
        </w:tc>
        <w:tc>
          <w:tcPr>
            <w:tcW w:type="dxa" w:w="10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MAE ≤2.0 cm</w:t>
            </w:r>
          </w:p>
        </w:tc>
      </w:tr>
      <w:tr>
        <w:tc>
          <w:tcPr>
            <w:tcW w:type="dxa" w:w="12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Riesgo materno</w:t>
            </w:r>
          </w:p>
        </w:tc>
        <w:tc>
          <w:tcPr>
            <w:tcW w:type="dxa" w:w="18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Preeclampsia, parto prematuro (score)</w:t>
            </w:r>
          </w:p>
        </w:tc>
        <w:tc>
          <w:tcPr>
            <w:tcW w:type="dxa" w:w="12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Score probabilidad 0–1</w:t>
            </w:r>
          </w:p>
        </w:tc>
        <w:tc>
          <w:tcPr>
            <w:tcW w:type="dxa" w:w="10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AUC-ROC ≥0.90</w:t>
            </w:r>
          </w:p>
        </w:tc>
      </w:tr>
      <w:tr>
        <w:tc>
          <w:tcPr>
            <w:tcW w:type="dxa" w:w="12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Ginecológicas</w:t>
            </w:r>
          </w:p>
        </w:tc>
        <w:tc>
          <w:tcPr>
            <w:tcW w:type="dxa" w:w="18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Miomas, quistes ováricos, patología cervical</w:t>
            </w:r>
          </w:p>
        </w:tc>
        <w:tc>
          <w:tcPr>
            <w:tcW w:type="dxa" w:w="12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Clasificación + loc.</w:t>
            </w:r>
          </w:p>
        </w:tc>
        <w:tc>
          <w:tcPr>
            <w:tcW w:type="dxa" w:w="10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F1-Score ≥0.85</w:t>
            </w:r>
          </w:p>
        </w:tc>
      </w:tr>
    </w:tbl>
    <w:p>
      <w:pPr>
        <w:spacing w:after="60" w:before="60"/>
      </w:pPr>
      <w:r>
        <w:t xml:space="preserve"/>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D. Pipeline Completo de ML</w:t>
      </w:r>
    </w:p>
    <w:p>
      <w:pPr>
        <w:spacing w:after="40" w:before="0" w:line="218" w:lineRule="exact"/>
        <w:ind w:left="360" w:hanging="280"/>
        <w:jc w:val="both"/>
      </w:pPr>
      <w:r>
        <w:rPr>
          <w:rFonts w:ascii="Times New Roman" w:cs="Times New Roman" w:eastAsia="Times New Roman" w:hAnsi="Times New Roman"/>
          <w:b/>
          <w:bCs/>
          <w:color w:val="000000"/>
          <w:sz w:val="20"/>
          <w:szCs w:val="20"/>
        </w:rPr>
        <w:t xml:space="preserve">1. </w:t>
      </w:r>
      <w:r>
        <w:rPr>
          <w:rFonts w:ascii="Times New Roman" w:cs="Times New Roman" w:eastAsia="Times New Roman" w:hAnsi="Times New Roman"/>
          <w:color w:val="000000"/>
          <w:sz w:val="20"/>
          <w:szCs w:val="20"/>
        </w:rPr>
        <w:t xml:space="preserve">Adquisición: FETAL_PLANES_DB (Thomas et al., 2021) [15] + imágenes propias anonimizadas. Mínimo 5,000 imágenes etiquetadas.</w:t>
      </w:r>
    </w:p>
    <w:p>
      <w:pPr>
        <w:spacing w:after="40" w:before="0" w:line="218" w:lineRule="exact"/>
        <w:ind w:left="360" w:hanging="280"/>
        <w:jc w:val="both"/>
      </w:pPr>
      <w:r>
        <w:rPr>
          <w:rFonts w:ascii="Times New Roman" w:cs="Times New Roman" w:eastAsia="Times New Roman" w:hAnsi="Times New Roman"/>
          <w:b/>
          <w:bCs/>
          <w:color w:val="000000"/>
          <w:sz w:val="20"/>
          <w:szCs w:val="20"/>
        </w:rPr>
        <w:t xml:space="preserve">2. </w:t>
      </w:r>
      <w:r>
        <w:rPr>
          <w:rFonts w:ascii="Times New Roman" w:cs="Times New Roman" w:eastAsia="Times New Roman" w:hAnsi="Times New Roman"/>
          <w:color w:val="000000"/>
          <w:sz w:val="20"/>
          <w:szCs w:val="20"/>
        </w:rPr>
        <w:t xml:space="preserve">Anonimización: pydicom + dicomanon para eliminar metadatos DICOM con información personal antes de entrenamiento.</w:t>
      </w:r>
    </w:p>
    <w:p>
      <w:pPr>
        <w:spacing w:after="40" w:before="0" w:line="218" w:lineRule="exact"/>
        <w:ind w:left="360" w:hanging="280"/>
        <w:jc w:val="both"/>
      </w:pPr>
      <w:r>
        <w:rPr>
          <w:rFonts w:ascii="Times New Roman" w:cs="Times New Roman" w:eastAsia="Times New Roman" w:hAnsi="Times New Roman"/>
          <w:b/>
          <w:bCs/>
          <w:color w:val="000000"/>
          <w:sz w:val="20"/>
          <w:szCs w:val="20"/>
        </w:rPr>
        <w:t xml:space="preserve">3. </w:t>
      </w:r>
      <w:r>
        <w:rPr>
          <w:rFonts w:ascii="Times New Roman" w:cs="Times New Roman" w:eastAsia="Times New Roman" w:hAnsi="Times New Roman"/>
          <w:color w:val="000000"/>
          <w:sz w:val="20"/>
          <w:szCs w:val="20"/>
        </w:rPr>
        <w:t xml:space="preserve">Preprocesamiento MONAI: normalización, resize 384×384, conversión DICOM→PNG, augmentation (rot ±15°, flip, brillo).</w:t>
      </w:r>
    </w:p>
    <w:p>
      <w:pPr>
        <w:spacing w:after="40" w:before="0" w:line="218" w:lineRule="exact"/>
        <w:ind w:left="360" w:hanging="280"/>
        <w:jc w:val="both"/>
      </w:pPr>
      <w:r>
        <w:rPr>
          <w:rFonts w:ascii="Times New Roman" w:cs="Times New Roman" w:eastAsia="Times New Roman" w:hAnsi="Times New Roman"/>
          <w:b/>
          <w:bCs/>
          <w:color w:val="000000"/>
          <w:sz w:val="20"/>
          <w:szCs w:val="20"/>
        </w:rPr>
        <w:t xml:space="preserve">4. </w:t>
      </w:r>
      <w:r>
        <w:rPr>
          <w:rFonts w:ascii="Times New Roman" w:cs="Times New Roman" w:eastAsia="Times New Roman" w:hAnsi="Times New Roman"/>
          <w:color w:val="000000"/>
          <w:sz w:val="20"/>
          <w:szCs w:val="20"/>
        </w:rPr>
        <w:t xml:space="preserve">Etiquetado: EXCLUSIVAMENTE por médico especialista (ginecólogo u obstetra). Herramienta: Label Studio con interfaz DICOM.</w:t>
      </w:r>
    </w:p>
    <w:p>
      <w:pPr>
        <w:spacing w:after="40" w:before="0" w:line="218" w:lineRule="exact"/>
        <w:ind w:left="360" w:hanging="280"/>
        <w:jc w:val="both"/>
      </w:pPr>
      <w:r>
        <w:rPr>
          <w:rFonts w:ascii="Times New Roman" w:cs="Times New Roman" w:eastAsia="Times New Roman" w:hAnsi="Times New Roman"/>
          <w:b/>
          <w:bCs/>
          <w:color w:val="000000"/>
          <w:sz w:val="20"/>
          <w:szCs w:val="20"/>
        </w:rPr>
        <w:t xml:space="preserve">5. </w:t>
      </w:r>
      <w:r>
        <w:rPr>
          <w:rFonts w:ascii="Times New Roman" w:cs="Times New Roman" w:eastAsia="Times New Roman" w:hAnsi="Times New Roman"/>
          <w:color w:val="000000"/>
          <w:sz w:val="20"/>
          <w:szCs w:val="20"/>
        </w:rPr>
        <w:t xml:space="preserve">Entrenamiento: AdamW + LR scheduler coseno. Loss: BCE multi-label + MSE regresión. Fine-tuning 2 fases.</w:t>
      </w:r>
    </w:p>
    <w:p>
      <w:pPr>
        <w:spacing w:after="40" w:before="0" w:line="218" w:lineRule="exact"/>
        <w:ind w:left="360" w:hanging="280"/>
        <w:jc w:val="both"/>
      </w:pPr>
      <w:r>
        <w:rPr>
          <w:rFonts w:ascii="Times New Roman" w:cs="Times New Roman" w:eastAsia="Times New Roman" w:hAnsi="Times New Roman"/>
          <w:b/>
          <w:bCs/>
          <w:color w:val="000000"/>
          <w:sz w:val="20"/>
          <w:szCs w:val="20"/>
        </w:rPr>
        <w:t xml:space="preserve">6. </w:t>
      </w:r>
      <w:r>
        <w:rPr>
          <w:rFonts w:ascii="Times New Roman" w:cs="Times New Roman" w:eastAsia="Times New Roman" w:hAnsi="Times New Roman"/>
          <w:color w:val="000000"/>
          <w:sz w:val="20"/>
          <w:szCs w:val="20"/>
        </w:rPr>
        <w:t xml:space="preserve">Validación técnica: split 70/15/15. Métricas: AUC-ROC, F1, Sensibilidad, Especificidad, Kappa, MAE biometría.</w:t>
      </w:r>
    </w:p>
    <w:p>
      <w:pPr>
        <w:spacing w:after="40" w:before="0" w:line="218" w:lineRule="exact"/>
        <w:ind w:left="360" w:hanging="280"/>
        <w:jc w:val="both"/>
      </w:pPr>
      <w:r>
        <w:rPr>
          <w:rFonts w:ascii="Times New Roman" w:cs="Times New Roman" w:eastAsia="Times New Roman" w:hAnsi="Times New Roman"/>
          <w:b/>
          <w:bCs/>
          <w:color w:val="000000"/>
          <w:sz w:val="20"/>
          <w:szCs w:val="20"/>
        </w:rPr>
        <w:t xml:space="preserve">7. </w:t>
      </w:r>
      <w:r>
        <w:rPr>
          <w:rFonts w:ascii="Times New Roman" w:cs="Times New Roman" w:eastAsia="Times New Roman" w:hAnsi="Times New Roman"/>
          <w:color w:val="000000"/>
          <w:sz w:val="20"/>
          <w:szCs w:val="20"/>
        </w:rPr>
        <w:t xml:space="preserve">Validación clínica: médico revisa 200 casos del test set. Modelo solo entra a producción con aceptación documentada.</w:t>
      </w:r>
    </w:p>
    <w:p>
      <w:pPr>
        <w:spacing w:after="40" w:before="0" w:line="218" w:lineRule="exact"/>
        <w:ind w:left="360" w:hanging="280"/>
        <w:jc w:val="both"/>
      </w:pPr>
      <w:r>
        <w:rPr>
          <w:rFonts w:ascii="Times New Roman" w:cs="Times New Roman" w:eastAsia="Times New Roman" w:hAnsi="Times New Roman"/>
          <w:b/>
          <w:bCs/>
          <w:color w:val="000000"/>
          <w:sz w:val="20"/>
          <w:szCs w:val="20"/>
        </w:rPr>
        <w:t xml:space="preserve">8. </w:t>
      </w:r>
      <w:r>
        <w:rPr>
          <w:rFonts w:ascii="Times New Roman" w:cs="Times New Roman" w:eastAsia="Times New Roman" w:hAnsi="Times New Roman"/>
          <w:color w:val="000000"/>
          <w:sz w:val="20"/>
          <w:szCs w:val="20"/>
        </w:rPr>
        <w:t xml:space="preserve">Deploy: FastAPI + ONNX export para optimización. Logging de cada inferencia con hash input, output, versión, tiempo.</w:t>
      </w:r>
    </w:p>
    <w:p>
      <w:pPr>
        <w:spacing w:after="40" w:before="0" w:line="218" w:lineRule="exact"/>
        <w:ind w:left="360" w:hanging="280"/>
        <w:jc w:val="both"/>
      </w:pPr>
      <w:r>
        <w:rPr>
          <w:rFonts w:ascii="Times New Roman" w:cs="Times New Roman" w:eastAsia="Times New Roman" w:hAnsi="Times New Roman"/>
          <w:b/>
          <w:bCs/>
          <w:color w:val="000000"/>
          <w:sz w:val="20"/>
          <w:szCs w:val="20"/>
        </w:rPr>
        <w:t xml:space="preserve">9. </w:t>
      </w:r>
      <w:r>
        <w:rPr>
          <w:rFonts w:ascii="Times New Roman" w:cs="Times New Roman" w:eastAsia="Times New Roman" w:hAnsi="Times New Roman"/>
          <w:color w:val="000000"/>
          <w:sz w:val="20"/>
          <w:szCs w:val="20"/>
        </w:rPr>
        <w:t xml:space="preserve">Monitoreo: Evidently AI para data drift mensual. Alerta si PSI &gt;0.15.</w:t>
      </w:r>
    </w:p>
    <w:p>
      <w:pPr>
        <w:spacing w:after="40" w:before="0" w:line="218" w:lineRule="exact"/>
        <w:ind w:left="360" w:hanging="280"/>
        <w:jc w:val="both"/>
      </w:pPr>
      <w:r>
        <w:rPr>
          <w:rFonts w:ascii="Times New Roman" w:cs="Times New Roman" w:eastAsia="Times New Roman" w:hAnsi="Times New Roman"/>
          <w:b/>
          <w:bCs/>
          <w:color w:val="000000"/>
          <w:sz w:val="20"/>
          <w:szCs w:val="20"/>
        </w:rPr>
        <w:t xml:space="preserve">10. </w:t>
      </w:r>
      <w:r>
        <w:rPr>
          <w:rFonts w:ascii="Times New Roman" w:cs="Times New Roman" w:eastAsia="Times New Roman" w:hAnsi="Times New Roman"/>
          <w:color w:val="000000"/>
          <w:sz w:val="20"/>
          <w:szCs w:val="20"/>
        </w:rPr>
        <w:t xml:space="preserve">Reentrenamiento: mensual. Nuevo modelo no reemplaza anterior sin pasar validación técnica + clínica. MLflow para versionado.</w:t>
      </w:r>
    </w:p>
    <w:p>
      <w:pPr>
        <w:spacing w:after="60" w:before="60"/>
      </w:pPr>
      <w:r>
        <w:t xml:space="preserve"/>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E. Métricas de Aceptación</w:t>
      </w:r>
    </w:p>
    <w:p>
      <w:pPr>
        <w:spacing w:after="60" w:before="200" w:line="218" w:lineRule="exact"/>
        <w:jc w:val="center"/>
      </w:pPr>
      <w:r>
        <w:rPr>
          <w:rFonts w:ascii="Times New Roman" w:cs="Times New Roman" w:eastAsia="Times New Roman" w:hAnsi="Times New Roman"/>
          <w:b/>
          <w:bCs/>
          <w:color w:val="000000"/>
          <w:sz w:val="20"/>
          <w:szCs w:val="20"/>
        </w:rPr>
        <w:t xml:space="preserve">TABLE X — Umbrales de Métricas para Producción</w:t>
      </w:r>
    </w:p>
    <w:tbl>
      <w:tblPr>
        <w:tblW w:type="dxa" w:w="52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60"/>
      </w:tblGrid>
      <w:tr>
        <w:trPr>
          <w:tblHeader/>
        </w:trPr>
        <w:tc>
          <w:tcPr>
            <w:tcW w:type="dxa" w:w="20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Métrica</w:t>
            </w:r>
          </w:p>
        </w:tc>
        <w:tc>
          <w:tcPr>
            <w:tcW w:type="dxa" w:w="16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Umbral Mínimo</w:t>
            </w:r>
          </w:p>
        </w:tc>
        <w:tc>
          <w:tcPr>
            <w:tcW w:type="dxa" w:w="166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Umbral Óptimo</w:t>
            </w:r>
          </w:p>
        </w:tc>
      </w:tr>
      <w:tr>
        <w:tc>
          <w:tcPr>
            <w:tcW w:type="dxa" w:w="20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AUC-ROC (anomalías)</w:t>
            </w:r>
          </w:p>
        </w:tc>
        <w:tc>
          <w:tcPr>
            <w:tcW w:type="dxa" w:w="16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 0.90</w:t>
            </w:r>
          </w:p>
        </w:tc>
        <w:tc>
          <w:tcPr>
            <w:tcW w:type="dxa" w:w="16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 0.95</w:t>
            </w:r>
          </w:p>
        </w:tc>
      </w:tr>
      <w:tr>
        <w:tc>
          <w:tcPr>
            <w:tcW w:type="dxa" w:w="20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Sensibilidad / Recall</w:t>
            </w:r>
          </w:p>
        </w:tc>
        <w:tc>
          <w:tcPr>
            <w:tcW w:type="dxa" w:w="16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 0.92 (CRÍTICO)</w:t>
            </w:r>
          </w:p>
        </w:tc>
        <w:tc>
          <w:tcPr>
            <w:tcW w:type="dxa" w:w="16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 0.96</w:t>
            </w:r>
          </w:p>
        </w:tc>
      </w:tr>
      <w:tr>
        <w:tc>
          <w:tcPr>
            <w:tcW w:type="dxa" w:w="20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Especificidad</w:t>
            </w:r>
          </w:p>
        </w:tc>
        <w:tc>
          <w:tcPr>
            <w:tcW w:type="dxa" w:w="16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 0.85</w:t>
            </w:r>
          </w:p>
        </w:tc>
        <w:tc>
          <w:tcPr>
            <w:tcW w:type="dxa" w:w="16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 0.92</w:t>
            </w:r>
          </w:p>
        </w:tc>
      </w:tr>
      <w:tr>
        <w:tc>
          <w:tcPr>
            <w:tcW w:type="dxa" w:w="20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F1-Score multi-label</w:t>
            </w:r>
          </w:p>
        </w:tc>
        <w:tc>
          <w:tcPr>
            <w:tcW w:type="dxa" w:w="16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 0.85</w:t>
            </w:r>
          </w:p>
        </w:tc>
        <w:tc>
          <w:tcPr>
            <w:tcW w:type="dxa" w:w="16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 0.90</w:t>
            </w:r>
          </w:p>
        </w:tc>
      </w:tr>
      <w:tr>
        <w:tc>
          <w:tcPr>
            <w:tcW w:type="dxa" w:w="20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Kappa de Cohen</w:t>
            </w:r>
          </w:p>
        </w:tc>
        <w:tc>
          <w:tcPr>
            <w:tcW w:type="dxa" w:w="16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 0.75</w:t>
            </w:r>
          </w:p>
        </w:tc>
        <w:tc>
          <w:tcPr>
            <w:tcW w:type="dxa" w:w="16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 0.85</w:t>
            </w:r>
          </w:p>
        </w:tc>
      </w:tr>
      <w:tr>
        <w:tc>
          <w:tcPr>
            <w:tcW w:type="dxa" w:w="20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MAE biometría</w:t>
            </w:r>
          </w:p>
        </w:tc>
        <w:tc>
          <w:tcPr>
            <w:tcW w:type="dxa" w:w="16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 3.0 mm</w:t>
            </w:r>
          </w:p>
        </w:tc>
        <w:tc>
          <w:tcPr>
            <w:tcW w:type="dxa" w:w="16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 1.5 mm</w:t>
            </w:r>
          </w:p>
        </w:tc>
      </w:tr>
      <w:tr>
        <w:tc>
          <w:tcPr>
            <w:tcW w:type="dxa" w:w="20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Tiempo inferencia</w:t>
            </w:r>
          </w:p>
        </w:tc>
        <w:tc>
          <w:tcPr>
            <w:tcW w:type="dxa" w:w="16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&lt; 3 segundos</w:t>
            </w:r>
          </w:p>
        </w:tc>
        <w:tc>
          <w:tcPr>
            <w:tcW w:type="dxa" w:w="16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&lt; 1.5 segundos</w:t>
            </w:r>
          </w:p>
        </w:tc>
      </w:tr>
      <w:tr>
        <w:tc>
          <w:tcPr>
            <w:tcW w:type="dxa" w:w="20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Acuerdo médico validación</w:t>
            </w:r>
          </w:p>
        </w:tc>
        <w:tc>
          <w:tcPr>
            <w:tcW w:type="dxa" w:w="16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 85 %</w:t>
            </w:r>
          </w:p>
        </w:tc>
        <w:tc>
          <w:tcPr>
            <w:tcW w:type="dxa" w:w="16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 92 %</w:t>
            </w:r>
          </w:p>
        </w:tc>
      </w:tr>
    </w:tbl>
    <w:p>
      <w:pPr>
        <w:spacing w:after="80" w:before="40" w:line="218" w:lineRule="exact"/>
      </w:pPr>
      <w:r>
        <w:rPr>
          <w:rFonts w:ascii="Times New Roman" w:cs="Times New Roman" w:eastAsia="Times New Roman" w:hAnsi="Times New Roman"/>
          <w:i/>
          <w:iCs/>
          <w:color w:val="000000"/>
          <w:sz w:val="16"/>
          <w:szCs w:val="16"/>
        </w:rPr>
        <w:t xml:space="preserve">Note. </w:t>
      </w:r>
      <w:r>
        <w:rPr>
          <w:rFonts w:ascii="Times New Roman" w:cs="Times New Roman" w:eastAsia="Times New Roman" w:hAnsi="Times New Roman"/>
          <w:color w:val="000000"/>
          <w:sz w:val="16"/>
          <w:szCs w:val="16"/>
        </w:rPr>
        <w:t xml:space="preserve">Sensibilidad ≥0.92 es el umbral más crítico: un falso negativo puede implicar pérdida de vida fetal o materna.</w:t>
      </w:r>
    </w:p>
    <w:p>
      <w:pPr>
        <w:spacing w:after="60" w:before="60"/>
      </w:pPr>
      <w:r>
        <w:t xml:space="preserve"/>
      </w:r>
    </w:p>
    <w:p>
      <w:pPr>
        <w:spacing w:after="120" w:before="240" w:line="218" w:lineRule="exact"/>
        <w:jc w:val="center"/>
      </w:pPr>
      <w:r>
        <w:rPr>
          <w:rFonts w:ascii="Times New Roman" w:cs="Times New Roman" w:eastAsia="Times New Roman" w:hAnsi="Times New Roman"/>
          <w:b/>
          <w:bCs/>
          <w:smallCaps/>
          <w:color w:val="000000"/>
          <w:sz w:val="20"/>
          <w:szCs w:val="20"/>
        </w:rPr>
        <w:t xml:space="preserve">IX. EXPLICABILIDAD XAI: GRAD-CAM Y SHAP</w:t>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A. Fundamento y Necesidad</w:t>
      </w:r>
    </w:p>
    <w:p>
      <w:pPr>
        <w:spacing w:after="80" w:before="0" w:line="218" w:lineRule="exact"/>
        <w:ind w:firstLine="360"/>
        <w:jc w:val="both"/>
      </w:pPr>
      <w:r>
        <w:rPr>
          <w:rFonts w:ascii="Times New Roman" w:cs="Times New Roman" w:eastAsia="Times New Roman" w:hAnsi="Times New Roman"/>
          <w:color w:val="000000"/>
          <w:sz w:val="20"/>
          <w:szCs w:val="20"/>
        </w:rPr>
        <w:t xml:space="preserve">En sistemas médicos de soporte diagnóstico, la IA no puede ser una caja negra. Un médico no aceptará ni confiará en un diagnóstico que no pueda fundamentar ante el paciente o ante la ley. Selvaraju et al. [16] desarrollaron Grad-CAM (Gradient-weighted Class Activation Mapping) como técnica de explicabilidad que genera mapas de calor sobre la imagen de entrada, indicando qué regiones activaron la decisión de la red. Lundberg y Lee [17] propusieron SHAP (SHapley Additive exPlanations) para explicar predicciones en términos de contribuciones de características individuales. Ambas técnicas son obligatorias en el presente sistema.</w:t>
      </w:r>
    </w:p>
    <w:p>
      <w:pPr>
        <w:spacing w:after="60" w:before="60"/>
      </w:pPr>
      <w:r>
        <w:t xml:space="preserve"/>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B. Grad-CAM en el Visor OHIF</w:t>
      </w:r>
    </w:p>
    <w:p>
      <w:pPr>
        <w:spacing w:after="80" w:before="0" w:line="218" w:lineRule="exact"/>
        <w:ind w:firstLine="360"/>
        <w:jc w:val="both"/>
      </w:pPr>
      <w:r>
        <w:rPr>
          <w:rFonts w:ascii="Times New Roman" w:cs="Times New Roman" w:eastAsia="Times New Roman" w:hAnsi="Times New Roman"/>
          <w:color w:val="000000"/>
          <w:sz w:val="20"/>
          <w:szCs w:val="20"/>
        </w:rPr>
        <w:t xml:space="preserve">Cuando el médico de laboratorio sube una imagen DICOM al sistema, el ML Service realiza la inferencia CNN y, simultáneamente, calcula el mapa de calor Grad-CAM para cada patología detectada con confianza ≥0.70. El resultado se almacena como imagen PNG superpuesta sobre la ecografía original y se sirve al visor OHIF Viewer v3 como capa de overlay. El médico puede activar/desactivar el overlay por patología, ver la región exacta que activó la alerta, y decidir si acepta o rechaza el análisis con esa evidencia visual.</w:t>
      </w:r>
    </w:p>
    <w:p>
      <w:pPr>
        <w:spacing w:after="80" w:before="0" w:line="218" w:lineRule="exact"/>
        <w:ind w:firstLine="360"/>
        <w:jc w:val="both"/>
      </w:pPr>
      <w:r>
        <w:rPr>
          <w:rFonts w:ascii="Times New Roman" w:cs="Times New Roman" w:eastAsia="Times New Roman" w:hAnsi="Times New Roman"/>
          <w:color w:val="000000"/>
          <w:sz w:val="20"/>
          <w:szCs w:val="20"/>
        </w:rPr>
        <w:t xml:space="preserve">La implementación técnica usa torch.nn.functional hooks sobre la última capa convolucional del backbone EfficientNet-B4 para capturar los gradientes respecto a la clase de interés, normalizar el mapa resultante y aplicarlo como heatmap coloreado (escala JET o viridis) sobre la imagen original:</w:t>
      </w:r>
    </w:p>
    <w:p>
      <w:pPr>
        <w:spacing w:after="0" w:before="0" w:line="200" w:lineRule="exact"/>
        <w:jc w:val="center"/>
      </w:pPr>
      <w:r>
        <w:rPr>
          <w:rFonts w:ascii="Courier New" w:cs="Courier New" w:eastAsia="Courier New" w:hAnsi="Courier New"/>
          <w:color w:val="000000"/>
          <w:sz w:val="16"/>
          <w:szCs w:val="16"/>
        </w:rPr>
        <w:t xml:space="preserve">  GRAD-CAM IMPLEMENTATION FLOW</w:t>
      </w:r>
    </w:p>
    <w:p>
      <w:pPr>
        <w:spacing w:after="0" w:before="0" w:line="200" w:lineRule="exact"/>
        <w:jc w:val="center"/>
      </w:pPr>
      <w:r>
        <w:rPr>
          <w:rFonts w:ascii="Courier New" w:cs="Courier New" w:eastAsia="Courier New" w:hAnsi="Courier New"/>
          <w:color w:val="000000"/>
          <w:sz w:val="16"/>
          <w:szCs w:val="16"/>
        </w:rPr>
        <w:t xml:space="preserve"/>
      </w:r>
    </w:p>
    <w:p>
      <w:pPr>
        <w:spacing w:after="0" w:before="0" w:line="200" w:lineRule="exact"/>
        <w:jc w:val="center"/>
      </w:pPr>
      <w:r>
        <w:rPr>
          <w:rFonts w:ascii="Courier New" w:cs="Courier New" w:eastAsia="Courier New" w:hAnsi="Courier New"/>
          <w:color w:val="000000"/>
          <w:sz w:val="16"/>
          <w:szCs w:val="16"/>
        </w:rPr>
        <w:t xml:space="preserve">  Input: Ecografía DICOM (384×384)</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EfficientNet-B4 Forward Pass</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 Última capa conv (target)   │</w:t>
      </w:r>
    </w:p>
    <w:p>
      <w:pPr>
        <w:spacing w:after="0" w:before="0" w:line="200" w:lineRule="exact"/>
        <w:jc w:val="center"/>
      </w:pPr>
      <w:r>
        <w:rPr>
          <w:rFonts w:ascii="Courier New" w:cs="Courier New" w:eastAsia="Courier New" w:hAnsi="Courier New"/>
          <w:color w:val="000000"/>
          <w:sz w:val="16"/>
          <w:szCs w:val="16"/>
        </w:rPr>
        <w:t xml:space="preserve">  │ Feature maps A^k (H×W×K)   │</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    + Backward pass</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 Gradients ∂y^c/∂A^k        │</w:t>
      </w:r>
    </w:p>
    <w:p>
      <w:pPr>
        <w:spacing w:after="0" w:before="0" w:line="200" w:lineRule="exact"/>
        <w:jc w:val="center"/>
      </w:pPr>
      <w:r>
        <w:rPr>
          <w:rFonts w:ascii="Courier New" w:cs="Courier New" w:eastAsia="Courier New" w:hAnsi="Courier New"/>
          <w:color w:val="000000"/>
          <w:sz w:val="16"/>
          <w:szCs w:val="16"/>
        </w:rPr>
        <w:t xml:space="preserve">  │ Global Average Pool →      │</w:t>
      </w:r>
    </w:p>
    <w:p>
      <w:pPr>
        <w:spacing w:after="0" w:before="0" w:line="200" w:lineRule="exact"/>
        <w:jc w:val="center"/>
      </w:pPr>
      <w:r>
        <w:rPr>
          <w:rFonts w:ascii="Courier New" w:cs="Courier New" w:eastAsia="Courier New" w:hAnsi="Courier New"/>
          <w:color w:val="000000"/>
          <w:sz w:val="16"/>
          <w:szCs w:val="16"/>
        </w:rPr>
        <w:t xml:space="preserve">  │ Pesos α^c_k               │</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L_Grad-CAM = ReLU(Σ α^c_k · A^k)</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 Resize a 384×384           │</w:t>
      </w:r>
    </w:p>
    <w:p>
      <w:pPr>
        <w:spacing w:after="0" w:before="0" w:line="200" w:lineRule="exact"/>
        <w:jc w:val="center"/>
      </w:pPr>
      <w:r>
        <w:rPr>
          <w:rFonts w:ascii="Courier New" w:cs="Courier New" w:eastAsia="Courier New" w:hAnsi="Courier New"/>
          <w:color w:val="000000"/>
          <w:sz w:val="16"/>
          <w:szCs w:val="16"/>
        </w:rPr>
        <w:t xml:space="preserve">  │ Normalize [0,1]            │</w:t>
      </w:r>
    </w:p>
    <w:p>
      <w:pPr>
        <w:spacing w:after="0" w:before="0" w:line="200" w:lineRule="exact"/>
        <w:jc w:val="center"/>
      </w:pPr>
      <w:r>
        <w:rPr>
          <w:rFonts w:ascii="Courier New" w:cs="Courier New" w:eastAsia="Courier New" w:hAnsi="Courier New"/>
          <w:color w:val="000000"/>
          <w:sz w:val="16"/>
          <w:szCs w:val="16"/>
        </w:rPr>
        <w:t xml:space="preserve">  │ Colormap (JET)             │</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PNG overlay → OHIF Viewer</w:t>
      </w:r>
    </w:p>
    <w:p>
      <w:pPr>
        <w:spacing w:after="0" w:before="0" w:line="200" w:lineRule="exact"/>
        <w:jc w:val="center"/>
      </w:pPr>
      <w:r>
        <w:rPr>
          <w:rFonts w:ascii="Courier New" w:cs="Courier New" w:eastAsia="Courier New" w:hAnsi="Courier New"/>
          <w:color w:val="000000"/>
          <w:sz w:val="16"/>
          <w:szCs w:val="16"/>
        </w:rPr>
        <w:t xml:space="preserve">  (médico ve zona activada)</w:t>
      </w:r>
    </w:p>
    <w:p>
      <w:pPr>
        <w:spacing w:after="160" w:before="60" w:line="218" w:lineRule="exact"/>
        <w:jc w:val="center"/>
      </w:pPr>
      <w:r>
        <w:rPr>
          <w:rFonts w:ascii="Times New Roman" w:cs="Times New Roman" w:eastAsia="Times New Roman" w:hAnsi="Times New Roman"/>
          <w:i/>
          <w:iCs/>
          <w:color w:val="000000"/>
          <w:sz w:val="20"/>
          <w:szCs w:val="20"/>
        </w:rPr>
        <w:t xml:space="preserve">Fig. 7. Implementación de Grad-CAM sobre EfficientNet-B4 para explicabilidad clínica.</w:t>
      </w:r>
    </w:p>
    <w:p>
      <w:pPr>
        <w:spacing w:after="60" w:before="60"/>
      </w:pPr>
      <w:r>
        <w:t xml:space="preserve"/>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C. SHAP para Scores de Riesgo Materno</w:t>
      </w:r>
    </w:p>
    <w:p>
      <w:pPr>
        <w:spacing w:after="80" w:before="0" w:line="218" w:lineRule="exact"/>
        <w:ind w:firstLine="360"/>
        <w:jc w:val="both"/>
      </w:pPr>
      <w:r>
        <w:rPr>
          <w:rFonts w:ascii="Times New Roman" w:cs="Times New Roman" w:eastAsia="Times New Roman" w:hAnsi="Times New Roman"/>
          <w:color w:val="000000"/>
          <w:sz w:val="20"/>
          <w:szCs w:val="20"/>
        </w:rPr>
        <w:t xml:space="preserve">Para los scores de riesgo de preeclampsia y parto prematuro (que combinan variables clínicas tabulares con las features extraídas por la CNN), se implementa SHAP TreeExplainer o KernelExplainer según el modelo de ensemble. El médico ve un gráfico de barras con las 5 variables que más contribuyeron al score: edad gestacional, presión arterial, IMC pre-gestacional, antecedentes de preeclampsia, proteínas en orina. Esto convierte el score en una herramienta de razonamiento clínico, no en un número opaco.</w:t>
      </w:r>
    </w:p>
    <w:p>
      <w:pPr>
        <w:spacing w:after="60" w:before="60"/>
      </w:pPr>
      <w:r>
        <w:t xml:space="preserve"/>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D. Interfaz de Validación Médica</w:t>
      </w:r>
    </w:p>
    <w:p>
      <w:pPr>
        <w:spacing w:after="0" w:before="0" w:line="200" w:lineRule="exact"/>
        <w:jc w:val="center"/>
      </w:pPr>
      <w:r>
        <w:rPr>
          <w:rFonts w:ascii="Courier New" w:cs="Courier New" w:eastAsia="Courier New" w:hAnsi="Courier New"/>
          <w:color w:val="000000"/>
          <w:sz w:val="16"/>
          <w:szCs w:val="16"/>
        </w:rPr>
        <w:t xml:space="preserve">┌─────────────────────────────────────────┐</w:t>
      </w:r>
    </w:p>
    <w:p>
      <w:pPr>
        <w:spacing w:after="0" w:before="0" w:line="200" w:lineRule="exact"/>
        <w:jc w:val="center"/>
      </w:pPr>
      <w:r>
        <w:rPr>
          <w:rFonts w:ascii="Courier New" w:cs="Courier New" w:eastAsia="Courier New" w:hAnsi="Courier New"/>
          <w:color w:val="000000"/>
          <w:sz w:val="16"/>
          <w:szCs w:val="16"/>
        </w:rPr>
        <w:t xml:space="preserve">│  ANÁLISIS IA — Ecografía #ECO-2026-0847 │</w:t>
      </w:r>
    </w:p>
    <w:p>
      <w:pPr>
        <w:spacing w:after="0" w:before="0" w:line="200" w:lineRule="exact"/>
        <w:jc w:val="center"/>
      </w:pPr>
      <w:r>
        <w:rPr>
          <w:rFonts w:ascii="Courier New" w:cs="Courier New" w:eastAsia="Courier New" w:hAnsi="Courier New"/>
          <w:color w:val="000000"/>
          <w:sz w:val="16"/>
          <w:szCs w:val="16"/>
        </w:rPr>
        <w:t xml:space="preserve">├─────────────────────────────────────────┤</w:t>
      </w:r>
    </w:p>
    <w:p>
      <w:pPr>
        <w:spacing w:after="0" w:before="0" w:line="200" w:lineRule="exact"/>
        <w:jc w:val="center"/>
      </w:pPr>
      <w:r>
        <w:rPr>
          <w:rFonts w:ascii="Courier New" w:cs="Courier New" w:eastAsia="Courier New" w:hAnsi="Courier New"/>
          <w:color w:val="000000"/>
          <w:sz w:val="16"/>
          <w:szCs w:val="16"/>
        </w:rPr>
        <w:t xml:space="preserve">│  [Imagen DICOM] + [Grad-CAM overlay]    │</w:t>
      </w:r>
    </w:p>
    <w:p>
      <w:pPr>
        <w:spacing w:after="0" w:before="0" w:line="200" w:lineRule="exact"/>
        <w:jc w:val="center"/>
      </w:pPr>
      <w:r>
        <w:rPr>
          <w:rFonts w:ascii="Courier New" w:cs="Courier New" w:eastAsia="Courier New" w:hAnsi="Courier New"/>
          <w:color w:val="000000"/>
          <w:sz w:val="16"/>
          <w:szCs w:val="16"/>
        </w:rPr>
        <w:t xml:space="preserve">│   🟢 Activar overlay  🔴 Desactivar     │</w:t>
      </w:r>
    </w:p>
    <w:p>
      <w:pPr>
        <w:spacing w:after="0" w:before="0" w:line="200" w:lineRule="exact"/>
        <w:jc w:val="center"/>
      </w:pPr>
      <w:r>
        <w:rPr>
          <w:rFonts w:ascii="Courier New" w:cs="Courier New" w:eastAsia="Courier New" w:hAnsi="Courier New"/>
          <w:color w:val="000000"/>
          <w:sz w:val="16"/>
          <w:szCs w:val="16"/>
        </w:rPr>
        <w:t xml:space="preserve">├─────────────────────────────────────────┤</w:t>
      </w:r>
    </w:p>
    <w:p>
      <w:pPr>
        <w:spacing w:after="0" w:before="0" w:line="200" w:lineRule="exact"/>
        <w:jc w:val="center"/>
      </w:pPr>
      <w:r>
        <w:rPr>
          <w:rFonts w:ascii="Courier New" w:cs="Courier New" w:eastAsia="Courier New" w:hAnsi="Courier New"/>
          <w:color w:val="000000"/>
          <w:sz w:val="16"/>
          <w:szCs w:val="16"/>
        </w:rPr>
        <w:t xml:space="preserve">│ HALLAZGOS DETECTADOS:                   │</w:t>
      </w:r>
    </w:p>
    <w:p>
      <w:pPr>
        <w:spacing w:after="0" w:before="0" w:line="200" w:lineRule="exact"/>
        <w:jc w:val="center"/>
      </w:pPr>
      <w:r>
        <w:rPr>
          <w:rFonts w:ascii="Courier New" w:cs="Courier New" w:eastAsia="Courier New" w:hAnsi="Courier New"/>
          <w:color w:val="000000"/>
          <w:sz w:val="16"/>
          <w:szCs w:val="16"/>
        </w:rPr>
        <w:t xml:space="preserve">│  • Biometría: BPD=72mm (P35) ✓         │</w:t>
      </w:r>
    </w:p>
    <w:p>
      <w:pPr>
        <w:spacing w:after="0" w:before="0" w:line="200" w:lineRule="exact"/>
        <w:jc w:val="center"/>
      </w:pPr>
      <w:r>
        <w:rPr>
          <w:rFonts w:ascii="Courier New" w:cs="Courier New" w:eastAsia="Courier New" w:hAnsi="Courier New"/>
          <w:color w:val="000000"/>
          <w:sz w:val="16"/>
          <w:szCs w:val="16"/>
        </w:rPr>
        <w:t xml:space="preserve">│  • HC=261mm (P28) ✓                    │</w:t>
      </w:r>
    </w:p>
    <w:p>
      <w:pPr>
        <w:spacing w:after="0" w:before="0" w:line="200" w:lineRule="exact"/>
        <w:jc w:val="center"/>
      </w:pPr>
      <w:r>
        <w:rPr>
          <w:rFonts w:ascii="Courier New" w:cs="Courier New" w:eastAsia="Courier New" w:hAnsi="Courier New"/>
          <w:color w:val="000000"/>
          <w:sz w:val="16"/>
          <w:szCs w:val="16"/>
        </w:rPr>
        <w:t xml:space="preserve">│  • AC=224mm (P22) ⚠ Revisar RCIU        │</w:t>
      </w:r>
    </w:p>
    <w:p>
      <w:pPr>
        <w:spacing w:after="0" w:before="0" w:line="200" w:lineRule="exact"/>
        <w:jc w:val="center"/>
      </w:pPr>
      <w:r>
        <w:rPr>
          <w:rFonts w:ascii="Courier New" w:cs="Courier New" w:eastAsia="Courier New" w:hAnsi="Courier New"/>
          <w:color w:val="000000"/>
          <w:sz w:val="16"/>
          <w:szCs w:val="16"/>
        </w:rPr>
        <w:t xml:space="preserve">│  • FL=52mm (P40) ✓                     │</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RIESGO PREECLAMPSIA: 0.78 ⚠ ALTO      │</w:t>
      </w:r>
    </w:p>
    <w:p>
      <w:pPr>
        <w:spacing w:after="0" w:before="0" w:line="200" w:lineRule="exact"/>
        <w:jc w:val="center"/>
      </w:pPr>
      <w:r>
        <w:rPr>
          <w:rFonts w:ascii="Courier New" w:cs="Courier New" w:eastAsia="Courier New" w:hAnsi="Courier New"/>
          <w:color w:val="000000"/>
          <w:sz w:val="16"/>
          <w:szCs w:val="16"/>
        </w:rPr>
        <w:t xml:space="preserve">│  [Ver SHAP →] PA(+0.41) IMC(+0.22)...  │</w:t>
      </w:r>
    </w:p>
    <w:p>
      <w:pPr>
        <w:spacing w:after="0" w:before="0" w:line="200" w:lineRule="exact"/>
        <w:jc w:val="center"/>
      </w:pPr>
      <w:r>
        <w:rPr>
          <w:rFonts w:ascii="Courier New" w:cs="Courier New" w:eastAsia="Courier New" w:hAnsi="Courier New"/>
          <w:color w:val="000000"/>
          <w:sz w:val="16"/>
          <w:szCs w:val="16"/>
        </w:rPr>
        <w:t xml:space="preserve">├─────────────────────────────────────────┤</w:t>
      </w:r>
    </w:p>
    <w:p>
      <w:pPr>
        <w:spacing w:after="0" w:before="0" w:line="200" w:lineRule="exact"/>
        <w:jc w:val="center"/>
      </w:pPr>
      <w:r>
        <w:rPr>
          <w:rFonts w:ascii="Courier New" w:cs="Courier New" w:eastAsia="Courier New" w:hAnsi="Courier New"/>
          <w:color w:val="000000"/>
          <w:sz w:val="16"/>
          <w:szCs w:val="16"/>
        </w:rPr>
        <w:t xml:space="preserve">│  Confianza global: 87%                  │</w:t>
      </w:r>
    </w:p>
    <w:p>
      <w:pPr>
        <w:spacing w:after="0" w:before="0" w:line="200" w:lineRule="exact"/>
        <w:jc w:val="center"/>
      </w:pPr>
      <w:r>
        <w:rPr>
          <w:rFonts w:ascii="Courier New" w:cs="Courier New" w:eastAsia="Courier New" w:hAnsi="Courier New"/>
          <w:color w:val="000000"/>
          <w:sz w:val="16"/>
          <w:szCs w:val="16"/>
        </w:rPr>
        <w:t xml:space="preserve">│  Modelo v2.3.1 | 2026-04-12 10:23 UTC   │</w:t>
      </w:r>
    </w:p>
    <w:p>
      <w:pPr>
        <w:spacing w:after="0" w:before="0" w:line="200" w:lineRule="exact"/>
        <w:jc w:val="center"/>
      </w:pPr>
      <w:r>
        <w:rPr>
          <w:rFonts w:ascii="Courier New" w:cs="Courier New" w:eastAsia="Courier New" w:hAnsi="Courier New"/>
          <w:color w:val="000000"/>
          <w:sz w:val="16"/>
          <w:szCs w:val="16"/>
        </w:rPr>
        <w:t xml:space="preserve">├─────────────────────────────────────────┤</w:t>
      </w:r>
    </w:p>
    <w:p>
      <w:pPr>
        <w:spacing w:after="0" w:before="0" w:line="200" w:lineRule="exact"/>
        <w:jc w:val="center"/>
      </w:pPr>
      <w:r>
        <w:rPr>
          <w:rFonts w:ascii="Courier New" w:cs="Courier New" w:eastAsia="Courier New" w:hAnsi="Courier New"/>
          <w:color w:val="000000"/>
          <w:sz w:val="16"/>
          <w:szCs w:val="16"/>
        </w:rPr>
        <w:t xml:space="preserve">│  Dr. Nombre Apellido (Matrícula: XXXXX) │</w:t>
      </w:r>
    </w:p>
    <w:p>
      <w:pPr>
        <w:spacing w:after="0" w:before="0" w:line="200" w:lineRule="exact"/>
        <w:jc w:val="center"/>
      </w:pPr>
      <w:r>
        <w:rPr>
          <w:rFonts w:ascii="Courier New" w:cs="Courier New" w:eastAsia="Courier New" w:hAnsi="Courier New"/>
          <w:color w:val="000000"/>
          <w:sz w:val="16"/>
          <w:szCs w:val="16"/>
        </w:rPr>
        <w:t xml:space="preserve">│  [✓ ACEPTAR]  [✗ RECHAZAR]  [✏ EDITAR] │</w:t>
      </w:r>
    </w:p>
    <w:p>
      <w:pPr>
        <w:spacing w:after="0" w:before="0" w:line="200" w:lineRule="exact"/>
        <w:jc w:val="center"/>
      </w:pPr>
      <w:r>
        <w:rPr>
          <w:rFonts w:ascii="Courier New" w:cs="Courier New" w:eastAsia="Courier New" w:hAnsi="Courier New"/>
          <w:color w:val="000000"/>
          <w:sz w:val="16"/>
          <w:szCs w:val="16"/>
        </w:rPr>
        <w:t xml:space="preserve">└─────────────────────────────────────────┘</w:t>
      </w:r>
    </w:p>
    <w:p>
      <w:pPr>
        <w:spacing w:after="160" w:before="60" w:line="218" w:lineRule="exact"/>
        <w:jc w:val="center"/>
      </w:pPr>
      <w:r>
        <w:rPr>
          <w:rFonts w:ascii="Times New Roman" w:cs="Times New Roman" w:eastAsia="Times New Roman" w:hAnsi="Times New Roman"/>
          <w:i/>
          <w:iCs/>
          <w:color w:val="000000"/>
          <w:sz w:val="20"/>
          <w:szCs w:val="20"/>
        </w:rPr>
        <w:t xml:space="preserve">Fig. 8. Interfaz de validación médica con Grad-CAM, hallazgos y score de riesgo SHAP.</w:t>
      </w:r>
    </w:p>
    <w:p>
      <w:pPr>
        <w:spacing w:after="60" w:before="60"/>
      </w:pPr>
      <w:r>
        <w:t xml:space="preserve"/>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E. Modo Degradado del Módulo IA</w:t>
      </w:r>
    </w:p>
    <w:p>
      <w:pPr>
        <w:spacing w:after="80" w:before="0" w:line="218" w:lineRule="exact"/>
        <w:ind w:firstLine="360"/>
        <w:jc w:val="both"/>
      </w:pPr>
      <w:r>
        <w:rPr>
          <w:rFonts w:ascii="Times New Roman" w:cs="Times New Roman" w:eastAsia="Times New Roman" w:hAnsi="Times New Roman"/>
          <w:color w:val="000000"/>
          <w:sz w:val="20"/>
          <w:szCs w:val="20"/>
        </w:rPr>
        <w:t xml:space="preserve">Si el ML Service está caído: el sistema continúa funcionando en todos los módulos clínicos y administrativos. La subida de ecografías sigue activa (almacenadas en Orthanc/MinIO). El análisis queda en estado PENDIENTE y se encola en RabbitMQ. Al restaurarse el servicio, procesa la cola automáticamente. El médico puede visualizar la ecografía en OHIF sin análisis IA y realizar evaluación manual. Banner de estado visible en frontend: 'El análisis automático está temporalmente no disponible. La imagen fue guardada y será procesada automáticamente.'</w:t>
      </w:r>
    </w:p>
    <w:p>
      <w:pPr>
        <w:spacing w:after="60" w:before="60"/>
      </w:pPr>
      <w:r>
        <w:t xml:space="preserve"/>
      </w:r>
    </w:p>
    <w:p>
      <w:pPr>
        <w:spacing w:after="120" w:before="240" w:line="218" w:lineRule="exact"/>
        <w:jc w:val="center"/>
      </w:pPr>
      <w:r>
        <w:rPr>
          <w:rFonts w:ascii="Times New Roman" w:cs="Times New Roman" w:eastAsia="Times New Roman" w:hAnsi="Times New Roman"/>
          <w:b/>
          <w:bCs/>
          <w:smallCaps/>
          <w:color w:val="000000"/>
          <w:sz w:val="20"/>
          <w:szCs w:val="20"/>
        </w:rPr>
        <w:t xml:space="preserve">X. SEGURIDAD Y CIFRADO</w:t>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A. Modelo de Amenazas STRIDE</w:t>
      </w:r>
    </w:p>
    <w:p>
      <w:pPr>
        <w:spacing w:after="80" w:before="0" w:line="218" w:lineRule="exact"/>
        <w:ind w:firstLine="360"/>
        <w:jc w:val="both"/>
      </w:pPr>
      <w:r>
        <w:rPr>
          <w:rFonts w:ascii="Times New Roman" w:cs="Times New Roman" w:eastAsia="Times New Roman" w:hAnsi="Times New Roman"/>
          <w:color w:val="000000"/>
          <w:sz w:val="20"/>
          <w:szCs w:val="20"/>
        </w:rPr>
        <w:t xml:space="preserve">El análisis STRIDE (Spoofing, Tampering, Repudiation, Information Disclosure, Denial of Service, Elevation of Privilege) fue aplicado al sistema completo siguiendo la metodología de Shostack [18]:</w:t>
      </w:r>
    </w:p>
    <w:p>
      <w:pPr>
        <w:spacing w:after="60" w:before="200" w:line="218" w:lineRule="exact"/>
        <w:jc w:val="center"/>
      </w:pPr>
      <w:r>
        <w:rPr>
          <w:rFonts w:ascii="Times New Roman" w:cs="Times New Roman" w:eastAsia="Times New Roman" w:hAnsi="Times New Roman"/>
          <w:b/>
          <w:bCs/>
          <w:color w:val="000000"/>
          <w:sz w:val="20"/>
          <w:szCs w:val="20"/>
        </w:rPr>
        <w:t xml:space="preserve">TABLE XI — Análisis STRIDE del Sistema</w:t>
      </w:r>
    </w:p>
    <w:tbl>
      <w:tblPr>
        <w:tblW w:type="dxa" w:w="55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060"/>
      </w:tblGrid>
      <w:tr>
        <w:trPr>
          <w:tblHeader/>
        </w:trPr>
        <w:tc>
          <w:tcPr>
            <w:tcW w:type="dxa" w:w="9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Amenaza</w:t>
            </w:r>
          </w:p>
        </w:tc>
        <w:tc>
          <w:tcPr>
            <w:tcW w:type="dxa" w:w="16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Descripción</w:t>
            </w:r>
          </w:p>
        </w:tc>
        <w:tc>
          <w:tcPr>
            <w:tcW w:type="dxa" w:w="306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Control</w:t>
            </w:r>
          </w:p>
        </w:tc>
      </w:tr>
      <w:tr>
        <w:tc>
          <w:tcPr>
            <w:tcW w:type="dxa" w:w="9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Spoofing</w:t>
            </w:r>
          </w:p>
        </w:tc>
        <w:tc>
          <w:tcPr>
            <w:tcW w:type="dxa" w:w="16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Credenciales robadas de médico</w:t>
            </w:r>
          </w:p>
        </w:tc>
        <w:tc>
          <w:tcPr>
            <w:tcW w:type="dxa" w:w="30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MFA TOTP obligatorio, bloqueo tras 5 intentos, alerta por IP nueva</w:t>
            </w:r>
          </w:p>
        </w:tc>
      </w:tr>
      <w:tr>
        <w:tc>
          <w:tcPr>
            <w:tcW w:type="dxa" w:w="9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Tampering</w:t>
            </w:r>
          </w:p>
        </w:tc>
        <w:tc>
          <w:tcPr>
            <w:tcW w:type="dxa" w:w="16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Modificación de historia clínica o resultado IA</w:t>
            </w:r>
          </w:p>
        </w:tc>
        <w:tc>
          <w:tcPr>
            <w:tcW w:type="dxa" w:w="30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Audit logs inmutables, firma digital en diagnósticos, hash de registros</w:t>
            </w:r>
          </w:p>
        </w:tc>
      </w:tr>
      <w:tr>
        <w:tc>
          <w:tcPr>
            <w:tcW w:type="dxa" w:w="9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Repudiation</w:t>
            </w:r>
          </w:p>
        </w:tc>
        <w:tc>
          <w:tcPr>
            <w:tcW w:type="dxa" w:w="16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Médico niega diagnóstico emitido</w:t>
            </w:r>
          </w:p>
        </w:tc>
        <w:tc>
          <w:tcPr>
            <w:tcW w:type="dxa" w:w="30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Firma digital + timestamp UTC + audit log con IP y user-agent</w:t>
            </w:r>
          </w:p>
        </w:tc>
      </w:tr>
      <w:tr>
        <w:tc>
          <w:tcPr>
            <w:tcW w:type="dxa" w:w="9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Info Disclosure</w:t>
            </w:r>
          </w:p>
        </w:tc>
        <w:tc>
          <w:tcPr>
            <w:tcW w:type="dxa" w:w="16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Exposición de datos de pacientes</w:t>
            </w:r>
          </w:p>
        </w:tc>
        <w:tc>
          <w:tcPr>
            <w:tcW w:type="dxa" w:w="30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AES-256 reposo, TLS 1.3 tránsito, RBAC, CI cifrado en BD</w:t>
            </w:r>
          </w:p>
        </w:tc>
      </w:tr>
      <w:tr>
        <w:tc>
          <w:tcPr>
            <w:tcW w:type="dxa" w:w="9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DoS</w:t>
            </w:r>
          </w:p>
        </w:tc>
        <w:tc>
          <w:tcPr>
            <w:tcW w:type="dxa" w:w="16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Saturación servidor IA o BD</w:t>
            </w:r>
          </w:p>
        </w:tc>
        <w:tc>
          <w:tcPr>
            <w:tcW w:type="dxa" w:w="30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Rate limiting Kong, Circuit Breaker, colas RabbitMQ absorben picos</w:t>
            </w:r>
          </w:p>
        </w:tc>
      </w:tr>
      <w:tr>
        <w:tc>
          <w:tcPr>
            <w:tcW w:type="dxa" w:w="9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Elev. Privilege</w:t>
            </w:r>
          </w:p>
        </w:tc>
        <w:tc>
          <w:tcPr>
            <w:tcW w:type="dxa" w:w="16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Enfermera accede a administración</w:t>
            </w:r>
          </w:p>
        </w:tc>
        <w:tc>
          <w:tcPr>
            <w:tcW w:type="dxa" w:w="30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RBAC en Kong + django-guardian, mínimo privilegio en todos los endpoints</w:t>
            </w:r>
          </w:p>
        </w:tc>
      </w:tr>
    </w:tbl>
    <w:p>
      <w:pPr>
        <w:spacing w:after="60" w:before="60"/>
      </w:pPr>
      <w:r>
        <w:t xml:space="preserve"/>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B. Cifrado AES-256 en Reposo</w:t>
      </w:r>
    </w:p>
    <w:p>
      <w:pPr>
        <w:spacing w:after="80" w:before="0" w:line="218" w:lineRule="exact"/>
        <w:ind w:firstLine="360"/>
        <w:jc w:val="both"/>
      </w:pPr>
      <w:r>
        <w:rPr>
          <w:rFonts w:ascii="Times New Roman" w:cs="Times New Roman" w:eastAsia="Times New Roman" w:hAnsi="Times New Roman"/>
          <w:color w:val="000000"/>
          <w:sz w:val="20"/>
          <w:szCs w:val="20"/>
        </w:rPr>
        <w:t xml:space="preserve">El cifrado de datos en reposo es la primera línea de defensa para proteger información clínica sensible en caso de acceso físico al servidor o extracción de la base de datos. El estándar AES-256 (Advanced Encryption Standard con clave de 256 bits) es el algoritmo de cifrado simétrico recomendado por NIST [19] para datos de alta sensibilidad.</w:t>
      </w:r>
    </w:p>
    <w:p>
      <w:pPr>
        <w:spacing w:after="80" w:before="0" w:line="218" w:lineRule="exact"/>
        <w:ind w:firstLine="360"/>
        <w:jc w:val="both"/>
      </w:pPr>
      <w:r>
        <w:rPr>
          <w:rFonts w:ascii="Times New Roman" w:cs="Times New Roman" w:eastAsia="Times New Roman" w:hAnsi="Times New Roman"/>
          <w:color w:val="000000"/>
          <w:sz w:val="20"/>
          <w:szCs w:val="20"/>
        </w:rPr>
        <w:t xml:space="preserve">Implementación en tres niveles:</w:t>
      </w:r>
    </w:p>
    <w:p>
      <w:pPr>
        <w:spacing w:after="40" w:before="0" w:line="218" w:lineRule="exact"/>
        <w:ind w:left="360" w:hanging="240"/>
        <w:jc w:val="both"/>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b/>
          <w:bCs/>
          <w:color w:val="000000"/>
          <w:sz w:val="20"/>
          <w:szCs w:val="20"/>
        </w:rPr>
        <w:t xml:space="preserve">Nivel de campo BD: campos CI, teléfono, dirección, datos de identificación del paciente cifrados con django-cryptography (Fernet AES-256-CBC con HMAC-SHA256) antes de ser almacenados en PostgreSQL. El ingeniero de BD que accede directamente a la tabla ve valores cifrados, no texto claro.</w:t>
      </w:r>
    </w:p>
    <w:p>
      <w:pPr>
        <w:spacing w:after="40" w:before="0" w:line="218" w:lineRule="exact"/>
        <w:ind w:left="360" w:hanging="240"/>
        <w:jc w:val="both"/>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b w:val="false"/>
          <w:bCs w:val="false"/>
          <w:color w:val="000000"/>
          <w:sz w:val="20"/>
          <w:szCs w:val="20"/>
        </w:rPr>
        <w:t xml:space="preserve">Nivel de base de datos: PostgreSQL con Transparent Data Encryption (TDE) activado mediante pg_crypto para cifrado de páginas en disco. Aplica a todos los datos, no solo los marcados explícitamente.</w:t>
      </w:r>
    </w:p>
    <w:p>
      <w:pPr>
        <w:spacing w:after="40" w:before="0" w:line="218" w:lineRule="exact"/>
        <w:ind w:left="360" w:hanging="240"/>
        <w:jc w:val="both"/>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b w:val="false"/>
          <w:bCs w:val="false"/>
          <w:color w:val="000000"/>
          <w:sz w:val="20"/>
          <w:szCs w:val="20"/>
        </w:rPr>
        <w:t xml:space="preserve">Nivel de almacenamiento DICOM: MinIO con Server-Side Encryption (SSE-S3) usando AES-256. Cada objeto DICOM es cifrado antes de escritura en disco. Las claves se gestionan en HashiCorp Vault, nunca almacenadas junto a los datos.</w:t>
      </w:r>
    </w:p>
    <w:p>
      <w:pPr>
        <w:spacing w:after="40" w:before="0" w:line="218" w:lineRule="exact"/>
        <w:ind w:left="360" w:hanging="240"/>
        <w:jc w:val="both"/>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b w:val="false"/>
          <w:bCs w:val="false"/>
          <w:color w:val="000000"/>
          <w:sz w:val="20"/>
          <w:szCs w:val="20"/>
        </w:rPr>
        <w:t xml:space="preserve">Backups: cifrados con GPG (AES-256) antes del almacenamiento externo. La clave GPG se almacena offline en un HSM o sobre papel en una ubicación segura separada.</w:t>
      </w:r>
    </w:p>
    <w:p>
      <w:pPr>
        <w:spacing w:after="60" w:before="60"/>
      </w:pPr>
      <w:r>
        <w:t xml:space="preserve"/>
      </w:r>
    </w:p>
    <w:p>
      <w:pPr>
        <w:spacing w:after="0" w:before="0" w:line="200" w:lineRule="exact"/>
        <w:jc w:val="center"/>
      </w:pPr>
      <w:r>
        <w:rPr>
          <w:rFonts w:ascii="Courier New" w:cs="Courier New" w:eastAsia="Courier New" w:hAnsi="Courier New"/>
          <w:color w:val="000000"/>
          <w:sz w:val="16"/>
          <w:szCs w:val="16"/>
        </w:rPr>
        <w:t xml:space="preserve">  ARQUITECTURA DE CIFRADO AES-256 EN REPOSO</w:t>
      </w:r>
    </w:p>
    <w:p>
      <w:pPr>
        <w:spacing w:after="0" w:before="0" w:line="200" w:lineRule="exact"/>
        <w:jc w:val="center"/>
      </w:pPr>
      <w:r>
        <w:rPr>
          <w:rFonts w:ascii="Courier New" w:cs="Courier New" w:eastAsia="Courier New" w:hAnsi="Courier New"/>
          <w:color w:val="000000"/>
          <w:sz w:val="16"/>
          <w:szCs w:val="16"/>
        </w:rPr>
        <w:t xml:space="preserve"/>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           HashiCorp Vault               │</w:t>
      </w:r>
    </w:p>
    <w:p>
      <w:pPr>
        <w:spacing w:after="0" w:before="0" w:line="200" w:lineRule="exact"/>
        <w:jc w:val="center"/>
      </w:pPr>
      <w:r>
        <w:rPr>
          <w:rFonts w:ascii="Courier New" w:cs="Courier New" w:eastAsia="Courier New" w:hAnsi="Courier New"/>
          <w:color w:val="000000"/>
          <w:sz w:val="16"/>
          <w:szCs w:val="16"/>
        </w:rPr>
        <w:t xml:space="preserve">  │   (Gestión centralizada de claves)      │</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 Claves gestionadas</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  Capa de Aplicación (Django)            │</w:t>
      </w:r>
    </w:p>
    <w:p>
      <w:pPr>
        <w:spacing w:after="0" w:before="0" w:line="200" w:lineRule="exact"/>
        <w:jc w:val="center"/>
      </w:pPr>
      <w:r>
        <w:rPr>
          <w:rFonts w:ascii="Courier New" w:cs="Courier New" w:eastAsia="Courier New" w:hAnsi="Courier New"/>
          <w:color w:val="000000"/>
          <w:sz w:val="16"/>
          <w:szCs w:val="16"/>
        </w:rPr>
        <w:t xml:space="preserve">  │  django-cryptography (Fernet AES-256)   │</w:t>
      </w:r>
    </w:p>
    <w:p>
      <w:pPr>
        <w:spacing w:after="0" w:before="0" w:line="200" w:lineRule="exact"/>
        <w:jc w:val="center"/>
      </w:pPr>
      <w:r>
        <w:rPr>
          <w:rFonts w:ascii="Courier New" w:cs="Courier New" w:eastAsia="Courier New" w:hAnsi="Courier New"/>
          <w:color w:val="000000"/>
          <w:sz w:val="16"/>
          <w:szCs w:val="16"/>
        </w:rPr>
        <w:t xml:space="preserve">  │  → Cifra CI, tel, dirección             │</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 Datos de campo cifrados</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  PostgreSQL 16 (pg_crypto TDE)          │</w:t>
      </w:r>
    </w:p>
    <w:p>
      <w:pPr>
        <w:spacing w:after="0" w:before="0" w:line="200" w:lineRule="exact"/>
        <w:jc w:val="center"/>
      </w:pPr>
      <w:r>
        <w:rPr>
          <w:rFonts w:ascii="Courier New" w:cs="Courier New" w:eastAsia="Courier New" w:hAnsi="Courier New"/>
          <w:color w:val="000000"/>
          <w:sz w:val="16"/>
          <w:szCs w:val="16"/>
        </w:rPr>
        <w:t xml:space="preserve">  │  → Todo el disco cifrado AES-256        │</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  MinIO (SSE-S3 AES-256)                 │</w:t>
      </w:r>
    </w:p>
    <w:p>
      <w:pPr>
        <w:spacing w:after="0" w:before="0" w:line="200" w:lineRule="exact"/>
        <w:jc w:val="center"/>
      </w:pPr>
      <w:r>
        <w:rPr>
          <w:rFonts w:ascii="Courier New" w:cs="Courier New" w:eastAsia="Courier New" w:hAnsi="Courier New"/>
          <w:color w:val="000000"/>
          <w:sz w:val="16"/>
          <w:szCs w:val="16"/>
        </w:rPr>
        <w:t xml:space="preserve">  │  → Cada imagen DICOM cifrada en disco   │</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  Backups GPG AES-256 → Almac. externo   │</w:t>
      </w:r>
    </w:p>
    <w:p>
      <w:pPr>
        <w:spacing w:after="0" w:before="0" w:line="200" w:lineRule="exact"/>
        <w:jc w:val="center"/>
      </w:pPr>
      <w:r>
        <w:rPr>
          <w:rFonts w:ascii="Courier New" w:cs="Courier New" w:eastAsia="Courier New" w:hAnsi="Courier New"/>
          <w:color w:val="000000"/>
          <w:sz w:val="16"/>
          <w:szCs w:val="16"/>
        </w:rPr>
        <w:t xml:space="preserve">  └─────────────────────────────────────────┘</w:t>
      </w:r>
    </w:p>
    <w:p>
      <w:pPr>
        <w:spacing w:after="160" w:before="60" w:line="218" w:lineRule="exact"/>
        <w:jc w:val="center"/>
      </w:pPr>
      <w:r>
        <w:rPr>
          <w:rFonts w:ascii="Times New Roman" w:cs="Times New Roman" w:eastAsia="Times New Roman" w:hAnsi="Times New Roman"/>
          <w:i/>
          <w:iCs/>
          <w:color w:val="000000"/>
          <w:sz w:val="20"/>
          <w:szCs w:val="20"/>
        </w:rPr>
        <w:t xml:space="preserve">Fig. 9. Arquitectura de cifrado AES-256 en tres niveles para datos en reposo.</w:t>
      </w:r>
    </w:p>
    <w:p>
      <w:pPr>
        <w:spacing w:after="60" w:before="60"/>
      </w:pPr>
      <w:r>
        <w:t xml:space="preserve"/>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C. TLS 1.3 en Tránsito</w:t>
      </w:r>
    </w:p>
    <w:p>
      <w:pPr>
        <w:spacing w:after="80" w:before="0" w:line="218" w:lineRule="exact"/>
        <w:ind w:firstLine="360"/>
        <w:jc w:val="both"/>
      </w:pPr>
      <w:r>
        <w:rPr>
          <w:rFonts w:ascii="Times New Roman" w:cs="Times New Roman" w:eastAsia="Times New Roman" w:hAnsi="Times New Roman"/>
          <w:color w:val="000000"/>
          <w:sz w:val="20"/>
          <w:szCs w:val="20"/>
        </w:rPr>
        <w:t xml:space="preserve">Todo el tráfico entre clientes y el sistema, y entre microservicios internos, está cifrado con TLS 1.3. Esta versión del protocolo elimina algoritmos criptográficos débiles presentes en TLS 1.2 (RSA key exchange, SHA-1, CBC mode) y reduce la latencia del handshake a un solo round-trip (1-RTT) o cero round-trips en reconexiones (0-RTT) [20].</w:t>
      </w:r>
    </w:p>
    <w:p>
      <w:pPr>
        <w:spacing w:after="80" w:before="0" w:line="218" w:lineRule="exact"/>
        <w:ind w:firstLine="360"/>
        <w:jc w:val="both"/>
      </w:pPr>
      <w:r>
        <w:rPr>
          <w:rFonts w:ascii="Times New Roman" w:cs="Times New Roman" w:eastAsia="Times New Roman" w:hAnsi="Times New Roman"/>
          <w:color w:val="000000"/>
          <w:sz w:val="20"/>
          <w:szCs w:val="20"/>
        </w:rPr>
        <w:t xml:space="preserve">Implementación por capa:</w:t>
      </w:r>
    </w:p>
    <w:p>
      <w:pPr>
        <w:spacing w:after="40" w:before="0" w:line="218" w:lineRule="exact"/>
        <w:ind w:left="360" w:hanging="240"/>
        <w:jc w:val="both"/>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b/>
          <w:bCs/>
          <w:color w:val="000000"/>
          <w:sz w:val="20"/>
          <w:szCs w:val="20"/>
        </w:rPr>
        <w:t xml:space="preserve">Kong API Gateway: terminación TLS 1.3 en el punto de entrada. Certificados gestionados automáticamente con Let's Encrypt o certificado corporativo. Configuración: TLSv1.3 only, cipher suites: TLS_AES_256_GCM_SHA384, TLS_CHACHA20_POLY1305_SHA256.</w:t>
      </w:r>
    </w:p>
    <w:p>
      <w:pPr>
        <w:spacing w:after="40" w:before="0" w:line="218" w:lineRule="exact"/>
        <w:ind w:left="360" w:hanging="240"/>
        <w:jc w:val="both"/>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b w:val="false"/>
          <w:bCs w:val="false"/>
          <w:color w:val="000000"/>
          <w:sz w:val="20"/>
          <w:szCs w:val="20"/>
        </w:rPr>
        <w:t xml:space="preserve">Comunicación interna entre microservicios: mTLS (mutual TLS) con certificados generados por HashiCorp Vault PKI. Cada servicio tiene su propio certificado cliente que el servidor verifica, previniendo ataques de intermediario internos.</w:t>
      </w:r>
    </w:p>
    <w:p>
      <w:pPr>
        <w:spacing w:after="40" w:before="0" w:line="218" w:lineRule="exact"/>
        <w:ind w:left="360" w:hanging="240"/>
        <w:jc w:val="both"/>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b w:val="false"/>
          <w:bCs w:val="false"/>
          <w:color w:val="000000"/>
          <w:sz w:val="20"/>
          <w:szCs w:val="20"/>
        </w:rPr>
        <w:t xml:space="preserve">MinIO: HTTPS con TLS 1.3 habilitado. Sin soporte a HTTP en ningún puerto de producción.</w:t>
      </w:r>
    </w:p>
    <w:p>
      <w:pPr>
        <w:spacing w:after="40" w:before="0" w:line="218" w:lineRule="exact"/>
        <w:ind w:left="360" w:hanging="240"/>
        <w:jc w:val="both"/>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b w:val="false"/>
          <w:bCs w:val="false"/>
          <w:color w:val="000000"/>
          <w:sz w:val="20"/>
          <w:szCs w:val="20"/>
        </w:rPr>
        <w:t xml:space="preserve">PostgreSQL: conexiones SSL/TLS obligatorias. Sin conexiones en texto claro permitidas en producción.</w:t>
      </w:r>
    </w:p>
    <w:p>
      <w:pPr>
        <w:spacing w:after="60" w:before="60"/>
      </w:pPr>
      <w:r>
        <w:t xml:space="preserve"/>
      </w:r>
    </w:p>
    <w:p>
      <w:pPr>
        <w:spacing w:after="0" w:before="0" w:line="200" w:lineRule="exact"/>
        <w:jc w:val="center"/>
      </w:pPr>
      <w:r>
        <w:rPr>
          <w:rFonts w:ascii="Courier New" w:cs="Courier New" w:eastAsia="Courier New" w:hAnsi="Courier New"/>
          <w:color w:val="000000"/>
          <w:sz w:val="16"/>
          <w:szCs w:val="16"/>
        </w:rPr>
        <w:t xml:space="preserve">  FLUJO TLS 1.3 — CLIENTE A SISTEMA</w:t>
      </w:r>
    </w:p>
    <w:p>
      <w:pPr>
        <w:spacing w:after="0" w:before="0" w:line="200" w:lineRule="exact"/>
        <w:jc w:val="center"/>
      </w:pPr>
      <w:r>
        <w:rPr>
          <w:rFonts w:ascii="Courier New" w:cs="Courier New" w:eastAsia="Courier New" w:hAnsi="Courier New"/>
          <w:color w:val="000000"/>
          <w:sz w:val="16"/>
          <w:szCs w:val="16"/>
        </w:rPr>
        <w:t xml:space="preserve"/>
      </w:r>
    </w:p>
    <w:p>
      <w:pPr>
        <w:spacing w:after="0" w:before="0" w:line="200" w:lineRule="exact"/>
        <w:jc w:val="center"/>
      </w:pPr>
      <w:r>
        <w:rPr>
          <w:rFonts w:ascii="Courier New" w:cs="Courier New" w:eastAsia="Courier New" w:hAnsi="Courier New"/>
          <w:color w:val="000000"/>
          <w:sz w:val="16"/>
          <w:szCs w:val="16"/>
        </w:rPr>
        <w:t xml:space="preserve">  Browser/App                Kong Gateway</w:t>
      </w:r>
    </w:p>
    <w:p>
      <w:pPr>
        <w:spacing w:after="0" w:before="0" w:line="200" w:lineRule="exact"/>
        <w:jc w:val="center"/>
      </w:pPr>
      <w:r>
        <w:rPr>
          <w:rFonts w:ascii="Courier New" w:cs="Courier New" w:eastAsia="Courier New" w:hAnsi="Courier New"/>
          <w:color w:val="000000"/>
          <w:sz w:val="16"/>
          <w:szCs w:val="16"/>
        </w:rPr>
        <w:t xml:space="preserve">      │  ClientHello (TLS 1.3)   │</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  ServerHello + Cert       │</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  (1-RTT handshake)        │</w:t>
      </w:r>
    </w:p>
    <w:p>
      <w:pPr>
        <w:spacing w:after="0" w:before="0" w:line="200" w:lineRule="exact"/>
        <w:jc w:val="center"/>
      </w:pPr>
      <w:r>
        <w:rPr>
          <w:rFonts w:ascii="Courier New" w:cs="Courier New" w:eastAsia="Courier New" w:hAnsi="Courier New"/>
          <w:color w:val="000000"/>
          <w:sz w:val="16"/>
          <w:szCs w:val="16"/>
        </w:rPr>
        <w:t xml:space="preserve">      │  Application Data        │</w:t>
      </w:r>
    </w:p>
    <w:p>
      <w:pPr>
        <w:spacing w:after="0" w:before="0" w:line="200" w:lineRule="exact"/>
        <w:jc w:val="center"/>
      </w:pPr>
      <w:r>
        <w:rPr>
          <w:rFonts w:ascii="Courier New" w:cs="Courier New" w:eastAsia="Courier New" w:hAnsi="Courier New"/>
          <w:color w:val="000000"/>
          <w:sz w:val="16"/>
          <w:szCs w:val="16"/>
        </w:rPr>
        <w:t xml:space="preserve">      │  (AES-256-GCM cifrado)   │</w:t>
      </w:r>
    </w:p>
    <w:p>
      <w:pPr>
        <w:spacing w:after="0" w:before="0" w:line="200" w:lineRule="exact"/>
        <w:jc w:val="center"/>
      </w:pPr>
      <w:r>
        <w:rPr>
          <w:rFonts w:ascii="Courier New" w:cs="Courier New" w:eastAsia="Courier New" w:hAnsi="Courier New"/>
          <w:color w:val="000000"/>
          <w:sz w:val="16"/>
          <w:szCs w:val="16"/>
        </w:rPr>
        <w:t xml:space="preserve">      │══════════════════════════►│</w:t>
      </w:r>
    </w:p>
    <w:p>
      <w:pPr>
        <w:spacing w:after="0" w:before="0" w:line="200" w:lineRule="exact"/>
        <w:jc w:val="center"/>
      </w:pPr>
      <w:r>
        <w:rPr>
          <w:rFonts w:ascii="Courier New" w:cs="Courier New" w:eastAsia="Courier New" w:hAnsi="Courier New"/>
          <w:color w:val="000000"/>
          <w:sz w:val="16"/>
          <w:szCs w:val="16"/>
        </w:rPr>
        <w:t xml:space="preserve">      │                          │ JWT validated</w:t>
      </w:r>
    </w:p>
    <w:p>
      <w:pPr>
        <w:spacing w:after="0" w:before="0" w:line="200" w:lineRule="exact"/>
        <w:jc w:val="center"/>
      </w:pPr>
      <w:r>
        <w:rPr>
          <w:rFonts w:ascii="Courier New" w:cs="Courier New" w:eastAsia="Courier New" w:hAnsi="Courier New"/>
          <w:color w:val="000000"/>
          <w:sz w:val="16"/>
          <w:szCs w:val="16"/>
        </w:rPr>
        <w:t xml:space="preserve">      │                    ┌─────▼──────┐</w:t>
      </w:r>
    </w:p>
    <w:p>
      <w:pPr>
        <w:spacing w:after="0" w:before="0" w:line="200" w:lineRule="exact"/>
        <w:jc w:val="center"/>
      </w:pPr>
      <w:r>
        <w:rPr>
          <w:rFonts w:ascii="Courier New" w:cs="Courier New" w:eastAsia="Courier New" w:hAnsi="Courier New"/>
          <w:color w:val="000000"/>
          <w:sz w:val="16"/>
          <w:szCs w:val="16"/>
        </w:rPr>
        <w:t xml:space="preserve">      │                    │ mTLS intern│</w:t>
      </w:r>
    </w:p>
    <w:p>
      <w:pPr>
        <w:spacing w:after="0" w:before="0" w:line="200" w:lineRule="exact"/>
        <w:jc w:val="center"/>
      </w:pPr>
      <w:r>
        <w:rPr>
          <w:rFonts w:ascii="Courier New" w:cs="Courier New" w:eastAsia="Courier New" w:hAnsi="Courier New"/>
          <w:color w:val="000000"/>
          <w:sz w:val="16"/>
          <w:szCs w:val="16"/>
        </w:rPr>
        <w:t xml:space="preserve">      │                    │ Microserv. │</w:t>
      </w:r>
    </w:p>
    <w:p>
      <w:pPr>
        <w:spacing w:after="0" w:before="0" w:line="200" w:lineRule="exact"/>
        <w:jc w:val="center"/>
      </w:pPr>
      <w:r>
        <w:rPr>
          <w:rFonts w:ascii="Courier New" w:cs="Courier New" w:eastAsia="Courier New" w:hAnsi="Courier New"/>
          <w:color w:val="000000"/>
          <w:sz w:val="16"/>
          <w:szCs w:val="16"/>
        </w:rPr>
        <w:t xml:space="preserve">      │                    └────────────┘</w:t>
      </w:r>
    </w:p>
    <w:p>
      <w:pPr>
        <w:spacing w:after="0" w:before="0" w:line="200" w:lineRule="exact"/>
        <w:jc w:val="center"/>
      </w:pPr>
      <w:r>
        <w:rPr>
          <w:rFonts w:ascii="Courier New" w:cs="Courier New" w:eastAsia="Courier New" w:hAnsi="Courier New"/>
          <w:color w:val="000000"/>
          <w:sz w:val="16"/>
          <w:szCs w:val="16"/>
        </w:rPr>
        <w:t xml:space="preserve"/>
      </w:r>
    </w:p>
    <w:p>
      <w:pPr>
        <w:spacing w:after="0" w:before="0" w:line="200" w:lineRule="exact"/>
        <w:jc w:val="center"/>
      </w:pPr>
      <w:r>
        <w:rPr>
          <w:rFonts w:ascii="Courier New" w:cs="Courier New" w:eastAsia="Courier New" w:hAnsi="Courier New"/>
          <w:color w:val="000000"/>
          <w:sz w:val="16"/>
          <w:szCs w:val="16"/>
        </w:rPr>
        <w:t xml:space="preserve">  Sin soporte a TLS 1.1/1.2 en ningún endpoint</w:t>
      </w:r>
    </w:p>
    <w:p>
      <w:pPr>
        <w:spacing w:after="0" w:before="0" w:line="200" w:lineRule="exact"/>
        <w:jc w:val="center"/>
      </w:pPr>
      <w:r>
        <w:rPr>
          <w:rFonts w:ascii="Courier New" w:cs="Courier New" w:eastAsia="Courier New" w:hAnsi="Courier New"/>
          <w:color w:val="000000"/>
          <w:sz w:val="16"/>
          <w:szCs w:val="16"/>
        </w:rPr>
        <w:t xml:space="preserve">  SSL Labs target: Grade A+</w:t>
      </w:r>
    </w:p>
    <w:p>
      <w:pPr>
        <w:spacing w:after="160" w:before="60" w:line="218" w:lineRule="exact"/>
        <w:jc w:val="center"/>
      </w:pPr>
      <w:r>
        <w:rPr>
          <w:rFonts w:ascii="Times New Roman" w:cs="Times New Roman" w:eastAsia="Times New Roman" w:hAnsi="Times New Roman"/>
          <w:i/>
          <w:iCs/>
          <w:color w:val="000000"/>
          <w:sz w:val="20"/>
          <w:szCs w:val="20"/>
        </w:rPr>
        <w:t xml:space="preserve">Fig. 10. Flujo TLS 1.3 con handshake 1-RTT y mTLS entre microservicios.</w:t>
      </w:r>
    </w:p>
    <w:p>
      <w:pPr>
        <w:spacing w:after="60" w:before="60"/>
      </w:pPr>
      <w:r>
        <w:t xml:space="preserve"/>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D. Autenticación y Autorización</w:t>
      </w:r>
    </w:p>
    <w:p>
      <w:pPr>
        <w:spacing w:after="40" w:before="0" w:line="218" w:lineRule="exact"/>
        <w:ind w:left="360" w:hanging="240"/>
        <w:jc w:val="both"/>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b/>
          <w:bCs/>
          <w:color w:val="000000"/>
          <w:sz w:val="20"/>
          <w:szCs w:val="20"/>
        </w:rPr>
        <w:t xml:space="preserve">JWT de 15 minutos + Refresh Token de 7 días en cookie HTTPOnly. Sin tokens de larga duración.</w:t>
      </w:r>
    </w:p>
    <w:p>
      <w:pPr>
        <w:spacing w:after="40" w:before="0" w:line="218" w:lineRule="exact"/>
        <w:ind w:left="360" w:hanging="240"/>
        <w:jc w:val="both"/>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b w:val="false"/>
          <w:bCs w:val="false"/>
          <w:color w:val="000000"/>
          <w:sz w:val="20"/>
          <w:szCs w:val="20"/>
        </w:rPr>
        <w:t xml:space="preserve">MFA obligatorio (TOTP RFC 6238) para roles MEDICO, LABORATORIO y ADMIN. Compatible con Google Authenticator, Authy.</w:t>
      </w:r>
    </w:p>
    <w:p>
      <w:pPr>
        <w:spacing w:after="40" w:before="0" w:line="218" w:lineRule="exact"/>
        <w:ind w:left="360" w:hanging="240"/>
        <w:jc w:val="both"/>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b w:val="false"/>
          <w:bCs w:val="false"/>
          <w:color w:val="000000"/>
          <w:sz w:val="20"/>
          <w:szCs w:val="20"/>
        </w:rPr>
        <w:t xml:space="preserve">RBAC con 5 roles predefinidos. Permisos granulares por endpoint y por objeto (django-guardian).</w:t>
      </w:r>
    </w:p>
    <w:p>
      <w:pPr>
        <w:spacing w:after="40" w:before="0" w:line="218" w:lineRule="exact"/>
        <w:ind w:left="360" w:hanging="240"/>
        <w:jc w:val="both"/>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b w:val="false"/>
          <w:bCs w:val="false"/>
          <w:color w:val="000000"/>
          <w:sz w:val="20"/>
          <w:szCs w:val="20"/>
        </w:rPr>
        <w:t xml:space="preserve">Bloqueo tras 5 intentos fallidos. Notificación al administrador de la clínica.</w:t>
      </w:r>
    </w:p>
    <w:p>
      <w:pPr>
        <w:spacing w:after="40" w:before="0" w:line="218" w:lineRule="exact"/>
        <w:ind w:left="360" w:hanging="240"/>
        <w:jc w:val="both"/>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b w:val="false"/>
          <w:bCs w:val="false"/>
          <w:color w:val="000000"/>
          <w:sz w:val="20"/>
          <w:szCs w:val="20"/>
        </w:rPr>
        <w:t xml:space="preserve">Sesión ligada a IP + User-Agent. Alerta automática si cambian durante sesión activa.</w:t>
      </w:r>
    </w:p>
    <w:p>
      <w:pPr>
        <w:spacing w:after="60" w:before="60"/>
      </w:pPr>
      <w:r>
        <w:t xml:space="preserve"/>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E. OWASP Top 10 (2021) — Controles</w:t>
      </w:r>
    </w:p>
    <w:p>
      <w:pPr>
        <w:spacing w:after="60" w:before="200" w:line="218" w:lineRule="exact"/>
        <w:jc w:val="center"/>
      </w:pPr>
      <w:r>
        <w:rPr>
          <w:rFonts w:ascii="Times New Roman" w:cs="Times New Roman" w:eastAsia="Times New Roman" w:hAnsi="Times New Roman"/>
          <w:b/>
          <w:bCs/>
          <w:color w:val="000000"/>
          <w:sz w:val="20"/>
          <w:szCs w:val="20"/>
        </w:rPr>
        <w:t xml:space="preserve">TABLE XII — OWASP Top 10 y Controles Implementados</w:t>
      </w:r>
    </w:p>
    <w:tbl>
      <w:tblPr>
        <w:tblW w:type="dxa" w:w="6260"/>
        <w:tblBorders>
          <w:top w:val="single" w:color="auto" w:sz="4"/>
          <w:left w:val="single" w:color="auto" w:sz="4"/>
          <w:bottom w:val="single" w:color="auto" w:sz="4"/>
          <w:right w:val="single" w:color="auto" w:sz="4"/>
          <w:insideH w:val="single" w:color="auto" w:sz="4"/>
          <w:insideV w:val="single" w:color="auto" w:sz="4"/>
        </w:tblBorders>
      </w:tblPr>
      <w:tblGrid>
        <w:gridCol w:w="1500"/>
        <w:gridCol w:w="4760"/>
      </w:tblGrid>
      <w:tr>
        <w:trPr>
          <w:tblHeader/>
        </w:trPr>
        <w:tc>
          <w:tcPr>
            <w:tcW w:type="dxa" w:w="15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OWASP</w:t>
            </w:r>
          </w:p>
        </w:tc>
        <w:tc>
          <w:tcPr>
            <w:tcW w:type="dxa" w:w="476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Control en el Sistema</w:t>
            </w:r>
          </w:p>
        </w:tc>
      </w:tr>
      <w:tr>
        <w:tc>
          <w:tcPr>
            <w:tcW w:type="dxa" w:w="15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A01 Broken Access Control</w:t>
            </w:r>
          </w:p>
        </w:tc>
        <w:tc>
          <w:tcPr>
            <w:tcW w:type="dxa" w:w="47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RBAC en Kong + django-guardian. Tests automatizados por rol.</w:t>
            </w:r>
          </w:p>
        </w:tc>
      </w:tr>
      <w:tr>
        <w:tc>
          <w:tcPr>
            <w:tcW w:type="dxa" w:w="15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A02 Cryptographic Failures</w:t>
            </w:r>
          </w:p>
        </w:tc>
        <w:tc>
          <w:tcPr>
            <w:tcW w:type="dxa" w:w="47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AES-256 reposo + TLS 1.3 tránsito. Sin MD5/SHA1. Vault para secretos.</w:t>
            </w:r>
          </w:p>
        </w:tc>
      </w:tr>
      <w:tr>
        <w:tc>
          <w:tcPr>
            <w:tcW w:type="dxa" w:w="15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A03 Injection</w:t>
            </w:r>
          </w:p>
        </w:tc>
        <w:tc>
          <w:tcPr>
            <w:tcW w:type="dxa" w:w="47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ORM Django sin SQL raw. Serializers DRF con validación estricta.</w:t>
            </w:r>
          </w:p>
        </w:tc>
      </w:tr>
      <w:tr>
        <w:tc>
          <w:tcPr>
            <w:tcW w:type="dxa" w:w="15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A04 Insecure Design</w:t>
            </w:r>
          </w:p>
        </w:tc>
        <w:tc>
          <w:tcPr>
            <w:tcW w:type="dxa" w:w="47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STRIDE desde el diseño. Mínimo privilegio en toda la arquitectura.</w:t>
            </w:r>
          </w:p>
        </w:tc>
      </w:tr>
      <w:tr>
        <w:tc>
          <w:tcPr>
            <w:tcW w:type="dxa" w:w="15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A05 Security Misconfiguration</w:t>
            </w:r>
          </w:p>
        </w:tc>
        <w:tc>
          <w:tcPr>
            <w:tcW w:type="dxa" w:w="47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DEBUG=False en prod. Variables de entorno vía Vault. Docker hardened.</w:t>
            </w:r>
          </w:p>
        </w:tc>
      </w:tr>
      <w:tr>
        <w:tc>
          <w:tcPr>
            <w:tcW w:type="dxa" w:w="15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A06 Vulnerable Components</w:t>
            </w:r>
          </w:p>
        </w:tc>
        <w:tc>
          <w:tcPr>
            <w:tcW w:type="dxa" w:w="47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Dependabot + pip-audit + npm audit en pipeline CI/CD.</w:t>
            </w:r>
          </w:p>
        </w:tc>
      </w:tr>
      <w:tr>
        <w:tc>
          <w:tcPr>
            <w:tcW w:type="dxa" w:w="15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A07 Auth Failures</w:t>
            </w:r>
          </w:p>
        </w:tc>
        <w:tc>
          <w:tcPr>
            <w:tcW w:type="dxa" w:w="47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MFA obligatorio. Bloqueo por intentos. JWT de 15 minutos.</w:t>
            </w:r>
          </w:p>
        </w:tc>
      </w:tr>
      <w:tr>
        <w:tc>
          <w:tcPr>
            <w:tcW w:type="dxa" w:w="15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A08 Integrity Failures</w:t>
            </w:r>
          </w:p>
        </w:tc>
        <w:tc>
          <w:tcPr>
            <w:tcW w:type="dxa" w:w="47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Checksums imágenes Docker. Firma commits. Hash en lockfiles.</w:t>
            </w:r>
          </w:p>
        </w:tc>
      </w:tr>
      <w:tr>
        <w:tc>
          <w:tcPr>
            <w:tcW w:type="dxa" w:w="15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A09 Logging Failures</w:t>
            </w:r>
          </w:p>
        </w:tc>
        <w:tc>
          <w:tcPr>
            <w:tcW w:type="dxa" w:w="47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ELK Stack centralizado. Sentry. Audit logs inmutables append-only.</w:t>
            </w:r>
          </w:p>
        </w:tc>
      </w:tr>
      <w:tr>
        <w:tc>
          <w:tcPr>
            <w:tcW w:type="dxa" w:w="15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A10 SSRF</w:t>
            </w:r>
          </w:p>
        </w:tc>
        <w:tc>
          <w:tcPr>
            <w:tcW w:type="dxa" w:w="47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Whitelist de URLs. Bloqueo rangos IP internos en llamadas externas.</w:t>
            </w:r>
          </w:p>
        </w:tc>
      </w:tr>
    </w:tbl>
    <w:p>
      <w:pPr>
        <w:spacing w:after="60" w:before="60"/>
      </w:pPr>
      <w:r>
        <w:t xml:space="preserve"/>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F. Audit Logs Inmutables</w:t>
      </w:r>
    </w:p>
    <w:p>
      <w:pPr>
        <w:spacing w:after="80" w:before="0" w:line="218" w:lineRule="exact"/>
        <w:ind w:firstLine="360"/>
        <w:jc w:val="both"/>
      </w:pPr>
      <w:r>
        <w:rPr>
          <w:rFonts w:ascii="Times New Roman" w:cs="Times New Roman" w:eastAsia="Times New Roman" w:hAnsi="Times New Roman"/>
          <w:color w:val="000000"/>
          <w:sz w:val="20"/>
          <w:szCs w:val="20"/>
        </w:rPr>
        <w:t xml:space="preserve">Toda acción sobre datos clínicos genera un registro en la tabla AuditLog con: usuario_id, acción (ENUM tipado), entidad afectada, datos anteriores (JSONB), datos nuevos (JSONB), IP de origen, user-agent, timestamp UTC. La tabla es append-only: el usuario de aplicación NO tiene permisos UPDATE ni DELETE sobre ella. La retención mínima es 5 años. Esto crea trazabilidad legal completa para cualquier auditoría o litigio.</w:t>
      </w:r>
    </w:p>
    <w:p>
      <w:pPr>
        <w:spacing w:after="60" w:before="60"/>
      </w:pPr>
      <w:r>
        <w:t xml:space="preserve"/>
      </w:r>
    </w:p>
    <w:p>
      <w:pPr>
        <w:spacing w:after="120" w:before="240" w:line="218" w:lineRule="exact"/>
        <w:jc w:val="center"/>
      </w:pPr>
      <w:r>
        <w:rPr>
          <w:rFonts w:ascii="Times New Roman" w:cs="Times New Roman" w:eastAsia="Times New Roman" w:hAnsi="Times New Roman"/>
          <w:b/>
          <w:bCs/>
          <w:smallCaps/>
          <w:color w:val="000000"/>
          <w:sz w:val="20"/>
          <w:szCs w:val="20"/>
        </w:rPr>
        <w:t xml:space="preserve">XI. PLAN DE CONSTRUCCIÓN</w:t>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A. Orden de Construcción Justificado</w:t>
      </w:r>
    </w:p>
    <w:p>
      <w:pPr>
        <w:spacing w:after="80" w:before="0" w:line="218" w:lineRule="exact"/>
        <w:ind w:firstLine="360"/>
        <w:jc w:val="both"/>
      </w:pPr>
      <w:r>
        <w:rPr>
          <w:rFonts w:ascii="Times New Roman" w:cs="Times New Roman" w:eastAsia="Times New Roman" w:hAnsi="Times New Roman"/>
          <w:color w:val="000000"/>
          <w:sz w:val="20"/>
          <w:szCs w:val="20"/>
        </w:rPr>
        <w:t xml:space="preserve">El orden de construcción sigue el principio de Bass et al. [4]: construir primero la infraestructura de riesgo alto (lo que más puede fallar), luego los módulos de mayor valor clínico, dejando últimas las capas de seguridad adicional y documentación.</w:t>
      </w:r>
    </w:p>
    <w:p>
      <w:pPr>
        <w:spacing w:after="60" w:before="200" w:line="218" w:lineRule="exact"/>
        <w:jc w:val="center"/>
      </w:pPr>
      <w:r>
        <w:rPr>
          <w:rFonts w:ascii="Times New Roman" w:cs="Times New Roman" w:eastAsia="Times New Roman" w:hAnsi="Times New Roman"/>
          <w:b/>
          <w:bCs/>
          <w:color w:val="000000"/>
          <w:sz w:val="20"/>
          <w:szCs w:val="20"/>
        </w:rPr>
        <w:t xml:space="preserve">TABLE XIII — Fases de Construcción con Entregables</w:t>
      </w:r>
    </w:p>
    <w:tbl>
      <w:tblPr>
        <w:tblW w:type="dxa" w:w="626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1900"/>
        <w:gridCol w:w="2560"/>
      </w:tblGrid>
      <w:tr>
        <w:trPr>
          <w:tblHeader/>
        </w:trPr>
        <w:tc>
          <w:tcPr>
            <w:tcW w:type="dxa" w:w="10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Fase</w:t>
            </w:r>
          </w:p>
        </w:tc>
        <w:tc>
          <w:tcPr>
            <w:tcW w:type="dxa" w:w="8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Duración</w:t>
            </w:r>
          </w:p>
        </w:tc>
        <w:tc>
          <w:tcPr>
            <w:tcW w:type="dxa" w:w="19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Construye</w:t>
            </w:r>
          </w:p>
        </w:tc>
        <w:tc>
          <w:tcPr>
            <w:tcW w:type="dxa" w:w="256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Entregable Verificable</w:t>
            </w:r>
          </w:p>
        </w:tc>
      </w:tr>
      <w:tr>
        <w:tc>
          <w:tcPr>
            <w:tcW w:type="dxa" w:w="10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F0 — Spikes</w:t>
            </w:r>
          </w:p>
        </w:tc>
        <w:tc>
          <w:tcPr>
            <w:tcW w:type="dxa" w:w="8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2 sem</w:t>
            </w:r>
          </w:p>
        </w:tc>
        <w:tc>
          <w:tcPr>
            <w:tcW w:type="dxa" w:w="19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Docker Compose, Kong, PostgreSQL, Orthanc, MinIO, 4 spikes técnicos</w:t>
            </w:r>
          </w:p>
        </w:tc>
        <w:tc>
          <w:tcPr>
            <w:tcW w:type="dxa" w:w="25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Infraestructura levantada con docker-compose up en &lt;5 min</w:t>
            </w:r>
          </w:p>
        </w:tc>
      </w:tr>
      <w:tr>
        <w:tc>
          <w:tcPr>
            <w:tcW w:type="dxa" w:w="10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F1 — Auth+Pacientes</w:t>
            </w:r>
          </w:p>
        </w:tc>
        <w:tc>
          <w:tcPr>
            <w:tcW w:type="dxa" w:w="8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2 sem</w:t>
            </w:r>
          </w:p>
        </w:tc>
        <w:tc>
          <w:tcPr>
            <w:tcW w:type="dxa" w:w="19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Auth Service (MFA, RBAC), CRUD Pacientes, Historia Clínica base</w:t>
            </w:r>
          </w:p>
        </w:tc>
        <w:tc>
          <w:tcPr>
            <w:tcW w:type="dxa" w:w="25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Login MFA funcional. Crear/buscar paciente. Historia creada.</w:t>
            </w:r>
          </w:p>
        </w:tc>
      </w:tr>
      <w:tr>
        <w:tc>
          <w:tcPr>
            <w:tcW w:type="dxa" w:w="10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F2 — Historia</w:t>
            </w:r>
          </w:p>
        </w:tc>
        <w:tc>
          <w:tcPr>
            <w:tcW w:type="dxa" w:w="8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2 sem</w:t>
            </w:r>
          </w:p>
        </w:tc>
        <w:tc>
          <w:tcPr>
            <w:tcW w:type="dxa" w:w="19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Consultas obstétricas, CPN, diagnósticos CIE-10, prescripciones, PDF</w:t>
            </w:r>
          </w:p>
        </w:tc>
        <w:tc>
          <w:tcPr>
            <w:tcW w:type="dxa" w:w="25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Flujo consulta prenatal completo. PDF generado.</w:t>
            </w:r>
          </w:p>
        </w:tc>
      </w:tr>
      <w:tr>
        <w:tc>
          <w:tcPr>
            <w:tcW w:type="dxa" w:w="10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F3 — Laboratorio</w:t>
            </w:r>
          </w:p>
        </w:tc>
        <w:tc>
          <w:tcPr>
            <w:tcW w:type="dxa" w:w="8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1.5 sem</w:t>
            </w:r>
          </w:p>
        </w:tc>
        <w:tc>
          <w:tcPr>
            <w:tcW w:type="dxa" w:w="19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Órdenes lab, resultados, alertas críticas, notificación médico</w:t>
            </w:r>
          </w:p>
        </w:tc>
        <w:tc>
          <w:tcPr>
            <w:tcW w:type="dxa" w:w="25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Médico solicita lab, laboratorista ingresa, médico ve en tiempo real.</w:t>
            </w:r>
          </w:p>
        </w:tc>
      </w:tr>
      <w:tr>
        <w:tc>
          <w:tcPr>
            <w:tcW w:type="dxa" w:w="10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F4 — DICOM+IA</w:t>
            </w:r>
          </w:p>
        </w:tc>
        <w:tc>
          <w:tcPr>
            <w:tcW w:type="dxa" w:w="8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3 sem</w:t>
            </w:r>
          </w:p>
        </w:tc>
        <w:tc>
          <w:tcPr>
            <w:tcW w:type="dxa" w:w="19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Subida DICOM, CNN inference, Grad-CAM, OHIF overlay, validación</w:t>
            </w:r>
          </w:p>
        </w:tc>
        <w:tc>
          <w:tcPr>
            <w:tcW w:type="dxa" w:w="25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Ecografía analizada &lt;3s. Grad-CAM visible. Médico valida.</w:t>
            </w:r>
          </w:p>
        </w:tc>
      </w:tr>
      <w:tr>
        <w:tc>
          <w:tcPr>
            <w:tcW w:type="dxa" w:w="10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F5 — Admin</w:t>
            </w:r>
          </w:p>
        </w:tc>
        <w:tc>
          <w:tcPr>
            <w:tcW w:type="dxa" w:w="8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1.5 sem</w:t>
            </w:r>
          </w:p>
        </w:tc>
        <w:tc>
          <w:tcPr>
            <w:tcW w:type="dxa" w:w="19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Gestión sucursales, aislamiento multi-tenant, facturación, reportes</w:t>
            </w:r>
          </w:p>
        </w:tc>
        <w:tc>
          <w:tcPr>
            <w:tcW w:type="dxa" w:w="25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Admin crea sucursal. Datos aislados verificados.</w:t>
            </w:r>
          </w:p>
        </w:tc>
      </w:tr>
      <w:tr>
        <w:tc>
          <w:tcPr>
            <w:tcW w:type="dxa" w:w="10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F6 — Seguridad</w:t>
            </w:r>
          </w:p>
        </w:tc>
        <w:tc>
          <w:tcPr>
            <w:tcW w:type="dxa" w:w="8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1 sem</w:t>
            </w:r>
          </w:p>
        </w:tc>
        <w:tc>
          <w:tcPr>
            <w:tcW w:type="dxa" w:w="19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AES-256 en reposo, TLS 1.3, MFA verificado, OWASP checklist</w:t>
            </w:r>
          </w:p>
        </w:tc>
        <w:tc>
          <w:tcPr>
            <w:tcW w:type="dxa" w:w="25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SSL Labs A+. CI cifrado en BD. AuditLog funcional.</w:t>
            </w:r>
          </w:p>
        </w:tc>
      </w:tr>
      <w:tr>
        <w:tc>
          <w:tcPr>
            <w:tcW w:type="dxa" w:w="10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F7 — Validación</w:t>
            </w:r>
          </w:p>
        </w:tc>
        <w:tc>
          <w:tcPr>
            <w:tcW w:type="dxa" w:w="8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1 sem</w:t>
            </w:r>
          </w:p>
        </w:tc>
        <w:tc>
          <w:tcPr>
            <w:tcW w:type="dxa" w:w="19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UAT médico, correcciones, deploy producción, documentación</w:t>
            </w:r>
          </w:p>
        </w:tc>
        <w:tc>
          <w:tcPr>
            <w:tcW w:type="dxa" w:w="25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UAT firmado. Sistema en producción. Docs completas.</w:t>
            </w:r>
          </w:p>
        </w:tc>
      </w:tr>
    </w:tbl>
    <w:p>
      <w:pPr>
        <w:spacing w:after="60" w:before="60"/>
      </w:pPr>
      <w:r>
        <w:t xml:space="preserve"/>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B. Diagrama de Dependencias Críticas</w:t>
      </w:r>
    </w:p>
    <w:p>
      <w:pPr>
        <w:spacing w:after="0" w:before="0" w:line="200" w:lineRule="exact"/>
        <w:jc w:val="center"/>
      </w:pPr>
      <w:r>
        <w:rPr>
          <w:rFonts w:ascii="Courier New" w:cs="Courier New" w:eastAsia="Courier New" w:hAnsi="Courier New"/>
          <w:color w:val="000000"/>
          <w:sz w:val="16"/>
          <w:szCs w:val="16"/>
        </w:rPr>
        <w:t xml:space="preserve">  DEPENDENCIAS DE CONSTRUCCIÓN</w:t>
      </w:r>
    </w:p>
    <w:p>
      <w:pPr>
        <w:spacing w:after="0" w:before="0" w:line="200" w:lineRule="exact"/>
        <w:jc w:val="center"/>
      </w:pPr>
      <w:r>
        <w:rPr>
          <w:rFonts w:ascii="Courier New" w:cs="Courier New" w:eastAsia="Courier New" w:hAnsi="Courier New"/>
          <w:color w:val="000000"/>
          <w:sz w:val="16"/>
          <w:szCs w:val="16"/>
        </w:rPr>
        <w:t xml:space="preserve"/>
      </w:r>
    </w:p>
    <w:p>
      <w:pPr>
        <w:spacing w:after="0" w:before="0" w:line="200" w:lineRule="exact"/>
        <w:jc w:val="center"/>
      </w:pPr>
      <w:r>
        <w:rPr>
          <w:rFonts w:ascii="Courier New" w:cs="Courier New" w:eastAsia="Courier New" w:hAnsi="Courier New"/>
          <w:color w:val="000000"/>
          <w:sz w:val="16"/>
          <w:szCs w:val="16"/>
        </w:rPr>
        <w:t xml:space="preserve">  F0 (Infra) ──────────────────────────────►</w:t>
      </w:r>
    </w:p>
    <w:p>
      <w:pPr>
        <w:spacing w:after="0" w:before="0" w:line="200" w:lineRule="exact"/>
        <w:jc w:val="center"/>
      </w:pPr>
      <w:r>
        <w:rPr>
          <w:rFonts w:ascii="Courier New" w:cs="Courier New" w:eastAsia="Courier New" w:hAnsi="Courier New"/>
          <w:color w:val="000000"/>
          <w:sz w:val="16"/>
          <w:szCs w:val="16"/>
        </w:rPr>
        <w:t xml:space="preserve">       └─► F1 (Auth) ──────────────────────►</w:t>
      </w:r>
    </w:p>
    <w:p>
      <w:pPr>
        <w:spacing w:after="0" w:before="0" w:line="200" w:lineRule="exact"/>
        <w:jc w:val="center"/>
      </w:pPr>
      <w:r>
        <w:rPr>
          <w:rFonts w:ascii="Courier New" w:cs="Courier New" w:eastAsia="Courier New" w:hAnsi="Courier New"/>
          <w:color w:val="000000"/>
          <w:sz w:val="16"/>
          <w:szCs w:val="16"/>
        </w:rPr>
        <w:t xml:space="preserve">                └─► F2 (Historia) ──────────►</w:t>
      </w:r>
    </w:p>
    <w:p>
      <w:pPr>
        <w:spacing w:after="0" w:before="0" w:line="200" w:lineRule="exact"/>
        <w:jc w:val="center"/>
      </w:pPr>
      <w:r>
        <w:rPr>
          <w:rFonts w:ascii="Courier New" w:cs="Courier New" w:eastAsia="Courier New" w:hAnsi="Courier New"/>
          <w:color w:val="000000"/>
          <w:sz w:val="16"/>
          <w:szCs w:val="16"/>
        </w:rPr>
        <w:t xml:space="preserve">                └─► F3 (Lab) ───────────────►</w:t>
      </w:r>
    </w:p>
    <w:p>
      <w:pPr>
        <w:spacing w:after="0" w:before="0" w:line="200" w:lineRule="exact"/>
        <w:jc w:val="center"/>
      </w:pPr>
      <w:r>
        <w:rPr>
          <w:rFonts w:ascii="Courier New" w:cs="Courier New" w:eastAsia="Courier New" w:hAnsi="Courier New"/>
          <w:color w:val="000000"/>
          <w:sz w:val="16"/>
          <w:szCs w:val="16"/>
        </w:rPr>
        <w:t xml:space="preserve">                         └─► F4 (DICOM+IA) ─►</w:t>
      </w:r>
    </w:p>
    <w:p>
      <w:pPr>
        <w:spacing w:after="0" w:before="0" w:line="200" w:lineRule="exact"/>
        <w:jc w:val="center"/>
      </w:pPr>
      <w:r>
        <w:rPr>
          <w:rFonts w:ascii="Courier New" w:cs="Courier New" w:eastAsia="Courier New" w:hAnsi="Courier New"/>
          <w:color w:val="000000"/>
          <w:sz w:val="16"/>
          <w:szCs w:val="16"/>
        </w:rPr>
        <w:t xml:space="preserve">  F0 ──────────────────────────────────────►</w:t>
      </w:r>
    </w:p>
    <w:p>
      <w:pPr>
        <w:spacing w:after="0" w:before="0" w:line="200" w:lineRule="exact"/>
        <w:jc w:val="center"/>
      </w:pPr>
      <w:r>
        <w:rPr>
          <w:rFonts w:ascii="Courier New" w:cs="Courier New" w:eastAsia="Courier New" w:hAnsi="Courier New"/>
          <w:color w:val="000000"/>
          <w:sz w:val="16"/>
          <w:szCs w:val="16"/>
        </w:rPr>
        <w:t xml:space="preserve">       └─► F5 (Admin) ────────────────────►</w:t>
      </w:r>
    </w:p>
    <w:p>
      <w:pPr>
        <w:spacing w:after="0" w:before="0" w:line="200" w:lineRule="exact"/>
        <w:jc w:val="center"/>
      </w:pPr>
      <w:r>
        <w:rPr>
          <w:rFonts w:ascii="Courier New" w:cs="Courier New" w:eastAsia="Courier New" w:hAnsi="Courier New"/>
          <w:color w:val="000000"/>
          <w:sz w:val="16"/>
          <w:szCs w:val="16"/>
        </w:rPr>
        <w:t xml:space="preserve">  F1+F2+F3+F4+F5 ──────────────► F6 (Sec) ─►</w:t>
      </w:r>
    </w:p>
    <w:p>
      <w:pPr>
        <w:spacing w:after="0" w:before="0" w:line="200" w:lineRule="exact"/>
        <w:jc w:val="center"/>
      </w:pPr>
      <w:r>
        <w:rPr>
          <w:rFonts w:ascii="Courier New" w:cs="Courier New" w:eastAsia="Courier New" w:hAnsi="Courier New"/>
          <w:color w:val="000000"/>
          <w:sz w:val="16"/>
          <w:szCs w:val="16"/>
        </w:rPr>
        <w:t xml:space="preserve">  F6 ──────────────────────────► F7 (Deploy)►</w:t>
      </w:r>
    </w:p>
    <w:p>
      <w:pPr>
        <w:spacing w:after="0" w:before="0" w:line="200" w:lineRule="exact"/>
        <w:jc w:val="center"/>
      </w:pPr>
      <w:r>
        <w:rPr>
          <w:rFonts w:ascii="Courier New" w:cs="Courier New" w:eastAsia="Courier New" w:hAnsi="Courier New"/>
          <w:color w:val="000000"/>
          <w:sz w:val="16"/>
          <w:szCs w:val="16"/>
        </w:rPr>
        <w:t xml:space="preserve"/>
      </w:r>
    </w:p>
    <w:p>
      <w:pPr>
        <w:spacing w:after="0" w:before="0" w:line="200" w:lineRule="exact"/>
        <w:jc w:val="center"/>
      </w:pPr>
      <w:r>
        <w:rPr>
          <w:rFonts w:ascii="Courier New" w:cs="Courier New" w:eastAsia="Courier New" w:hAnsi="Courier New"/>
          <w:color w:val="000000"/>
          <w:sz w:val="16"/>
          <w:szCs w:val="16"/>
        </w:rPr>
        <w:t xml:space="preserve">  Crítica: F4 depende de F0(Orthanc)+F1(Auth)</w:t>
      </w:r>
    </w:p>
    <w:p>
      <w:pPr>
        <w:spacing w:after="0" w:before="0" w:line="200" w:lineRule="exact"/>
        <w:jc w:val="center"/>
      </w:pPr>
      <w:r>
        <w:rPr>
          <w:rFonts w:ascii="Courier New" w:cs="Courier New" w:eastAsia="Courier New" w:hAnsi="Courier New"/>
          <w:color w:val="000000"/>
          <w:sz w:val="16"/>
          <w:szCs w:val="16"/>
        </w:rPr>
        <w:t xml:space="preserve">  + Spike CNN completado (semana 1)</w:t>
      </w:r>
    </w:p>
    <w:p>
      <w:pPr>
        <w:spacing w:after="160" w:before="60" w:line="218" w:lineRule="exact"/>
        <w:jc w:val="center"/>
      </w:pPr>
      <w:r>
        <w:rPr>
          <w:rFonts w:ascii="Times New Roman" w:cs="Times New Roman" w:eastAsia="Times New Roman" w:hAnsi="Times New Roman"/>
          <w:i/>
          <w:iCs/>
          <w:color w:val="000000"/>
          <w:sz w:val="20"/>
          <w:szCs w:val="20"/>
        </w:rPr>
        <w:t xml:space="preserve">Fig. 11. Diagrama de dependencias entre fases de construcción.</w:t>
      </w:r>
    </w:p>
    <w:p>
      <w:pPr>
        <w:spacing w:after="60" w:before="60"/>
      </w:pPr>
      <w:r>
        <w:t xml:space="preserve"/>
      </w:r>
    </w:p>
    <w:p>
      <w:pPr>
        <w:spacing w:after="120" w:before="240" w:line="218" w:lineRule="exact"/>
        <w:jc w:val="center"/>
      </w:pPr>
      <w:r>
        <w:rPr>
          <w:rFonts w:ascii="Times New Roman" w:cs="Times New Roman" w:eastAsia="Times New Roman" w:hAnsi="Times New Roman"/>
          <w:b/>
          <w:bCs/>
          <w:smallCaps/>
          <w:color w:val="000000"/>
          <w:sz w:val="20"/>
          <w:szCs w:val="20"/>
        </w:rPr>
        <w:t xml:space="preserve">XII. VALIDACIÓN Y CALIDAD DEL SISTEMA</w:t>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A. Tabla de Validación Final ISO/IEC 25010</w:t>
      </w:r>
    </w:p>
    <w:p>
      <w:pPr>
        <w:spacing w:after="60" w:before="200" w:line="218" w:lineRule="exact"/>
        <w:jc w:val="center"/>
      </w:pPr>
      <w:r>
        <w:rPr>
          <w:rFonts w:ascii="Times New Roman" w:cs="Times New Roman" w:eastAsia="Times New Roman" w:hAnsi="Times New Roman"/>
          <w:b/>
          <w:bCs/>
          <w:color w:val="000000"/>
          <w:sz w:val="20"/>
          <w:szCs w:val="20"/>
        </w:rPr>
        <w:t xml:space="preserve">TABLE XIV — Criterios de Completitud del Sistema</w:t>
      </w:r>
    </w:p>
    <w:tbl>
      <w:tblPr>
        <w:tblW w:type="dxa" w:w="5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700"/>
        <w:gridCol w:w="1060"/>
      </w:tblGrid>
      <w:tr>
        <w:trPr>
          <w:tblHeader/>
        </w:trPr>
        <w:tc>
          <w:tcPr>
            <w:tcW w:type="dxa" w:w="10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Dimensión</w:t>
            </w:r>
          </w:p>
        </w:tc>
        <w:tc>
          <w:tcPr>
            <w:tcW w:type="dxa" w:w="16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Criterio</w:t>
            </w:r>
          </w:p>
        </w:tc>
        <w:tc>
          <w:tcPr>
            <w:tcW w:type="dxa" w:w="17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Verificación</w:t>
            </w:r>
          </w:p>
        </w:tc>
        <w:tc>
          <w:tcPr>
            <w:tcW w:type="dxa" w:w="106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Referencia</w:t>
            </w:r>
          </w:p>
        </w:tc>
      </w:tr>
      <w:tr>
        <w:tc>
          <w:tcPr>
            <w:tcW w:type="dxa" w:w="10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Funcionalidad</w:t>
            </w:r>
          </w:p>
        </w:tc>
        <w:tc>
          <w:tcPr>
            <w:tcW w:type="dxa" w:w="16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Historia clínica, lab, ecografías en producción</w:t>
            </w:r>
          </w:p>
        </w:tc>
        <w:tc>
          <w:tcPr>
            <w:tcW w:type="dxa" w:w="17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UAT médico firmado. 250 pac/día sin error</w:t>
            </w:r>
          </w:p>
        </w:tc>
        <w:tc>
          <w:tcPr>
            <w:tcW w:type="dxa" w:w="10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IEEE 830 [21]</w:t>
            </w:r>
          </w:p>
        </w:tc>
      </w:tr>
      <w:tr>
        <w:tc>
          <w:tcPr>
            <w:tcW w:type="dxa" w:w="10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IA Precisión</w:t>
            </w:r>
          </w:p>
        </w:tc>
        <w:tc>
          <w:tcPr>
            <w:tcW w:type="dxa" w:w="16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AUC-ROC ≥0.90, Sensibilidad ≥0.92</w:t>
            </w:r>
          </w:p>
        </w:tc>
        <w:tc>
          <w:tcPr>
            <w:tcW w:type="dxa" w:w="17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Reporte MLflow + validación médica doc.</w:t>
            </w:r>
          </w:p>
        </w:tc>
        <w:tc>
          <w:tcPr>
            <w:tcW w:type="dxa" w:w="10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Tajbakhsh [13]</w:t>
            </w:r>
          </w:p>
        </w:tc>
      </w:tr>
      <w:tr>
        <w:tc>
          <w:tcPr>
            <w:tcW w:type="dxa" w:w="10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IA XAI</w:t>
            </w:r>
          </w:p>
        </w:tc>
        <w:tc>
          <w:tcPr>
            <w:tcW w:type="dxa" w:w="16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Grad-CAM en OHIF. SHAP en scores riesgo</w:t>
            </w:r>
          </w:p>
        </w:tc>
        <w:tc>
          <w:tcPr>
            <w:tcW w:type="dxa" w:w="17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Demo con médico que interpreta heatmap</w:t>
            </w:r>
          </w:p>
        </w:tc>
        <w:tc>
          <w:tcPr>
            <w:tcW w:type="dxa" w:w="10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Selvaraju [16]</w:t>
            </w:r>
          </w:p>
        </w:tc>
      </w:tr>
      <w:tr>
        <w:tc>
          <w:tcPr>
            <w:tcW w:type="dxa" w:w="10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IA Degradado</w:t>
            </w:r>
          </w:p>
        </w:tc>
        <w:tc>
          <w:tcPr>
            <w:tcW w:type="dxa" w:w="16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Sistema funciona sin ML Service</w:t>
            </w:r>
          </w:p>
        </w:tc>
        <w:tc>
          <w:tcPr>
            <w:tcW w:type="dxa" w:w="17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Apagar ML → ecografía se encola → restaurar → analiza</w:t>
            </w:r>
          </w:p>
        </w:tc>
        <w:tc>
          <w:tcPr>
            <w:tcW w:type="dxa" w:w="10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Bass [4]</w:t>
            </w:r>
          </w:p>
        </w:tc>
      </w:tr>
      <w:tr>
        <w:tc>
          <w:tcPr>
            <w:tcW w:type="dxa" w:w="10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Auth/MFA</w:t>
            </w:r>
          </w:p>
        </w:tc>
        <w:tc>
          <w:tcPr>
            <w:tcW w:type="dxa" w:w="16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MFA activo, JWT 15min, bloqueo 5 intentos</w:t>
            </w:r>
          </w:p>
        </w:tc>
        <w:tc>
          <w:tcPr>
            <w:tcW w:type="dxa" w:w="17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Login sin MFA → bloqueado. 6 intentos → cuenta bloqueada</w:t>
            </w:r>
          </w:p>
        </w:tc>
        <w:tc>
          <w:tcPr>
            <w:tcW w:type="dxa" w:w="10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OWASP ASVS</w:t>
            </w:r>
          </w:p>
        </w:tc>
      </w:tr>
      <w:tr>
        <w:tc>
          <w:tcPr>
            <w:tcW w:type="dxa" w:w="10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AES-256</w:t>
            </w:r>
          </w:p>
        </w:tc>
        <w:tc>
          <w:tcPr>
            <w:tcW w:type="dxa" w:w="16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Campos cifrados en BD, DICOMs cifrados</w:t>
            </w:r>
          </w:p>
        </w:tc>
        <w:tc>
          <w:tcPr>
            <w:tcW w:type="dxa" w:w="17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CI paciente cifrado en BD. Backup descifrable con GPG.</w:t>
            </w:r>
          </w:p>
        </w:tc>
        <w:tc>
          <w:tcPr>
            <w:tcW w:type="dxa" w:w="10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NIST SP 800-175B</w:t>
            </w:r>
          </w:p>
        </w:tc>
      </w:tr>
      <w:tr>
        <w:tc>
          <w:tcPr>
            <w:tcW w:type="dxa" w:w="10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TLS 1.3</w:t>
            </w:r>
          </w:p>
        </w:tc>
        <w:tc>
          <w:tcPr>
            <w:tcW w:type="dxa" w:w="16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Todo tráfico cifrado TLS 1.3</w:t>
            </w:r>
          </w:p>
        </w:tc>
        <w:tc>
          <w:tcPr>
            <w:tcW w:type="dxa" w:w="17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SSL Labs Grade A+ en producción</w:t>
            </w:r>
          </w:p>
        </w:tc>
        <w:tc>
          <w:tcPr>
            <w:tcW w:type="dxa" w:w="10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RFC 8446</w:t>
            </w:r>
          </w:p>
        </w:tc>
      </w:tr>
      <w:tr>
        <w:tc>
          <w:tcPr>
            <w:tcW w:type="dxa" w:w="10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Audit Log</w:t>
            </w:r>
          </w:p>
        </w:tc>
        <w:tc>
          <w:tcPr>
            <w:tcW w:type="dxa" w:w="16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Acciones críticas en tabla append-only</w:t>
            </w:r>
          </w:p>
        </w:tc>
        <w:tc>
          <w:tcPr>
            <w:tcW w:type="dxa" w:w="17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Modificar historia → ver AuditLog. DELETE → error permisos</w:t>
            </w:r>
          </w:p>
        </w:tc>
        <w:tc>
          <w:tcPr>
            <w:tcW w:type="dxa" w:w="10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RM 1328 Bolivia</w:t>
            </w:r>
          </w:p>
        </w:tc>
      </w:tr>
      <w:tr>
        <w:tc>
          <w:tcPr>
            <w:tcW w:type="dxa" w:w="10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Multi-tenant</w:t>
            </w:r>
          </w:p>
        </w:tc>
        <w:tc>
          <w:tcPr>
            <w:tcW w:type="dxa" w:w="16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Clínica A no ve datos clínica B</w:t>
            </w:r>
          </w:p>
        </w:tc>
        <w:tc>
          <w:tcPr>
            <w:tcW w:type="dxa" w:w="17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Usuario A accede paciente B → 403/404</w:t>
            </w:r>
          </w:p>
        </w:tc>
        <w:tc>
          <w:tcPr>
            <w:tcW w:type="dxa" w:w="10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OWASP A01</w:t>
            </w:r>
          </w:p>
        </w:tc>
      </w:tr>
      <w:tr>
        <w:tc>
          <w:tcPr>
            <w:tcW w:type="dxa" w:w="10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Consentimiento</w:t>
            </w:r>
          </w:p>
        </w:tc>
        <w:tc>
          <w:tcPr>
            <w:tcW w:type="dxa" w:w="16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Consentimiento firmado antes de crear historia</w:t>
            </w:r>
          </w:p>
        </w:tc>
        <w:tc>
          <w:tcPr>
            <w:tcW w:type="dxa" w:w="17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Crear historia sin consentimiento → sistema bloquea</w:t>
            </w:r>
          </w:p>
        </w:tc>
        <w:tc>
          <w:tcPr>
            <w:tcW w:type="dxa" w:w="10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Ley 164</w:t>
            </w:r>
          </w:p>
        </w:tc>
      </w:tr>
      <w:tr>
        <w:tc>
          <w:tcPr>
            <w:tcW w:type="dxa" w:w="10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Rendimiento</w:t>
            </w:r>
          </w:p>
        </w:tc>
        <w:tc>
          <w:tcPr>
            <w:tcW w:type="dxa" w:w="16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Inferencia IA &lt;3s, carga historia &lt;2s</w:t>
            </w:r>
          </w:p>
        </w:tc>
        <w:tc>
          <w:tcPr>
            <w:tcW w:type="dxa" w:w="17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Load test k6 250 usuarios, P95 medido</w:t>
            </w:r>
          </w:p>
        </w:tc>
        <w:tc>
          <w:tcPr>
            <w:tcW w:type="dxa" w:w="10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ISO 25010</w:t>
            </w:r>
          </w:p>
        </w:tc>
      </w:tr>
      <w:tr>
        <w:tc>
          <w:tcPr>
            <w:tcW w:type="dxa" w:w="10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Calidad código</w:t>
            </w:r>
          </w:p>
        </w:tc>
        <w:tc>
          <w:tcPr>
            <w:tcW w:type="dxa" w:w="16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Cobertura ≥75%, sin vulns críticas</w:t>
            </w:r>
          </w:p>
        </w:tc>
        <w:tc>
          <w:tcPr>
            <w:tcW w:type="dxa" w:w="17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pytest --cov + bandit + eslint limpios</w:t>
            </w:r>
          </w:p>
        </w:tc>
        <w:tc>
          <w:tcPr>
            <w:tcW w:type="dxa" w:w="10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Pressman [10]</w:t>
            </w:r>
          </w:p>
        </w:tc>
      </w:tr>
    </w:tbl>
    <w:p>
      <w:pPr>
        <w:spacing w:after="60" w:before="60"/>
      </w:pPr>
      <w:r>
        <w:t xml:space="preserve"/>
      </w:r>
    </w:p>
    <w:p>
      <w:pPr>
        <w:spacing w:after="80" w:before="160" w:line="218" w:lineRule="exact"/>
        <w:jc w:val="left"/>
      </w:pPr>
      <w:r>
        <w:rPr>
          <w:rFonts w:ascii="Times New Roman" w:cs="Times New Roman" w:eastAsia="Times New Roman" w:hAnsi="Times New Roman"/>
          <w:b w:val="false"/>
          <w:bCs w:val="false"/>
          <w:i/>
          <w:iCs/>
          <w:color w:val="000000"/>
          <w:sz w:val="20"/>
          <w:szCs w:val="20"/>
        </w:rPr>
        <w:t xml:space="preserve">B. Plan de Disaster Recovery</w:t>
      </w:r>
    </w:p>
    <w:p>
      <w:pPr>
        <w:spacing w:after="60" w:before="200" w:line="218" w:lineRule="exact"/>
        <w:jc w:val="center"/>
      </w:pPr>
      <w:r>
        <w:rPr>
          <w:rFonts w:ascii="Times New Roman" w:cs="Times New Roman" w:eastAsia="Times New Roman" w:hAnsi="Times New Roman"/>
          <w:b/>
          <w:bCs/>
          <w:color w:val="000000"/>
          <w:sz w:val="20"/>
          <w:szCs w:val="20"/>
        </w:rPr>
        <w:t xml:space="preserve">TABLE XV — RTO y RPO por Escenario</w:t>
      </w:r>
    </w:p>
    <w:tbl>
      <w:tblPr>
        <w:tblW w:type="dxa" w:w="626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600"/>
        <w:gridCol w:w="3460"/>
      </w:tblGrid>
      <w:tr>
        <w:trPr>
          <w:tblHeader/>
        </w:trPr>
        <w:tc>
          <w:tcPr>
            <w:tcW w:type="dxa" w:w="16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Escenario</w:t>
            </w:r>
          </w:p>
        </w:tc>
        <w:tc>
          <w:tcPr>
            <w:tcW w:type="dxa" w:w="6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RTO</w:t>
            </w:r>
          </w:p>
        </w:tc>
        <w:tc>
          <w:tcPr>
            <w:tcW w:type="dxa" w:w="60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RPO</w:t>
            </w:r>
          </w:p>
        </w:tc>
        <w:tc>
          <w:tcPr>
            <w:tcW w:type="dxa" w:w="3460"/>
            <w:tcBorders>
              <w:top w:val="single" w:color="000000" w:sz="4"/>
              <w:left w:val="single" w:color="000000" w:sz="4"/>
              <w:bottom w:val="single" w:color="000000" w:sz="4"/>
              <w:right w:val="single" w:color="000000" w:sz="4"/>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Acción</w:t>
            </w:r>
          </w:p>
        </w:tc>
      </w:tr>
      <w:tr>
        <w:tc>
          <w:tcPr>
            <w:tcW w:type="dxa" w:w="16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Caída microservicio</w:t>
            </w:r>
          </w:p>
        </w:tc>
        <w:tc>
          <w:tcPr>
            <w:tcW w:type="dxa" w:w="6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&lt;2 min</w:t>
            </w:r>
          </w:p>
        </w:tc>
        <w:tc>
          <w:tcPr>
            <w:tcW w:type="dxa" w:w="6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0</w:t>
            </w:r>
          </w:p>
        </w:tc>
        <w:tc>
          <w:tcPr>
            <w:tcW w:type="dxa" w:w="34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K3s auto-restart. Health checks cada 30s.</w:t>
            </w:r>
          </w:p>
        </w:tc>
      </w:tr>
      <w:tr>
        <w:tc>
          <w:tcPr>
            <w:tcW w:type="dxa" w:w="16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Corrupción BD</w:t>
            </w:r>
          </w:p>
        </w:tc>
        <w:tc>
          <w:tcPr>
            <w:tcW w:type="dxa" w:w="6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&lt;30 min</w:t>
            </w:r>
          </w:p>
        </w:tc>
        <w:tc>
          <w:tcPr>
            <w:tcW w:type="dxa" w:w="6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&lt;4 h</w:t>
            </w:r>
          </w:p>
        </w:tc>
        <w:tc>
          <w:tcPr>
            <w:tcW w:type="dxa" w:w="34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Restaurar backup más reciente. Verificar checksums.</w:t>
            </w:r>
          </w:p>
        </w:tc>
      </w:tr>
      <w:tr>
        <w:tc>
          <w:tcPr>
            <w:tcW w:type="dxa" w:w="16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Pérdida total servidor</w:t>
            </w:r>
          </w:p>
        </w:tc>
        <w:tc>
          <w:tcPr>
            <w:tcW w:type="dxa" w:w="6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&lt;4 h</w:t>
            </w:r>
          </w:p>
        </w:tc>
        <w:tc>
          <w:tcPr>
            <w:tcW w:type="dxa" w:w="6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&lt;4 h</w:t>
            </w:r>
          </w:p>
        </w:tc>
        <w:tc>
          <w:tcPr>
            <w:tcW w:type="dxa" w:w="34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Restaurar VM + BD + DICOMs desde backup externo.</w:t>
            </w:r>
          </w:p>
        </w:tc>
      </w:tr>
      <w:tr>
        <w:tc>
          <w:tcPr>
            <w:tcW w:type="dxa" w:w="16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Ransomware</w:t>
            </w:r>
          </w:p>
        </w:tc>
        <w:tc>
          <w:tcPr>
            <w:tcW w:type="dxa" w:w="6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&lt;24 h</w:t>
            </w:r>
          </w:p>
        </w:tc>
        <w:tc>
          <w:tcPr>
            <w:tcW w:type="dxa" w:w="60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&lt;24 h</w:t>
            </w:r>
          </w:p>
        </w:tc>
        <w:tc>
          <w:tcPr>
            <w:tcW w:type="dxa" w:w="3460"/>
            <w:tcBorders>
              <w:top w:val="single" w:color="000000" w:sz="4"/>
              <w:left w:val="single" w:color="000000" w:sz="4"/>
              <w:bottom w:val="single" w:color="000000" w:sz="4"/>
              <w:right w:val="single" w:color="000000" w:sz="4"/>
            </w:tcBorders>
            <w:shd w:fill="F7F7F7"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Servidor contingencia aislado. Backup offline. Notificar ATIC.</w:t>
            </w:r>
          </w:p>
        </w:tc>
      </w:tr>
      <w:tr>
        <w:tc>
          <w:tcPr>
            <w:tcW w:type="dxa" w:w="16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Falla disco MinIO</w:t>
            </w:r>
          </w:p>
        </w:tc>
        <w:tc>
          <w:tcPr>
            <w:tcW w:type="dxa" w:w="6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&lt;2 h</w:t>
            </w:r>
          </w:p>
        </w:tc>
        <w:tc>
          <w:tcPr>
            <w:tcW w:type="dxa" w:w="6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&lt;24 h</w:t>
            </w:r>
          </w:p>
        </w:tc>
        <w:tc>
          <w:tcPr>
            <w:tcW w:type="dxa" w:w="34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left"/>
            </w:pPr>
            <w:r>
              <w:rPr>
                <w:rFonts w:ascii="Times New Roman" w:cs="Times New Roman" w:eastAsia="Times New Roman" w:hAnsi="Times New Roman"/>
                <w:color w:val="000000"/>
                <w:sz w:val="18"/>
                <w:szCs w:val="18"/>
              </w:rPr>
              <w:t xml:space="preserve">Erasure coding activo. Backup incremental diario.</w:t>
            </w:r>
          </w:p>
        </w:tc>
      </w:tr>
    </w:tbl>
    <w:p>
      <w:pPr>
        <w:spacing w:after="80" w:before="40" w:line="218" w:lineRule="exact"/>
      </w:pPr>
      <w:r>
        <w:rPr>
          <w:rFonts w:ascii="Times New Roman" w:cs="Times New Roman" w:eastAsia="Times New Roman" w:hAnsi="Times New Roman"/>
          <w:i/>
          <w:iCs/>
          <w:color w:val="000000"/>
          <w:sz w:val="16"/>
          <w:szCs w:val="16"/>
        </w:rPr>
        <w:t xml:space="preserve">Note. </w:t>
      </w:r>
      <w:r>
        <w:rPr>
          <w:rFonts w:ascii="Times New Roman" w:cs="Times New Roman" w:eastAsia="Times New Roman" w:hAnsi="Times New Roman"/>
          <w:color w:val="000000"/>
          <w:sz w:val="16"/>
          <w:szCs w:val="16"/>
        </w:rPr>
        <w:t xml:space="preserve">RTO = Recovery Time Objective. RPO = Recovery Point Objective. Conforme a ISO 22301.</w:t>
      </w:r>
    </w:p>
    <w:p>
      <w:pPr>
        <w:spacing w:after="60" w:before="60"/>
      </w:pPr>
      <w:r>
        <w:t xml:space="preserve"/>
      </w:r>
    </w:p>
    <w:p>
      <w:pPr>
        <w:spacing w:after="120" w:before="240" w:line="218" w:lineRule="exact"/>
        <w:jc w:val="center"/>
      </w:pPr>
      <w:r>
        <w:rPr>
          <w:rFonts w:ascii="Times New Roman" w:cs="Times New Roman" w:eastAsia="Times New Roman" w:hAnsi="Times New Roman"/>
          <w:b/>
          <w:bCs/>
          <w:smallCaps/>
          <w:color w:val="000000"/>
          <w:sz w:val="20"/>
          <w:szCs w:val="20"/>
        </w:rPr>
        <w:t xml:space="preserve">XIII. CONCLUSIONES</w:t>
      </w:r>
    </w:p>
    <w:p>
      <w:pPr>
        <w:spacing w:after="80" w:before="0" w:line="218" w:lineRule="exact"/>
        <w:ind w:firstLine="360"/>
        <w:jc w:val="both"/>
      </w:pPr>
      <w:r>
        <w:rPr>
          <w:rFonts w:ascii="Times New Roman" w:cs="Times New Roman" w:eastAsia="Times New Roman" w:hAnsi="Times New Roman"/>
          <w:color w:val="000000"/>
          <w:sz w:val="20"/>
          <w:szCs w:val="20"/>
        </w:rPr>
        <w:t xml:space="preserve">El presente trabajo presenta el diseño arquitectónico completo de Fetal Medical Bolivia, un sistema de historia clínica gineco-obstétrica con inteligencia artificial para el análisis de ecografías. Las principales contribuciones son: (1) una arquitectura de microservicios que permite escalar el módulo de IA de forma independiente al módulo clínico, garantizando que un fallo en el servicio CNN no interrumpa la atención médica; (2) un pipeline de ML con EfficientNet-B4 y MONAI diseñado con validación clínica obligatoria por médico especialista, umbrales de sensibilidad conservadores (≥0.92) y reentrenamiento continuo; (3) explicabilidad XAI mediante Grad-CAM integrado en el visor OHIF, haciendo auditable cada diagnóstico de IA para el médico y ante la ley; (4) seguridad de grado médico con AES-256 en reposo en tres niveles y TLS 1.3 en todo el tráfico, cumpliendo la Ley 164 de Bolivia e ISO/IEC 27001.</w:t>
      </w:r>
    </w:p>
    <w:p>
      <w:pPr>
        <w:spacing w:after="80" w:before="0" w:line="218" w:lineRule="exact"/>
        <w:ind w:firstLine="360"/>
        <w:jc w:val="both"/>
      </w:pPr>
      <w:r>
        <w:rPr>
          <w:rFonts w:ascii="Times New Roman" w:cs="Times New Roman" w:eastAsia="Times New Roman" w:hAnsi="Times New Roman"/>
          <w:color w:val="000000"/>
          <w:sz w:val="20"/>
          <w:szCs w:val="20"/>
        </w:rPr>
        <w:t xml:space="preserve">Los dos riesgos principales a vigilar en producción son: (R1) falsos negativos del modelo CNN que no detecten patologías fetales existentes —mitigado con umbral de sensibilidad ≥0.92 y validación médica obligatoria en cada análisis—; y (R2) brechas de seguridad en datos de pacientes —mitigado con cifrado AES-256, TLS 1.3, MFA obligatorio y audit logs inmutables.</w:t>
      </w:r>
    </w:p>
    <w:p>
      <w:pPr>
        <w:spacing w:after="80" w:before="0" w:line="218" w:lineRule="exact"/>
        <w:ind w:firstLine="360"/>
        <w:jc w:val="both"/>
      </w:pPr>
      <w:r>
        <w:rPr>
          <w:rFonts w:ascii="Times New Roman" w:cs="Times New Roman" w:eastAsia="Times New Roman" w:hAnsi="Times New Roman"/>
          <w:color w:val="000000"/>
          <w:sz w:val="20"/>
          <w:szCs w:val="20"/>
        </w:rPr>
        <w:t xml:space="preserve">El trabajo futuro incluye la expansión del modelo hacia diagnósticos 3D/4D, la integración con el Sistema Nacional de Información en Salud (SNIS) de Bolivia mediante HL7 FHIR R4, y la certificación del módulo de IA como dispositivo médico de Clase IIb bajo IEC 62304.</w:t>
      </w:r>
    </w:p>
    <w:p>
      <w:pPr>
        <w:spacing w:after="60" w:before="60"/>
      </w:pPr>
      <w:r>
        <w:t xml:space="preserve"/>
      </w:r>
    </w:p>
    <w:p>
      <w:pPr>
        <w:spacing w:after="120" w:before="240" w:line="218" w:lineRule="exact"/>
        <w:jc w:val="center"/>
      </w:pPr>
      <w:r>
        <w:rPr>
          <w:rFonts w:ascii="Times New Roman" w:cs="Times New Roman" w:eastAsia="Times New Roman" w:hAnsi="Times New Roman"/>
          <w:b/>
          <w:bCs/>
          <w:smallCaps/>
          <w:color w:val="000000"/>
          <w:sz w:val="20"/>
          <w:szCs w:val="20"/>
        </w:rPr>
        <w:t xml:space="preserve">. REFERENCIAS</w:t>
      </w:r>
    </w:p>
    <w:p>
      <w:pPr>
        <w:spacing w:after="80" w:before="0" w:line="218" w:lineRule="exact"/>
        <w:jc w:val="both"/>
      </w:pPr>
      <w:r>
        <w:rPr>
          <w:rFonts w:ascii="Times New Roman" w:cs="Times New Roman" w:eastAsia="Times New Roman" w:hAnsi="Times New Roman"/>
          <w:color w:val="000000"/>
          <w:sz w:val="20"/>
          <w:szCs w:val="20"/>
        </w:rPr>
        <w:t xml:space="preserve">[1]  Organización Panamericana de la Salud (OPS/OMS), "Salud materna y neonatal en las Américas," Washington, D.C., EE.UU., 2022.</w:t>
      </w:r>
    </w:p>
    <w:p>
      <w:pPr>
        <w:spacing w:after="80" w:before="0" w:line="218" w:lineRule="exact"/>
        <w:jc w:val="both"/>
      </w:pPr>
      <w:r>
        <w:rPr>
          <w:rFonts w:ascii="Times New Roman" w:cs="Times New Roman" w:eastAsia="Times New Roman" w:hAnsi="Times New Roman"/>
          <w:color w:val="000000"/>
          <w:sz w:val="20"/>
          <w:szCs w:val="20"/>
        </w:rPr>
        <w:t xml:space="preserve">[2]  I. Sommerville, Software Engineering, 10th ed. Boston, MA, USA: Pearson, 2016.</w:t>
      </w:r>
    </w:p>
    <w:p>
      <w:pPr>
        <w:spacing w:after="80" w:before="0" w:line="218" w:lineRule="exact"/>
        <w:jc w:val="both"/>
      </w:pPr>
      <w:r>
        <w:rPr>
          <w:rFonts w:ascii="Times New Roman" w:cs="Times New Roman" w:eastAsia="Times New Roman" w:hAnsi="Times New Roman"/>
          <w:color w:val="000000"/>
          <w:sz w:val="20"/>
          <w:szCs w:val="20"/>
        </w:rPr>
        <w:t xml:space="preserve">[3]  Congreso Nacional de Bolivia, "Ley N.° 3131: Ley del Ejercicio Profesional Médico," República de Bolivia, 2005.</w:t>
      </w:r>
    </w:p>
    <w:p>
      <w:pPr>
        <w:spacing w:after="80" w:before="0" w:line="218" w:lineRule="exact"/>
        <w:jc w:val="both"/>
      </w:pPr>
      <w:r>
        <w:rPr>
          <w:rFonts w:ascii="Times New Roman" w:cs="Times New Roman" w:eastAsia="Times New Roman" w:hAnsi="Times New Roman"/>
          <w:color w:val="000000"/>
          <w:sz w:val="20"/>
          <w:szCs w:val="20"/>
        </w:rPr>
        <w:t xml:space="preserve">[4]  L. Bass, P. Clements, and R. Kazman, Software Architecture in Practice, 4th ed. Boston, MA, USA: Addison-Wesley, 2022.</w:t>
      </w:r>
    </w:p>
    <w:p>
      <w:pPr>
        <w:spacing w:after="80" w:before="0" w:line="218" w:lineRule="exact"/>
        <w:jc w:val="both"/>
      </w:pPr>
      <w:r>
        <w:rPr>
          <w:rFonts w:ascii="Times New Roman" w:cs="Times New Roman" w:eastAsia="Times New Roman" w:hAnsi="Times New Roman"/>
          <w:color w:val="000000"/>
          <w:sz w:val="20"/>
          <w:szCs w:val="20"/>
        </w:rPr>
        <w:t xml:space="preserve">[5]  TechEmpower, "Framework Benchmarks Round 22," 2023. [Online]. Available: https://www.techempower.com/benchmarks/</w:t>
      </w:r>
    </w:p>
    <w:p>
      <w:pPr>
        <w:spacing w:after="80" w:before="0" w:line="218" w:lineRule="exact"/>
        <w:jc w:val="both"/>
      </w:pPr>
      <w:r>
        <w:rPr>
          <w:rFonts w:ascii="Times New Roman" w:cs="Times New Roman" w:eastAsia="Times New Roman" w:hAnsi="Times New Roman"/>
          <w:color w:val="000000"/>
          <w:sz w:val="20"/>
          <w:szCs w:val="20"/>
        </w:rPr>
        <w:t xml:space="preserve">[6]  M. Kleppmann, Designing Data-Intensive Applications. Sebastopol, CA, USA: O'Reilly Media, 2017.</w:t>
      </w:r>
    </w:p>
    <w:p>
      <w:pPr>
        <w:spacing w:after="80" w:before="0" w:line="218" w:lineRule="exact"/>
        <w:jc w:val="both"/>
      </w:pPr>
      <w:r>
        <w:rPr>
          <w:rFonts w:ascii="Times New Roman" w:cs="Times New Roman" w:eastAsia="Times New Roman" w:hAnsi="Times New Roman"/>
          <w:color w:val="000000"/>
          <w:sz w:val="20"/>
          <w:szCs w:val="20"/>
        </w:rPr>
        <w:t xml:space="preserve">[7]  A. S. Tanenbaum and M. Van Steen, Distributed Systems: Principles and Paradigms, 3rd ed. Upper Saddle River, NJ, USA: Pearson, 2016.</w:t>
      </w:r>
    </w:p>
    <w:p>
      <w:pPr>
        <w:spacing w:after="80" w:before="0" w:line="218" w:lineRule="exact"/>
        <w:jc w:val="both"/>
      </w:pPr>
      <w:r>
        <w:rPr>
          <w:rFonts w:ascii="Times New Roman" w:cs="Times New Roman" w:eastAsia="Times New Roman" w:hAnsi="Times New Roman"/>
          <w:color w:val="000000"/>
          <w:sz w:val="20"/>
          <w:szCs w:val="20"/>
        </w:rPr>
        <w:t xml:space="preserve">[8]  K. Schwaber and J. Sutherland, "The Scrum Guide," Scrum.org, 2020. [Online]. Available: https://scrumguides.org</w:t>
      </w:r>
    </w:p>
    <w:p>
      <w:pPr>
        <w:spacing w:after="80" w:before="0" w:line="218" w:lineRule="exact"/>
        <w:jc w:val="both"/>
      </w:pPr>
      <w:r>
        <w:rPr>
          <w:rFonts w:ascii="Times New Roman" w:cs="Times New Roman" w:eastAsia="Times New Roman" w:hAnsi="Times New Roman"/>
          <w:color w:val="000000"/>
          <w:sz w:val="20"/>
          <w:szCs w:val="20"/>
        </w:rPr>
        <w:t xml:space="preserve">[9]  International Electrotechnical Commission, "IEC 62304:2006+AMD1:2015 — Medical Device Software: Software Life Cycle Processes," IEC, Geneva, Switzerland, 2015.</w:t>
      </w:r>
    </w:p>
    <w:p>
      <w:pPr>
        <w:spacing w:after="80" w:before="0" w:line="218" w:lineRule="exact"/>
        <w:jc w:val="both"/>
      </w:pPr>
      <w:r>
        <w:rPr>
          <w:rFonts w:ascii="Times New Roman" w:cs="Times New Roman" w:eastAsia="Times New Roman" w:hAnsi="Times New Roman"/>
          <w:color w:val="000000"/>
          <w:sz w:val="20"/>
          <w:szCs w:val="20"/>
        </w:rPr>
        <w:t xml:space="preserve">[10] R. S. Pressman and B. R. Maxim, Software Engineering: A Practitioner's Approach, 9th ed. New York, NY, USA: McGraw-Hill, 2020.</w:t>
      </w:r>
    </w:p>
    <w:p>
      <w:pPr>
        <w:spacing w:after="80" w:before="0" w:line="218" w:lineRule="exact"/>
        <w:jc w:val="both"/>
      </w:pPr>
      <w:r>
        <w:rPr>
          <w:rFonts w:ascii="Times New Roman" w:cs="Times New Roman" w:eastAsia="Times New Roman" w:hAnsi="Times New Roman"/>
          <w:color w:val="000000"/>
          <w:sz w:val="20"/>
          <w:szCs w:val="20"/>
        </w:rPr>
        <w:t xml:space="preserve">[11] T. L. Beauchamp and J. F. Childress, Principles of Biomedical Ethics, 8th ed. Oxford, UK: Oxford Univ. Press, 2019.</w:t>
      </w:r>
    </w:p>
    <w:p>
      <w:pPr>
        <w:spacing w:after="80" w:before="0" w:line="218" w:lineRule="exact"/>
        <w:jc w:val="both"/>
      </w:pPr>
      <w:r>
        <w:rPr>
          <w:rFonts w:ascii="Times New Roman" w:cs="Times New Roman" w:eastAsia="Times New Roman" w:hAnsi="Times New Roman"/>
          <w:color w:val="000000"/>
          <w:sz w:val="20"/>
          <w:szCs w:val="20"/>
        </w:rPr>
        <w:t xml:space="preserve">[12] M. Tan and Q. V. Le, "EfficientNet: Rethinking model scaling for convolutional neural networks," in Proc. 36th Int. Conf. Mach. Learn. (ICML), Long Beach, CA, USA, 2019, pp. 6105–6114.</w:t>
      </w:r>
    </w:p>
    <w:p>
      <w:pPr>
        <w:spacing w:after="80" w:before="0" w:line="218" w:lineRule="exact"/>
        <w:jc w:val="both"/>
      </w:pPr>
      <w:r>
        <w:rPr>
          <w:rFonts w:ascii="Times New Roman" w:cs="Times New Roman" w:eastAsia="Times New Roman" w:hAnsi="Times New Roman"/>
          <w:color w:val="000000"/>
          <w:sz w:val="20"/>
          <w:szCs w:val="20"/>
        </w:rPr>
        <w:t xml:space="preserve">[13] N. Tajbakhsh et al., "Convolutional neural networks for medical image analysis: Full training or fine tuning?," IEEE Trans. Med. Imag., vol. 35, no. 5, pp. 1299–1312, May 2016, doi: 10.1109/TMI.2016.2535302.</w:t>
      </w:r>
    </w:p>
    <w:p>
      <w:pPr>
        <w:spacing w:after="80" w:before="0" w:line="218" w:lineRule="exact"/>
        <w:jc w:val="both"/>
      </w:pPr>
      <w:r>
        <w:rPr>
          <w:rFonts w:ascii="Times New Roman" w:cs="Times New Roman" w:eastAsia="Times New Roman" w:hAnsi="Times New Roman"/>
          <w:color w:val="000000"/>
          <w:sz w:val="20"/>
          <w:szCs w:val="20"/>
        </w:rPr>
        <w:t xml:space="preserve">[14] MONAI Consortium, "MONAI: Medical Open Network for AI," 2023. [Online]. Available: https://monai.io</w:t>
      </w:r>
    </w:p>
    <w:p>
      <w:pPr>
        <w:spacing w:after="80" w:before="0" w:line="218" w:lineRule="exact"/>
        <w:jc w:val="both"/>
      </w:pPr>
      <w:r>
        <w:rPr>
          <w:rFonts w:ascii="Times New Roman" w:cs="Times New Roman" w:eastAsia="Times New Roman" w:hAnsi="Times New Roman"/>
          <w:color w:val="000000"/>
          <w:sz w:val="20"/>
          <w:szCs w:val="20"/>
        </w:rPr>
        <w:t xml:space="preserve">[15] M. Thomas, J. Marques, and A. T. Papageorghiou, "Automatic measurement of fetal head biometry from ultrasound," Scientific Data, vol. 8, p. 96, 2021, doi: 10.1038/s41597-021-00874-4.</w:t>
      </w:r>
    </w:p>
    <w:p>
      <w:pPr>
        <w:spacing w:after="80" w:before="0" w:line="218" w:lineRule="exact"/>
        <w:jc w:val="both"/>
      </w:pPr>
      <w:r>
        <w:rPr>
          <w:rFonts w:ascii="Times New Roman" w:cs="Times New Roman" w:eastAsia="Times New Roman" w:hAnsi="Times New Roman"/>
          <w:color w:val="000000"/>
          <w:sz w:val="20"/>
          <w:szCs w:val="20"/>
        </w:rPr>
        <w:t xml:space="preserve">[16] R. R. Selvaraju et al., "Grad-CAM: Visual explanations from deep networks via gradient-based localization," in Proc. IEEE Int. Conf. Comput. Vis. (ICCV), Venice, Italy, 2017, pp. 618–626.</w:t>
      </w:r>
    </w:p>
    <w:p>
      <w:pPr>
        <w:spacing w:after="80" w:before="0" w:line="218" w:lineRule="exact"/>
        <w:jc w:val="both"/>
      </w:pPr>
      <w:r>
        <w:rPr>
          <w:rFonts w:ascii="Times New Roman" w:cs="Times New Roman" w:eastAsia="Times New Roman" w:hAnsi="Times New Roman"/>
          <w:color w:val="000000"/>
          <w:sz w:val="20"/>
          <w:szCs w:val="20"/>
        </w:rPr>
        <w:t xml:space="preserve">[17] S. M. Lundberg and S. I. Lee, "A unified approach to interpreting model predictions," in Proc. Adv. Neural Inf. Process. Syst. (NeurIPS), Long Beach, CA, USA, 2017, pp. 4765–4774.</w:t>
      </w:r>
    </w:p>
    <w:p>
      <w:pPr>
        <w:spacing w:after="80" w:before="0" w:line="218" w:lineRule="exact"/>
        <w:jc w:val="both"/>
      </w:pPr>
      <w:r>
        <w:rPr>
          <w:rFonts w:ascii="Times New Roman" w:cs="Times New Roman" w:eastAsia="Times New Roman" w:hAnsi="Times New Roman"/>
          <w:color w:val="000000"/>
          <w:sz w:val="20"/>
          <w:szCs w:val="20"/>
        </w:rPr>
        <w:t xml:space="preserve">[18] A. Shostack, Threat Modeling: Designing for Security. Indianapolis, IN, USA: Wiley, 2014.</w:t>
      </w:r>
    </w:p>
    <w:p>
      <w:pPr>
        <w:spacing w:after="80" w:before="0" w:line="218" w:lineRule="exact"/>
        <w:jc w:val="both"/>
      </w:pPr>
      <w:r>
        <w:rPr>
          <w:rFonts w:ascii="Times New Roman" w:cs="Times New Roman" w:eastAsia="Times New Roman" w:hAnsi="Times New Roman"/>
          <w:color w:val="000000"/>
          <w:sz w:val="20"/>
          <w:szCs w:val="20"/>
        </w:rPr>
        <w:t xml:space="preserve">[19] National Institute of Standards and Technology (NIST), "Recommendation for Key Management," NIST SP 800-57 Part 1 Rev. 5, 2020.</w:t>
      </w:r>
    </w:p>
    <w:p>
      <w:pPr>
        <w:spacing w:after="80" w:before="0" w:line="218" w:lineRule="exact"/>
        <w:jc w:val="both"/>
      </w:pPr>
      <w:r>
        <w:rPr>
          <w:rFonts w:ascii="Times New Roman" w:cs="Times New Roman" w:eastAsia="Times New Roman" w:hAnsi="Times New Roman"/>
          <w:color w:val="000000"/>
          <w:sz w:val="20"/>
          <w:szCs w:val="20"/>
        </w:rPr>
        <w:t xml:space="preserve">[20] E. Rescorla, "The Transport Layer Security (TLS) Protocol Version 1.3," RFC 8446, IETF, Aug. 2018, doi: 10.17487/RFC8446.</w:t>
      </w:r>
    </w:p>
    <w:p>
      <w:pPr>
        <w:spacing w:after="80" w:before="0" w:line="218" w:lineRule="exact"/>
        <w:jc w:val="both"/>
      </w:pPr>
      <w:r>
        <w:rPr>
          <w:rFonts w:ascii="Times New Roman" w:cs="Times New Roman" w:eastAsia="Times New Roman" w:hAnsi="Times New Roman"/>
          <w:color w:val="000000"/>
          <w:sz w:val="20"/>
          <w:szCs w:val="20"/>
        </w:rPr>
        <w:t xml:space="preserve">[21] IEEE, "IEEE Std 830-1998: Recommended Practice for Software Requirements Specifications," IEEE, New York, NY, USA, 1998.</w:t>
      </w:r>
    </w:p>
    <w:p>
      <w:pPr>
        <w:spacing w:after="80" w:before="0" w:line="218" w:lineRule="exact"/>
        <w:jc w:val="both"/>
      </w:pPr>
      <w:r>
        <w:rPr>
          <w:rFonts w:ascii="Times New Roman" w:cs="Times New Roman" w:eastAsia="Times New Roman" w:hAnsi="Times New Roman"/>
          <w:color w:val="000000"/>
          <w:sz w:val="20"/>
          <w:szCs w:val="20"/>
        </w:rPr>
        <w:t xml:space="preserve">[22] ISO/IEC, "ISO/IEC 25010:2011 — Systems and Software Quality Requirements and Evaluation (SQuaRE)," ISO, Geneva, Switzerland, 2011.</w:t>
      </w:r>
    </w:p>
    <w:p>
      <w:pPr>
        <w:spacing w:after="80" w:before="0" w:line="218" w:lineRule="exact"/>
        <w:jc w:val="both"/>
      </w:pPr>
      <w:r>
        <w:rPr>
          <w:rFonts w:ascii="Times New Roman" w:cs="Times New Roman" w:eastAsia="Times New Roman" w:hAnsi="Times New Roman"/>
          <w:color w:val="000000"/>
          <w:sz w:val="20"/>
          <w:szCs w:val="20"/>
        </w:rPr>
        <w:t xml:space="preserve">[23] ISO/IEC, "ISO/IEC 27001:2022 — Information Security Management Systems," ISO, Geneva, Switzerland, 2022.</w:t>
      </w:r>
    </w:p>
    <w:p>
      <w:pPr>
        <w:spacing w:after="80" w:before="0" w:line="218" w:lineRule="exact"/>
        <w:jc w:val="both"/>
      </w:pPr>
      <w:r>
        <w:rPr>
          <w:rFonts w:ascii="Times New Roman" w:cs="Times New Roman" w:eastAsia="Times New Roman" w:hAnsi="Times New Roman"/>
          <w:color w:val="000000"/>
          <w:sz w:val="20"/>
          <w:szCs w:val="20"/>
        </w:rPr>
        <w:t xml:space="preserve">[24] Asamblea Legislativa Plurinacional de Bolivia, "Ley N.° 164: Ley General de Telecomunicaciones, TIC," 2011.</w:t>
      </w:r>
    </w:p>
    <w:p>
      <w:pPr>
        <w:spacing w:after="60" w:before="60"/>
      </w:pPr>
      <w:r>
        <w:t xml:space="preserve"/>
      </w:r>
    </w:p>
    <w:p>
      <w:pPr>
        <w:spacing w:after="60" w:before="60"/>
      </w:pPr>
      <w:r>
        <w:t xml:space="preserve"/>
      </w:r>
    </w:p>
    <w:p>
      <w:pPr>
        <w:pBdr>
          <w:top w:val="single" w:color="000000" w:sz="6" w:space="4"/>
        </w:pBdr>
        <w:spacing w:after="0" w:before="120"/>
        <w:jc w:val="center"/>
      </w:pPr>
      <w:r>
        <w:rPr>
          <w:rFonts w:ascii="Times New Roman" w:cs="Times New Roman" w:eastAsia="Times New Roman" w:hAnsi="Times New Roman"/>
          <w:i/>
          <w:iCs/>
          <w:color w:val="000000"/>
          <w:sz w:val="16"/>
          <w:szCs w:val="16"/>
        </w:rPr>
        <w:t xml:space="preserve">Fetal Medical Bolivia v1.0 — UNIFRANZ Ingeniería de Sistemas — La Paz, Bolivia — Gestión I 2026</w:t>
      </w:r>
    </w:p>
    <w:sectPr>
      <w:type w:val="continuous"/>
      <w:pgSz w:w="12240" w:h="15840" w:orient="portrait"/>
      <w:pgMar w:top="1080" w:right="900" w:bottom="1080" w:left="900"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spacing w:after="0" w:before="60"/>
      <w:jc w:val="center"/>
    </w:pPr>
    <w:r>
      <w:rPr>
        <w:rFonts w:ascii="Times New Roman" w:cs="Times New Roman" w:eastAsia="Times New Roman" w:hAnsi="Times New Roman"/>
        <w:color w:val="000000"/>
        <w:sz w:val="16"/>
        <w:szCs w:val="16"/>
      </w:rPr>
      <w:t xml:space="preserve">Universidad Privada Franz Tamayo (UNIFRANZ) · Ingeniería de Sistemas · La Paz, Bolivia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spacing w:after="60" w:before="0"/>
    </w:pPr>
    <w:r>
      <w:rPr>
        <w:rFonts w:ascii="Times New Roman" w:cs="Times New Roman" w:eastAsia="Times New Roman" w:hAnsi="Times New Roman"/>
        <w:color w:val="000000"/>
        <w:sz w:val="16"/>
        <w:szCs w:val="16"/>
      </w:rPr>
      <w:t xml:space="preserve">UNIFRANZ — Proyecto Integrado | Ing. Luis Adolfo Álvarez Guerra | 2026  </w:t>
    </w:r>
    <w:r>
      <w:rPr>
        <w:rFonts w:ascii="Times New Roman" w:cs="Times New Roman" w:eastAsia="Times New Roman" w:hAnsi="Times New Roman"/>
        <w:b/>
        <w:bCs/>
        <w:color w:val="000000"/>
        <w:sz w:val="16"/>
        <w:szCs w:val="16"/>
      </w:rPr>
      <w:t xml:space="preserve">Fetal Medical Bolivia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abstractNum w:abstractNumId="3" w15:restartNumberingAfterBreak="0">
    <w:multiLevelType w:val="hybridMultilevel"/>
    <w:lvl w:ilvl="0" w15:tentative="1">
      <w:start w:val="1"/>
      <w:numFmt w:val="decimal"/>
      <w:lvlText w:val="%1."/>
      <w:lvlJc w:val="left"/>
      <w:pPr>
        <w:ind w:left="4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jc w:val="center"/>
      <w:outlineLvl w:val="0"/>
    </w:pPr>
    <w:rPr>
      <w:rFonts w:ascii="Times New Roman" w:cs="Times New Roman" w:eastAsia="Times New Roman" w:hAnsi="Times New Roman"/>
      <w:b/>
      <w:bCs/>
      <w:smallCaps/>
      <w:color w:val="000000"/>
      <w:sz w:val="20"/>
      <w:szCs w:val="20"/>
    </w:rPr>
  </w:style>
  <w:style w:type="paragraph" w:styleId="Heading2">
    <w:name w:val="Heading 2"/>
    <w:basedOn w:val="Normal"/>
    <w:next w:val="Normal"/>
    <w:qFormat/>
    <w:pPr>
      <w:spacing w:after="80" w:before="160"/>
      <w:outlineLvl w:val="1"/>
    </w:pPr>
    <w:rPr>
      <w:rFonts w:ascii="Times New Roman" w:cs="Times New Roman" w:eastAsia="Times New Roman" w:hAnsi="Times New Roman"/>
      <w:i/>
      <w:iCs/>
      <w:color w:val="000000"/>
      <w:sz w:val="20"/>
      <w:szCs w:val="20"/>
    </w:rPr>
  </w:style>
  <w:style w:type="paragraph" w:styleId="Heading3">
    <w:name w:val="Heading 3"/>
    <w:basedOn w:val="Normal"/>
    <w:next w:val="Normal"/>
    <w:qFormat/>
    <w:pPr>
      <w:spacing w:after="40" w:before="100"/>
      <w:outlineLvl w:val="2"/>
    </w:pPr>
    <w:rPr>
      <w:rFonts w:ascii="Times New Roman" w:cs="Times New Roman" w:eastAsia="Times New Roman" w:hAnsi="Times New Roman"/>
      <w:i/>
      <w:i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e92e93ee6c0a47b8c5b72a96e953725cb79311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2026-04-12T14:03:34.206Z</dcterms:created>
  <dcterms:modified xsi:type="dcterms:W3CDTF">2026-04-12T14:03:34.207Z</dcterms:modified>
</cp:coreProperties>
</file>

<file path=docProps/custom.xml><?xml version="1.0" encoding="utf-8"?>
<Properties xmlns="http://schemas.openxmlformats.org/officeDocument/2006/custom-properties" xmlns:vt="http://schemas.openxmlformats.org/officeDocument/2006/docPropsVTypes"/>
</file>