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</w:rPr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>
      <w:pPr>
        <w:pStyle w:val="Normal"/>
        <w:spacing w:before="96" w:after="0"/>
        <w:ind w:hanging="547" w:start="547"/>
        <w:jc w:val="center"/>
        <w:rPr/>
      </w:pPr>
      <w:r>
        <w:rPr/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ap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образовательное учреждение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caps/>
          <w:color w:val="000000"/>
          <w:kern w:val="2"/>
        </w:rPr>
        <w:t>высшего образования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_________________________________________________________________</w:t>
      </w:r>
    </w:p>
    <w:p>
      <w:pPr>
        <w:pStyle w:val="Normal"/>
        <w:spacing w:before="96" w:after="0"/>
        <w:ind w:hanging="547" w:start="547"/>
        <w:jc w:val="center"/>
        <w:rPr>
          <w:rFonts w:eastAsia="+mn-ea"/>
          <w:color w:val="000000"/>
          <w:kern w:val="2"/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</w:r>
    </w:p>
    <w:p>
      <w:pPr>
        <w:pStyle w:val="Normal"/>
        <w:spacing w:before="96" w:after="0"/>
        <w:ind w:hanging="547" w:start="547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+mn-ea"/>
          <w:color w:val="000000"/>
          <w:kern w:val="2"/>
          <w:sz w:val="28"/>
          <w:szCs w:val="28"/>
        </w:rPr>
        <w:t>Кафедра защиты информации</w:t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>
          <w:rFonts w:eastAsia="Calibri"/>
          <w:i/>
          <w:i/>
          <w:sz w:val="28"/>
          <w:szCs w:val="22"/>
          <w:lang w:eastAsia="en-US"/>
        </w:rPr>
      </w:pPr>
      <w:r>
        <w:rPr/>
        <w:drawing>
          <wp:inline distT="0" distB="0" distL="0" distR="0">
            <wp:extent cx="2709545" cy="926465"/>
            <wp:effectExtent l="0" t="0" r="0" b="0"/>
            <wp:docPr id="1" name="Изображение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2" t="-93" r="-32" b="-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jc w:val="both"/>
        <w:rPr>
          <w:rFonts w:eastAsia="Calibri"/>
          <w:i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</w:r>
    </w:p>
    <w:p>
      <w:pPr>
        <w:pStyle w:val="Normal"/>
        <w:spacing w:lineRule="auto" w:line="276" w:before="0" w:after="200"/>
        <w:jc w:val="center"/>
        <w:rPr/>
      </w:pPr>
      <w:r>
        <w:rPr>
          <w:rFonts w:eastAsia="Calibri"/>
          <w:b/>
          <w:sz w:val="32"/>
          <w:szCs w:val="32"/>
          <w:lang w:val="ru-RU" w:eastAsia="en-US"/>
        </w:rPr>
        <w:t>ЛАБОРАТОРНАЯ</w:t>
      </w:r>
      <w:r>
        <w:rPr>
          <w:rFonts w:eastAsia="Calibri"/>
          <w:b/>
          <w:sz w:val="32"/>
          <w:szCs w:val="32"/>
          <w:lang w:eastAsia="en-US"/>
        </w:rPr>
        <w:t xml:space="preserve"> РАБОТА  </w:t>
      </w:r>
      <w:r>
        <w:rPr>
          <w:rFonts w:eastAsia="Calibri"/>
          <w:b/>
          <w:sz w:val="32"/>
          <w:szCs w:val="28"/>
          <w:lang w:eastAsia="en-US"/>
        </w:rPr>
        <w:t>№</w:t>
      </w:r>
      <w:r>
        <w:rPr>
          <w:rFonts w:eastAsia="Calibri"/>
          <w:b/>
          <w:sz w:val="32"/>
          <w:szCs w:val="28"/>
          <w:lang w:val="ru-RU" w:eastAsia="en-US"/>
        </w:rPr>
        <w:t>3</w:t>
      </w:r>
    </w:p>
    <w:p>
      <w:pPr>
        <w:pStyle w:val="Normal"/>
        <w:jc w:val="center"/>
        <w:rPr>
          <w:b w:val="false"/>
          <w:bCs w:val="false"/>
        </w:rPr>
      </w:pPr>
      <w:r>
        <w:rPr>
          <w:rFonts w:eastAsia="Calibri"/>
          <w:b w:val="false"/>
          <w:bCs w:val="false"/>
          <w:sz w:val="28"/>
          <w:szCs w:val="28"/>
          <w:lang w:eastAsia="en-US"/>
        </w:rPr>
        <w:t xml:space="preserve">«Объектно-ориентированное программирование » </w:t>
      </w:r>
    </w:p>
    <w:p>
      <w:pPr>
        <w:pStyle w:val="Normal"/>
        <w:spacing w:lineRule="auto" w:line="276" w:before="0" w:after="200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по дисциплине: «Программирование» </w:t>
      </w:r>
    </w:p>
    <w:p>
      <w:pPr>
        <w:pStyle w:val="Normal"/>
        <w:tabs>
          <w:tab w:val="clear" w:pos="708"/>
          <w:tab w:val="left" w:pos="142" w:leader="none"/>
          <w:tab w:val="left" w:pos="6521" w:leader="none"/>
        </w:tabs>
        <w:spacing w:before="0"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tbl>
      <w:tblPr>
        <w:tblW w:w="9939" w:type="dxa"/>
        <w:jc w:val="start"/>
        <w:tblInd w:w="15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0" w:lastRow="0" w:firstColumn="0" w:lastColumn="0" w:noHBand="0" w:val="0000"/>
      </w:tblPr>
      <w:tblGrid>
        <w:gridCol w:w="4589"/>
        <w:gridCol w:w="5349"/>
      </w:tblGrid>
      <w:tr>
        <w:trPr/>
        <w:tc>
          <w:tcPr>
            <w:tcW w:w="4589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before="0" w:after="200"/>
              <w:rPr>
                <w:i/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Студент гр. </w:t>
            </w:r>
            <w:r>
              <w:rPr>
                <w:rFonts w:eastAsia="Calibri"/>
                <w:i/>
                <w:iCs/>
                <w:sz w:val="28"/>
                <w:szCs w:val="22"/>
                <w:lang w:eastAsia="en-US"/>
              </w:rPr>
              <w:t>«АБ-321», «АВТФ»</w:t>
            </w:r>
          </w:p>
          <w:p>
            <w:pPr>
              <w:pStyle w:val="Normal"/>
              <w:spacing w:before="0" w:after="200"/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</w:pPr>
            <w:r>
              <w:rPr>
                <w:i/>
                <w:iCs/>
                <w:sz w:val="28"/>
                <w:szCs w:val="28"/>
              </w:rPr>
              <w:t>Морозов Даниил Иванович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23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»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en-US" w:eastAsia="en-US"/>
              </w:rPr>
              <w:t>д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val="ru-RU" w:eastAsia="en-US"/>
              </w:rPr>
              <w:t xml:space="preserve">екабря </w:t>
            </w: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2024г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W w:w="5349" w:type="dxa"/>
            <w:tcBorders/>
          </w:tcPr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before="0" w:after="200"/>
              <w:rPr>
                <w:i/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Старший преподаватель кафедры ЗИ</w:t>
            </w:r>
          </w:p>
          <w:p>
            <w:pPr>
              <w:pStyle w:val="BodyText"/>
              <w:spacing w:before="0" w:after="200"/>
              <w:rPr>
                <w:rFonts w:ascii="Times New Roman" w:hAnsi="Times New Roman"/>
              </w:rPr>
            </w:pPr>
            <w:r>
              <w:rPr>
                <w:rFonts w:eastAsia="+mn-ea"/>
                <w:b w:val="false"/>
                <w:bCs w:val="false"/>
                <w:i/>
                <w:color w:val="000000"/>
                <w:kern w:val="2"/>
                <w:sz w:val="28"/>
                <w:szCs w:val="28"/>
                <w:lang w:eastAsia="en-US"/>
              </w:rPr>
              <w:t>Киселев Антон Анатольевич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rFonts w:eastAsia="+mn-ea"/>
                <w:color w:val="000000"/>
                <w:kern w:val="2"/>
                <w:sz w:val="28"/>
                <w:szCs w:val="22"/>
                <w:lang w:eastAsia="en-US"/>
              </w:rPr>
              <w:t>«___» ______ 2024г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(подпись)</w:t>
            </w:r>
          </w:p>
          <w:p>
            <w:pPr>
              <w:pStyle w:val="Normal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76" w:before="0" w:after="200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</w:r>
    </w:p>
    <w:p>
      <w:pPr>
        <w:pStyle w:val="Normal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Новосибирск 2024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sz w:val="28"/>
          <w:szCs w:val="28"/>
        </w:rPr>
        <w:t>Цели и задачи работы:</w:t>
      </w:r>
      <w:r>
        <w:rPr>
          <w:rStyle w:val="Strong"/>
          <w:b w:val="false"/>
          <w:bCs w:val="false"/>
          <w:sz w:val="28"/>
          <w:szCs w:val="28"/>
        </w:rPr>
        <w:t xml:space="preserve"> изучение основных принципов объектно- ориентированного программирования и основ юнит-тестирования.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sz w:val="28"/>
          <w:szCs w:val="28"/>
        </w:rPr>
        <w:t>Задание к работе:</w:t>
      </w:r>
      <w:r>
        <w:rPr>
          <w:rStyle w:val="Strong"/>
          <w:b w:val="false"/>
          <w:bCs w:val="false"/>
          <w:sz w:val="28"/>
          <w:szCs w:val="28"/>
        </w:rPr>
        <w:t xml:space="preserve"> Самостоятельно решить задачи в соответствии с индивидуальным вариантом.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sz w:val="28"/>
          <w:szCs w:val="28"/>
          <w:lang w:val="ru-RU"/>
        </w:rPr>
        <w:t>Задание 1.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 xml:space="preserve">Реализовать классы с базовым набором операций (private, public) на основе лабораторной работы 1 на одном из множества языков X ∈ {Rust, Go, C + +}: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 xml:space="preserve">Массив. Операции: добавление элемента (по индексу и в конец массива), получение элемента по индексу, удаление элемента по индексу, замена элемента по индексу, длина массива, чтение.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 xml:space="preserve">Список (односвязный, двусвязный). Операции: добавление элемента в голову и в хвост, удаление элемента с головы и с хвоста, удаление элемента по значению, поиск элемента по значению, чтение.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Очередь. Операции: добавление и удаление элемента (push и pop), чтение.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>Стек. Операции: добавление и удаление элемента (push и pop), чтение.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 xml:space="preserve">Хеш таблицы. Операции: предусмотреть работу с коллизиями добавление элемента (ключ-значение), получение значения элемента по ключу, удаление элемента по ключу. 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 xml:space="preserve">Деревья (Вариант 2 Сбалансированное двоичное дерево (АВЛ-дерево), вариант 3 Full Binary Tree). Операции: добавление элемента, поиск элемента, удаление элемента с сохранением структуры дерева, чтение.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sz w:val="28"/>
          <w:szCs w:val="28"/>
        </w:rPr>
        <w:t xml:space="preserve">Данные структуры данных были реализованы мною на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C++ </w:t>
      </w:r>
      <w:r>
        <w:rPr>
          <w:rStyle w:val="Strong"/>
          <w:b w:val="false"/>
          <w:bCs w:val="false"/>
          <w:sz w:val="28"/>
          <w:szCs w:val="28"/>
          <w:lang w:val="ru-RU"/>
        </w:rPr>
        <w:t>в двух предыдущих работах. Структуры данных шаблонные, определяются в соответствующих .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h </w:t>
      </w:r>
      <w:r>
        <w:rPr>
          <w:rStyle w:val="Strong"/>
          <w:b w:val="false"/>
          <w:bCs w:val="false"/>
          <w:sz w:val="28"/>
          <w:szCs w:val="28"/>
          <w:lang w:val="ru-RU"/>
        </w:rPr>
        <w:t>файлах, реализованы в .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tpp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файлах, хранятся в папке </w:t>
      </w:r>
      <w:r>
        <w:rPr>
          <w:rStyle w:val="Strong"/>
          <w:b w:val="false"/>
          <w:bCs w:val="false"/>
          <w:sz w:val="28"/>
          <w:szCs w:val="28"/>
          <w:lang w:val="en-US"/>
        </w:rPr>
        <w:t>libs.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9460" cy="3782060"/>
            <wp:effectExtent l="0" t="0" r="0" b="0"/>
            <wp:wrapTopAndBottom/>
            <wp:docPr id="2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Рис.1. Папка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libs, </w:t>
      </w:r>
      <w:r>
        <w:rPr>
          <w:rStyle w:val="Strong"/>
          <w:b w:val="false"/>
          <w:bCs w:val="false"/>
          <w:sz w:val="28"/>
          <w:szCs w:val="28"/>
          <w:lang w:val="ru-RU"/>
        </w:rPr>
        <w:t>реализации структур данных.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sz w:val="28"/>
          <w:szCs w:val="28"/>
          <w:lang w:val="ru-RU"/>
        </w:rPr>
        <w:t>Задание 2.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Реализовать класс с базовым набором операций (private, public) на основе лабораторной работы 1 на одном из множества языков Y ∈ {Rust, Go, C +}/𝑋. 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>Вариант 2 – Очередь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Мною была реализована очередь на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Go </w:t>
      </w:r>
      <w:r>
        <w:rPr>
          <w:rStyle w:val="Strong"/>
          <w:b w:val="false"/>
          <w:bCs w:val="false"/>
          <w:sz w:val="28"/>
          <w:szCs w:val="28"/>
          <w:lang w:val="ru-RU"/>
        </w:rPr>
        <w:t>в самом обычном варианте, она содержит однонаправленные узлы, удаление идёт с головы, вставка идёт в конец очереди.</w:t>
      </w:r>
    </w:p>
    <w:p>
      <w:pPr>
        <w:pStyle w:val="Normal"/>
        <w:spacing w:before="0" w:after="0"/>
        <w:ind w:hanging="0" w:start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5225" cy="4919345"/>
            <wp:effectExtent l="0" t="0" r="0" b="0"/>
            <wp:wrapTopAndBottom/>
            <wp:docPr id="3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225" cy="491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Рис.2. Реализация очереди в </w:t>
      </w:r>
      <w:r>
        <w:rPr>
          <w:lang w:val="en-US"/>
        </w:rPr>
        <w:t>go.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/>
          <w:bCs/>
          <w:sz w:val="28"/>
          <w:szCs w:val="28"/>
          <w:lang w:val="ru-RU"/>
        </w:rPr>
        <w:t>Задание 3.</w:t>
      </w:r>
    </w:p>
    <w:p>
      <w:pPr>
        <w:pStyle w:val="Normal"/>
        <w:spacing w:before="0" w:after="0"/>
        <w:ind w:firstLine="567" w:start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>Реализовать покрытие тестами (не менее 90%) в проектах 1 и 2. Benchmark использование обязательно.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С++: Boost Test Library &amp;&amp; Google test. Создать HTML-отчет о покрытии, который предоставляет визуальный анализ того, как много кода было протестировано. Обязательно использовать make файл. </w:t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Go: testing &amp;&amp; testify. Создать HTML-отчет о покрытии, который предоставляет визуальный анализ того, как много кода было протестировано. </w:t>
      </w:r>
    </w:p>
    <w:p>
      <w:pPr>
        <w:pStyle w:val="Normal"/>
        <w:spacing w:before="0" w:after="0"/>
        <w:ind w:firstLine="567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В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C++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очень просто подключить необходимые библиотеки при помощи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cmake,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просто нужно указать ссылки на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github </w:t>
      </w:r>
      <w:r>
        <w:rPr>
          <w:rStyle w:val="Strong"/>
          <w:b w:val="false"/>
          <w:bCs w:val="false"/>
          <w:sz w:val="28"/>
          <w:szCs w:val="28"/>
          <w:lang w:val="ru-RU"/>
        </w:rPr>
        <w:t>с необходимыми модулями связать их.</w:t>
      </w:r>
    </w:p>
    <w:p>
      <w:pPr>
        <w:pStyle w:val="Normal"/>
        <w:spacing w:before="0" w:after="0"/>
        <w:ind w:firstLine="567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В директории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C++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содержатся 3 папки: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google, boost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и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benchmark,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эти папки отвечают за гугл тесты, буст тесты и бенчмаркинг соответственно, в них расположены соответствующие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cpp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файлы тестов или замеров,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CmakeLists.txt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и папки </w:t>
      </w:r>
      <w:r>
        <w:rPr>
          <w:rStyle w:val="Strong"/>
          <w:b w:val="false"/>
          <w:bCs w:val="false"/>
          <w:sz w:val="28"/>
          <w:szCs w:val="28"/>
          <w:lang w:val="en-US"/>
        </w:rPr>
        <w:t>build</w:t>
      </w:r>
      <w:r>
        <w:rPr>
          <w:rStyle w:val="Strong"/>
          <w:b w:val="false"/>
          <w:bCs w:val="false"/>
          <w:sz w:val="28"/>
          <w:szCs w:val="28"/>
          <w:lang w:val="ru-RU"/>
        </w:rPr>
        <w:t>, в которых собирается проект.</w:t>
      </w:r>
    </w:p>
    <w:p>
      <w:pPr>
        <w:pStyle w:val="Normal"/>
        <w:spacing w:before="0" w:after="0"/>
        <w:ind w:firstLine="567"/>
        <w:jc w:val="both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Гугл тесты показались мне более удобными, потому что являются самостоятельной библиотекой без зависимостей, буст тесты же требуют рекурсивной установки зависимостей (я скачиваю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boost </w:t>
      </w:r>
      <w:r>
        <w:rPr>
          <w:rStyle w:val="Strong"/>
          <w:b w:val="false"/>
          <w:bCs w:val="false"/>
          <w:sz w:val="28"/>
          <w:szCs w:val="28"/>
          <w:lang w:val="ru-RU"/>
        </w:rPr>
        <w:t>целиком)</w:t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612265"/>
            <wp:effectExtent l="0" t="0" r="0" b="0"/>
            <wp:wrapSquare wrapText="largest"/>
            <wp:docPr id="4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61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Рис.3. Покрытие тестами </w:t>
      </w:r>
      <w:r>
        <w:rPr>
          <w:lang w:val="en-US"/>
        </w:rPr>
        <w:t xml:space="preserve">google test (serialization </w:t>
      </w:r>
      <w:r>
        <w:rPr>
          <w:lang w:val="ru-RU"/>
        </w:rPr>
        <w:t>не в счёт)</w:t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495425"/>
            <wp:effectExtent l="0" t="0" r="0" b="0"/>
            <wp:wrapSquare wrapText="largest"/>
            <wp:docPr id="5" name="Изображение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Рис.4. Покрытие тестами </w:t>
      </w:r>
      <w:r>
        <w:rPr>
          <w:lang w:val="en-US"/>
        </w:rPr>
        <w:t xml:space="preserve">boost test ( </w:t>
      </w:r>
      <w:r>
        <w:rPr>
          <w:lang w:val="ru-RU"/>
        </w:rPr>
        <w:t>до внедрения сериализации)</w:t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4085" cy="3658235"/>
            <wp:effectExtent l="0" t="0" r="0" b="0"/>
            <wp:wrapTopAndBottom/>
            <wp:docPr id="6" name="Изображение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3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3658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Рис.5. Бенчмаркинг </w:t>
      </w:r>
    </w:p>
    <w:p>
      <w:pPr>
        <w:pStyle w:val="Normal"/>
        <w:spacing w:before="0" w:after="0"/>
        <w:ind w:firstLine="567"/>
        <w:jc w:val="start"/>
        <w:rPr>
          <w:lang w:val="ru-RU"/>
        </w:rPr>
      </w:pPr>
      <w:r>
        <w:rPr>
          <w:lang w:val="ru-RU"/>
        </w:rPr>
        <w:t xml:space="preserve">В </w:t>
      </w:r>
      <w:r>
        <w:rPr>
          <w:lang w:val="en-US"/>
        </w:rPr>
        <w:t xml:space="preserve">Go </w:t>
      </w:r>
      <w:r>
        <w:rPr>
          <w:lang w:val="ru-RU"/>
        </w:rPr>
        <w:t xml:space="preserve">библиотека </w:t>
      </w:r>
      <w:r>
        <w:rPr>
          <w:lang w:val="en-US"/>
        </w:rPr>
        <w:t xml:space="preserve">testing </w:t>
      </w:r>
      <w:r>
        <w:rPr>
          <w:lang w:val="ru-RU"/>
        </w:rPr>
        <w:t xml:space="preserve">является встроенной, </w:t>
      </w:r>
      <w:r>
        <w:rPr>
          <w:lang w:val="en-US"/>
        </w:rPr>
        <w:t xml:space="preserve">testify </w:t>
      </w:r>
      <w:r>
        <w:rPr>
          <w:lang w:val="ru-RU"/>
        </w:rPr>
        <w:t xml:space="preserve">необходимо скачать с гитхаба. </w:t>
      </w:r>
      <w:r>
        <w:rPr>
          <w:lang w:val="en-US"/>
        </w:rPr>
        <w:t xml:space="preserve">Testing </w:t>
      </w:r>
      <w:r>
        <w:rPr>
          <w:lang w:val="ru-RU"/>
        </w:rPr>
        <w:t xml:space="preserve">обеспечивает минимальный функционал тестирования (функция вывода сообщения об ошибке, создание функций тестирования, бенчмаркинг), </w:t>
      </w:r>
      <w:r>
        <w:rPr>
          <w:lang w:val="en-US"/>
        </w:rPr>
        <w:t xml:space="preserve">testify </w:t>
      </w:r>
      <w:r>
        <w:rPr>
          <w:lang w:val="ru-RU"/>
        </w:rPr>
        <w:t xml:space="preserve">даёт более расширенный функционал тестирования, аналогичный тестам из </w:t>
      </w:r>
      <w:r>
        <w:rPr>
          <w:lang w:val="en-US"/>
        </w:rPr>
        <w:t xml:space="preserve">C++, </w:t>
      </w:r>
      <w:r>
        <w:rPr>
          <w:lang w:val="ru-RU"/>
        </w:rPr>
        <w:t>например утверждения и моки.</w:t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2680335"/>
            <wp:effectExtent l="0" t="0" r="0" b="0"/>
            <wp:wrapSquare wrapText="largest"/>
            <wp:docPr id="7" name="Изображение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680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Рис.6. Покрытие и бенчмаркинг</w:t>
      </w:r>
    </w:p>
    <w:p>
      <w:pPr>
        <w:pStyle w:val="Normal"/>
        <w:spacing w:before="0" w:after="0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6775" cy="6131560"/>
            <wp:effectExtent l="0" t="0" r="0" b="0"/>
            <wp:wrapSquare wrapText="largest"/>
            <wp:docPr id="8" name="Изображение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613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Рис.7. Отчёт о покрытии</w:t>
      </w:r>
    </w:p>
    <w:p>
      <w:pPr>
        <w:pStyle w:val="Normal"/>
        <w:spacing w:before="0" w:after="0"/>
        <w:ind w:firstLine="567" w:start="0"/>
        <w:rPr/>
      </w:pPr>
      <w:r>
        <w:rPr>
          <w:rStyle w:val="Strong"/>
          <w:b/>
          <w:bCs/>
          <w:sz w:val="28"/>
          <w:szCs w:val="28"/>
          <w:lang w:val="ru-RU"/>
        </w:rPr>
        <w:t>Задание 4.</w:t>
      </w:r>
    </w:p>
    <w:p>
      <w:pPr>
        <w:pStyle w:val="Normal"/>
        <w:spacing w:before="0" w:after="0"/>
        <w:ind w:firstLine="567" w:start="0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Выполнить сериализацию и десериализацию данных бинарного и текстового форматов для проектов 1 и 2 соответственно. </w:t>
      </w:r>
    </w:p>
    <w:p>
      <w:pPr>
        <w:pStyle w:val="Normal"/>
        <w:spacing w:before="0" w:after="0"/>
        <w:ind w:firstLine="567" w:start="0"/>
        <w:rPr/>
      </w:pPr>
      <w:r>
        <w:rPr>
          <w:rStyle w:val="Strong"/>
          <w:b w:val="false"/>
          <w:bCs w:val="false"/>
          <w:sz w:val="28"/>
          <w:szCs w:val="28"/>
          <w:lang w:val="ru-RU"/>
        </w:rPr>
        <w:t xml:space="preserve">В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go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сериализация упрощается использованием встроенных библиотек,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json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сереализация делается как оформление данных, когда как бинарная сериализация в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GOB 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формат (специальный бинарный формат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go) </w:t>
      </w:r>
      <w:r>
        <w:rPr>
          <w:rStyle w:val="Strong"/>
          <w:b w:val="false"/>
          <w:bCs w:val="false"/>
          <w:sz w:val="28"/>
          <w:szCs w:val="28"/>
          <w:lang w:val="ru-RU"/>
        </w:rPr>
        <w:t>полностью записывает структуру.</w:t>
      </w:r>
    </w:p>
    <w:p>
      <w:pPr>
        <w:pStyle w:val="Normal"/>
        <w:spacing w:before="0" w:after="0"/>
        <w:ind w:hanging="0" w:start="0"/>
        <w:jc w:val="center"/>
        <w:rPr>
          <w:rStyle w:val="Strong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738630"/>
            <wp:effectExtent l="0" t="0" r="0" b="0"/>
            <wp:wrapSquare wrapText="largest"/>
            <wp:docPr id="9" name="Изображение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738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sz w:val="28"/>
          <w:szCs w:val="28"/>
          <w:lang w:val="ru-RU"/>
        </w:rPr>
        <w:t>Рис.10. Сереализация очереди.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1229995"/>
            <wp:effectExtent l="0" t="0" r="0" b="0"/>
            <wp:wrapSquare wrapText="largest"/>
            <wp:docPr id="10" name="Изображение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29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Рис.11. Очередь в </w:t>
      </w:r>
      <w:r>
        <w:rPr>
          <w:b w:val="false"/>
          <w:bCs w:val="false"/>
          <w:sz w:val="28"/>
          <w:szCs w:val="28"/>
          <w:lang w:val="en-US"/>
        </w:rPr>
        <w:t xml:space="preserve">GoB </w:t>
      </w:r>
      <w:r>
        <w:rPr>
          <w:b w:val="false"/>
          <w:bCs w:val="false"/>
          <w:sz w:val="28"/>
          <w:szCs w:val="28"/>
          <w:lang w:val="ru-RU"/>
        </w:rPr>
        <w:t>формате.</w:t>
      </w:r>
    </w:p>
    <w:p>
      <w:pPr>
        <w:pStyle w:val="Normal"/>
        <w:spacing w:before="0" w:after="0"/>
        <w:ind w:firstLine="567" w:start="0"/>
        <w:rPr/>
      </w:pPr>
      <w:r>
        <w:rPr>
          <w:rStyle w:val="Strong"/>
          <w:b/>
          <w:bCs/>
          <w:sz w:val="28"/>
          <w:szCs w:val="28"/>
          <w:lang w:val="ru-RU"/>
        </w:rPr>
        <w:t>Задание 5.</w:t>
      </w:r>
    </w:p>
    <w:p>
      <w:pPr>
        <w:pStyle w:val="Normal"/>
        <w:spacing w:before="0" w:after="0"/>
        <w:ind w:firstLine="567" w:start="0"/>
        <w:rPr>
          <w:rStyle w:val="Strong"/>
          <w:b w:val="false"/>
          <w:bCs w:val="false"/>
          <w:sz w:val="28"/>
          <w:szCs w:val="28"/>
          <w:lang w:val="ru-RU"/>
        </w:rPr>
      </w:pPr>
      <w:r>
        <w:rPr>
          <w:rStyle w:val="Strong"/>
          <w:b w:val="false"/>
          <w:bCs w:val="false"/>
          <w:sz w:val="28"/>
          <w:szCs w:val="28"/>
          <w:lang w:val="ru-RU"/>
        </w:rPr>
        <w:t>В отчете представить UML диаграммы.</w:t>
      </w:r>
    </w:p>
    <w:p>
      <w:pPr>
        <w:pStyle w:val="Normal"/>
        <w:spacing w:before="0" w:after="0"/>
        <w:ind w:firstLine="567" w:start="0"/>
        <w:jc w:val="center"/>
        <w:rPr>
          <w:rStyle w:val="Strong"/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57600"/>
            <wp:effectExtent l="0" t="0" r="0" b="0"/>
            <wp:wrapTopAndBottom/>
            <wp:docPr id="1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b w:val="false"/>
          <w:bCs w:val="false"/>
          <w:sz w:val="28"/>
          <w:szCs w:val="28"/>
          <w:lang w:val="ru-RU"/>
        </w:rPr>
        <w:t>Рис.</w:t>
      </w:r>
      <w:r>
        <w:rPr>
          <w:rStyle w:val="Strong"/>
          <w:b w:val="false"/>
          <w:bCs w:val="false"/>
          <w:sz w:val="28"/>
          <w:szCs w:val="28"/>
          <w:lang w:val="ru-RU"/>
        </w:rPr>
        <w:t>12.</w:t>
      </w:r>
      <w:r>
        <w:rPr>
          <w:rStyle w:val="Strong"/>
          <w:b w:val="false"/>
          <w:bCs w:val="false"/>
          <w:sz w:val="28"/>
          <w:szCs w:val="28"/>
          <w:lang w:val="ru-RU"/>
        </w:rPr>
        <w:t xml:space="preserve"> </w:t>
      </w:r>
      <w:r>
        <w:rPr>
          <w:rStyle w:val="Strong"/>
          <w:b w:val="false"/>
          <w:bCs w:val="false"/>
          <w:sz w:val="28"/>
          <w:szCs w:val="28"/>
          <w:lang w:val="en-US"/>
        </w:rPr>
        <w:t xml:space="preserve">UML </w:t>
      </w:r>
      <w:r>
        <w:rPr>
          <w:rStyle w:val="Strong"/>
          <w:b w:val="false"/>
          <w:bCs w:val="false"/>
          <w:sz w:val="28"/>
          <w:szCs w:val="28"/>
          <w:lang w:val="ru-RU"/>
        </w:rPr>
        <w:t>диаграмма динамического массива.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534410"/>
            <wp:effectExtent l="0" t="0" r="0" b="0"/>
            <wp:wrapTopAndBottom/>
            <wp:docPr id="1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53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Рис.</w:t>
      </w:r>
      <w:r>
        <w:rPr>
          <w:b w:val="false"/>
          <w:bCs w:val="false"/>
          <w:sz w:val="28"/>
          <w:szCs w:val="28"/>
          <w:lang w:val="ru-RU"/>
        </w:rPr>
        <w:t>13.</w:t>
      </w: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en-US"/>
        </w:rPr>
        <w:t xml:space="preserve">UML </w:t>
      </w:r>
      <w:r>
        <w:rPr>
          <w:b w:val="false"/>
          <w:bCs w:val="false"/>
          <w:sz w:val="28"/>
          <w:szCs w:val="28"/>
          <w:lang w:val="ru-RU"/>
        </w:rPr>
        <w:t>диаграмма односвязного списка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18865"/>
            <wp:effectExtent l="0" t="0" r="0" b="0"/>
            <wp:wrapTopAndBottom/>
            <wp:docPr id="1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1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Рис.14. </w:t>
      </w:r>
      <w:r>
        <w:rPr>
          <w:b w:val="false"/>
          <w:bCs w:val="false"/>
          <w:sz w:val="28"/>
          <w:szCs w:val="28"/>
          <w:lang w:val="en-US"/>
        </w:rPr>
        <w:t xml:space="preserve">UML </w:t>
      </w:r>
      <w:r>
        <w:rPr>
          <w:b w:val="false"/>
          <w:bCs w:val="false"/>
          <w:sz w:val="28"/>
          <w:szCs w:val="28"/>
          <w:lang w:val="ru-RU"/>
        </w:rPr>
        <w:t>двусвязного списка</w:t>
      </w:r>
    </w:p>
    <w:p>
      <w:pPr>
        <w:pStyle w:val="Normal"/>
        <w:spacing w:before="0" w:after="0"/>
        <w:ind w:hanging="0" w:start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9800" cy="5106670"/>
            <wp:effectExtent l="0" t="0" r="0" b="0"/>
            <wp:wrapSquare wrapText="largest"/>
            <wp:docPr id="1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510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Рис.15.</w:t>
      </w:r>
      <w:r>
        <w:rPr>
          <w:b w:val="false"/>
          <w:bCs w:val="false"/>
          <w:sz w:val="28"/>
          <w:szCs w:val="28"/>
          <w:lang w:val="en-US"/>
        </w:rPr>
        <w:t xml:space="preserve">UML </w:t>
      </w:r>
      <w:r>
        <w:rPr>
          <w:b w:val="false"/>
          <w:bCs w:val="false"/>
          <w:sz w:val="28"/>
          <w:szCs w:val="28"/>
          <w:lang w:val="ru-RU"/>
        </w:rPr>
        <w:t>Стека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5461000"/>
            <wp:effectExtent l="0" t="0" r="0" b="0"/>
            <wp:wrapTopAndBottom/>
            <wp:docPr id="1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46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Рис.16.</w:t>
      </w:r>
      <w:r>
        <w:rPr>
          <w:b w:val="false"/>
          <w:bCs w:val="false"/>
          <w:sz w:val="28"/>
          <w:szCs w:val="28"/>
          <w:lang w:val="en-US"/>
        </w:rPr>
        <w:t xml:space="preserve">UML </w:t>
      </w:r>
      <w:r>
        <w:rPr>
          <w:b w:val="false"/>
          <w:bCs w:val="false"/>
          <w:sz w:val="28"/>
          <w:szCs w:val="28"/>
          <w:lang w:val="ru-RU"/>
        </w:rPr>
        <w:t>очереди</w:t>
      </w:r>
    </w:p>
    <w:p>
      <w:pPr>
        <w:pStyle w:val="Normal"/>
        <w:spacing w:before="0" w:after="0"/>
        <w:ind w:hanging="0" w:start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6240145"/>
            <wp:effectExtent l="0" t="0" r="0" b="0"/>
            <wp:wrapSquare wrapText="largest"/>
            <wp:docPr id="1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6240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 xml:space="preserve">Рис.17. </w:t>
      </w:r>
      <w:r>
        <w:rPr>
          <w:b w:val="false"/>
          <w:bCs w:val="false"/>
          <w:sz w:val="28"/>
          <w:szCs w:val="28"/>
          <w:lang w:val="en-US"/>
        </w:rPr>
        <w:t xml:space="preserve">UML </w:t>
      </w:r>
      <w:r>
        <w:rPr>
          <w:b w:val="false"/>
          <w:bCs w:val="false"/>
          <w:sz w:val="28"/>
          <w:szCs w:val="28"/>
          <w:lang w:val="ru-RU"/>
        </w:rPr>
        <w:t>дерева</w:t>
      </w:r>
    </w:p>
    <w:p>
      <w:pPr>
        <w:pStyle w:val="Normal"/>
        <w:spacing w:before="0" w:after="0"/>
        <w:ind w:hanging="0" w:start="0"/>
        <w:jc w:val="center"/>
        <w:rPr>
          <w:b w:val="false"/>
          <w:bCs w:val="false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4336415"/>
            <wp:effectExtent l="0" t="0" r="0" b="0"/>
            <wp:wrapSquare wrapText="largest"/>
            <wp:docPr id="17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336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 xml:space="preserve">Рис.18. </w:t>
      </w:r>
      <w:r>
        <w:rPr>
          <w:b w:val="false"/>
          <w:bCs w:val="false"/>
          <w:sz w:val="28"/>
          <w:szCs w:val="28"/>
          <w:lang w:val="en-US"/>
        </w:rPr>
        <w:t xml:space="preserve">UML </w:t>
      </w:r>
      <w:r>
        <w:rPr>
          <w:b w:val="false"/>
          <w:bCs w:val="false"/>
          <w:sz w:val="28"/>
          <w:szCs w:val="28"/>
          <w:lang w:val="ru-RU"/>
        </w:rPr>
        <w:t>хеш-таблицы</w:t>
      </w:r>
    </w:p>
    <w:p>
      <w:pPr>
        <w:pStyle w:val="Normal"/>
        <w:spacing w:before="0" w:after="0"/>
        <w:ind w:hanging="0" w:start="0"/>
        <w:jc w:val="start"/>
        <w:rPr>
          <w:b/>
          <w:bCs/>
        </w:rPr>
      </w:pPr>
      <w:r>
        <w:rPr>
          <w:b/>
          <w:bCs/>
        </w:rPr>
        <w:t>Задание 6.</w:t>
      </w:r>
    </w:p>
    <w:p>
      <w:pPr>
        <w:pStyle w:val="Normal"/>
        <w:spacing w:before="0" w:after="0"/>
        <w:ind w:hanging="0" w:start="0"/>
        <w:jc w:val="start"/>
        <w:rPr>
          <w:b w:val="false"/>
          <w:bCs w:val="false"/>
        </w:rPr>
      </w:pPr>
      <w:r>
        <w:rPr>
          <w:b w:val="false"/>
          <w:bCs w:val="false"/>
        </w:rPr>
        <w:t>фвфвф</w:t>
      </w:r>
    </w:p>
    <w:sectPr>
      <w:footerReference w:type="even" r:id="rId19"/>
      <w:footerReference w:type="default" r:id="rId20"/>
      <w:footerReference w:type="first" r:id="rId21"/>
      <w:type w:val="nextPage"/>
      <w:pgSz w:w="11906" w:h="16838"/>
      <w:pgMar w:left="1134" w:right="567" w:gutter="0" w:header="0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Symbol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Tahoma">
    <w:charset w:val="cc" w:characterSet="windows-1251"/>
    <w:family w:val="roman"/>
    <w:pitch w:val="variable"/>
  </w:font>
  <w:font w:name="Courier New"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lang w:val="en-US"/>
      </w:rPr>
    </w:pPr>
    <w:r>
      <w:rPr>
        <w:lang w:val="en-US"/>
      </w:rPr>
    </w:r>
  </w:p>
  <w:p>
    <w:pPr>
      <w:pStyle w:val="Footer"/>
      <w:rPr>
        <w:lang w:val="en-US"/>
      </w:rPr>
    </w:pPr>
    <w:r>
      <w:rPr>
        <w:lang w:val="en-US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36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Heading1">
    <w:name w:val="heading 1"/>
    <w:basedOn w:val="Style18"/>
    <w:next w:val="BodyText"/>
    <w:qFormat/>
    <w:pPr>
      <w:outlineLvl w:val="0"/>
    </w:pPr>
    <w:rPr>
      <w:rFonts w:ascii="Liberation Serif" w:hAnsi="Liberation Serif" w:eastAsia="NSimSun"/>
      <w:b/>
      <w:bCs/>
      <w:sz w:val="48"/>
      <w:szCs w:val="48"/>
    </w:rPr>
  </w:style>
  <w:style w:type="paragraph" w:styleId="Heading2">
    <w:name w:val="heading 2"/>
    <w:basedOn w:val="Style18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2z0" w:customStyle="1">
    <w:name w:val="WW8Num2z0"/>
    <w:qFormat/>
    <w:rPr>
      <w:rFonts w:ascii="Symbol" w:hAnsi="Symbol" w:cs="OpenSymbol;Arial Unicode MS"/>
    </w:rPr>
  </w:style>
  <w:style w:type="character" w:styleId="WW8Num2z1" w:customStyle="1">
    <w:name w:val="WW8Num2z1"/>
    <w:qFormat/>
    <w:rPr>
      <w:rFonts w:ascii="OpenSymbol;Arial Unicode MS" w:hAnsi="OpenSymbol;Arial Unicode MS" w:cs="OpenSymbol;Arial Unicode MS"/>
    </w:rPr>
  </w:style>
  <w:style w:type="character" w:styleId="WW8Num5z0" w:customStyle="1">
    <w:name w:val="WW8Num5z0"/>
    <w:qFormat/>
    <w:rPr>
      <w:rFonts w:ascii="Symbol" w:hAnsi="Symbol" w:cs="OpenSymbol;Arial Unicode MS"/>
    </w:rPr>
  </w:style>
  <w:style w:type="character" w:styleId="WW8Num5z1" w:customStyle="1">
    <w:name w:val="WW8Num5z1"/>
    <w:qFormat/>
    <w:rPr>
      <w:rFonts w:ascii="OpenSymbol;Arial Unicode MS" w:hAnsi="OpenSymbol;Arial Unicode MS" w:cs="OpenSymbol;Arial Unicode MS"/>
    </w:rPr>
  </w:style>
  <w:style w:type="character" w:styleId="WW8Num1z1" w:customStyle="1">
    <w:name w:val="WW8Num1z1"/>
    <w:qFormat/>
    <w:rPr>
      <w:rFonts w:cs="Times New Roman"/>
    </w:rPr>
  </w:style>
  <w:style w:type="character" w:styleId="Style12" w:customStyle="1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3" w:customStyle="1">
    <w:name w:val="Текст Знак"/>
    <w:qFormat/>
    <w:rPr>
      <w:rFonts w:ascii="Courier New" w:hAnsi="Courier New" w:cs="Courier New"/>
    </w:rPr>
  </w:style>
  <w:style w:type="character" w:styleId="Style14" w:customStyle="1">
    <w:name w:val="Верхний колонтитул Знак"/>
    <w:qFormat/>
    <w:rPr>
      <w:sz w:val="24"/>
      <w:szCs w:val="24"/>
    </w:rPr>
  </w:style>
  <w:style w:type="character" w:styleId="Style15" w:customStyle="1">
    <w:name w:val="Нижний колонтитул Знак"/>
    <w:qFormat/>
    <w:rPr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6" w:customStyle="1">
    <w:name w:val="Маркеры"/>
    <w:qFormat/>
    <w:rPr>
      <w:rFonts w:ascii="OpenSymbol;Arial Unicode MS" w:hAnsi="OpenSymbol;Arial Unicode MS" w:eastAsia="OpenSymbol;Arial Unicode MS" w:cs="OpenSymbol;Arial Unicode MS"/>
    </w:rPr>
  </w:style>
  <w:style w:type="character" w:styleId="Style17" w:customStyle="1">
    <w:name w:val="Символ нумерации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18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" w:customStyle="1">
    <w:name w:val="Caption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" w:customStyle="1">
    <w:name w:val="Caption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" w:customStyle="1">
    <w:name w:val="Caption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" w:customStyle="1">
    <w:name w:val="Caption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" w:customStyle="1">
    <w:name w:val="Caption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ption11111111" w:customStyle="1">
    <w:name w:val="Caption1111111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0" w:customStyle="1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1" w:customStyle="1">
    <w:name w:val="Содержимое врезки"/>
    <w:basedOn w:val="Normal"/>
    <w:qFormat/>
    <w:pPr/>
    <w:rPr/>
  </w:style>
  <w:style w:type="paragraph" w:styleId="Style22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Title">
    <w:name w:val="Title"/>
    <w:basedOn w:val="Style18"/>
    <w:next w:val="BodyText"/>
    <w:qFormat/>
    <w:pPr>
      <w:jc w:val="center"/>
    </w:pPr>
    <w:rPr>
      <w:b/>
      <w:bCs/>
      <w:sz w:val="56"/>
      <w:szCs w:val="56"/>
    </w:rPr>
  </w:style>
  <w:style w:type="numbering" w:styleId="Style24" w:default="1">
    <w:name w:val="Без списка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numbering" w:styleId="WW8Num6" w:customStyle="1">
    <w:name w:val="WW8Num6"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footer" Target="footer2.xml"/><Relationship Id="rId21" Type="http://schemas.openxmlformats.org/officeDocument/2006/relationships/footer" Target="footer3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Application>LibreOffice/24.8.4.2$Windows_X86_64 LibreOffice_project/bb3cfa12c7b1bf994ecc5649a80400d06cd71002</Application>
  <AppVersion>15.0000</AppVersion>
  <Pages>11</Pages>
  <Words>619</Words>
  <Characters>4147</Characters>
  <CharactersWithSpaces>4706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2018-09-19T18:07:00Z</dcterms:created>
  <dc:creator>PM1</dc:creator>
  <dc:description/>
  <dc:language>ru-RU</dc:language>
  <cp:lastModifiedBy/>
  <cp:lastPrinted>2010-10-28T10:01:00Z</cp:lastPrinted>
  <dcterms:modified xsi:type="dcterms:W3CDTF">2025-02-20T19:08:18Z</dcterms:modified>
  <cp:revision>54</cp:revision>
  <dc:subject/>
  <dc:title>Министерство образования и науки Российской Федерации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