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before="96" w:after="0"/>
        <w:ind w:hanging="547" w:start="547"/>
        <w:jc w:val="center"/>
        <w:rPr>
          <w:rFonts w:eastAsia="+mn-ea"/>
          <w:color w:val="000000"/>
          <w:kern w:val="2"/>
        </w:rPr>
      </w:pPr>
      <w:r>
        <w:rPr>
          <w:rFonts w:eastAsia="+mn-ea"/>
          <w:color w:val="000000"/>
          <w:kern w:val="2"/>
        </w:rPr>
        <w:t>МИНИСТЕРСТВО НАУКИ И ВЫСШЕГО ОБРАЗОВАНИЯ РОССИЙСКОЙ ФЕДЕРАЦИИ</w:t>
      </w:r>
    </w:p>
    <w:p>
      <w:pPr>
        <w:pStyle w:val="Normal"/>
        <w:spacing w:before="96" w:after="0"/>
        <w:ind w:hanging="547" w:start="547"/>
        <w:jc w:val="center"/>
        <w:rPr/>
      </w:pPr>
      <w:r>
        <w:rPr/>
      </w:r>
    </w:p>
    <w:p>
      <w:pPr>
        <w:pStyle w:val="Normal"/>
        <w:spacing w:before="96" w:after="0"/>
        <w:ind w:hanging="547" w:start="547"/>
        <w:jc w:val="center"/>
        <w:rPr>
          <w:rFonts w:eastAsia="+mn-ea"/>
          <w:caps/>
          <w:color w:val="000000"/>
          <w:kern w:val="2"/>
        </w:rPr>
      </w:pPr>
      <w:r>
        <w:rPr>
          <w:rFonts w:eastAsia="+mn-ea"/>
          <w:caps/>
          <w:color w:val="000000"/>
          <w:kern w:val="2"/>
        </w:rPr>
        <w:t xml:space="preserve">ФЕДЕРАЛЬНОЕ государственное БЮДЖЕТНОЕ </w:t>
      </w:r>
    </w:p>
    <w:p>
      <w:pPr>
        <w:pStyle w:val="Normal"/>
        <w:spacing w:before="96" w:after="0"/>
        <w:ind w:hanging="547" w:start="547"/>
        <w:jc w:val="center"/>
        <w:rPr>
          <w:rFonts w:eastAsia="+mn-ea"/>
          <w:caps/>
          <w:color w:val="000000"/>
          <w:kern w:val="2"/>
        </w:rPr>
      </w:pPr>
      <w:r>
        <w:rPr>
          <w:rFonts w:eastAsia="+mn-ea"/>
          <w:caps/>
          <w:color w:val="000000"/>
          <w:kern w:val="2"/>
        </w:rPr>
        <w:t>образовательное учреждение</w:t>
      </w:r>
    </w:p>
    <w:p>
      <w:pPr>
        <w:pStyle w:val="Normal"/>
        <w:spacing w:before="96" w:after="0"/>
        <w:ind w:hanging="547" w:start="547"/>
        <w:jc w:val="center"/>
        <w:rPr>
          <w:rFonts w:eastAsia="+mn-ea"/>
          <w:bCs/>
          <w:color w:val="000000"/>
          <w:kern w:val="2"/>
        </w:rPr>
      </w:pPr>
      <w:r>
        <w:rPr>
          <w:rFonts w:eastAsia="+mn-ea"/>
          <w:caps/>
          <w:color w:val="000000"/>
          <w:kern w:val="2"/>
        </w:rPr>
        <w:t>высшего образования</w:t>
      </w:r>
    </w:p>
    <w:p>
      <w:pPr>
        <w:pStyle w:val="Normal"/>
        <w:spacing w:before="96" w:after="0"/>
        <w:ind w:hanging="547" w:start="547"/>
        <w:jc w:val="center"/>
        <w:rPr>
          <w:rFonts w:eastAsia="+mn-ea"/>
          <w:color w:val="000000"/>
          <w:kern w:val="2"/>
          <w:sz w:val="28"/>
          <w:szCs w:val="28"/>
        </w:rPr>
      </w:pPr>
      <w:r>
        <w:rPr>
          <w:rFonts w:eastAsia="+mn-ea"/>
          <w:bCs/>
          <w:color w:val="000000"/>
          <w:kern w:val="2"/>
        </w:rPr>
        <w:t>«НОВОСИБИРСКИЙ ГОСУДАРСТВЕННЫЙ ТЕХНИЧЕСКИЙ УНИВЕРСИТЕТ»</w:t>
      </w:r>
    </w:p>
    <w:p>
      <w:pPr>
        <w:pStyle w:val="Normal"/>
        <w:spacing w:before="96" w:after="0"/>
        <w:ind w:hanging="547" w:start="547"/>
        <w:jc w:val="center"/>
        <w:rPr>
          <w:rFonts w:eastAsia="+mn-ea"/>
          <w:color w:val="000000"/>
          <w:kern w:val="2"/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_________________________________________________________________</w:t>
      </w:r>
    </w:p>
    <w:p>
      <w:pPr>
        <w:pStyle w:val="Normal"/>
        <w:spacing w:before="96" w:after="0"/>
        <w:ind w:hanging="547" w:start="547"/>
        <w:jc w:val="center"/>
        <w:rPr>
          <w:rFonts w:eastAsia="+mn-ea"/>
          <w:color w:val="000000"/>
          <w:kern w:val="2"/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</w:r>
    </w:p>
    <w:p>
      <w:pPr>
        <w:pStyle w:val="Normal"/>
        <w:spacing w:before="96" w:after="0"/>
        <w:ind w:hanging="547" w:start="547"/>
        <w:jc w:val="center"/>
        <w:rPr>
          <w:rFonts w:eastAsia="Calibri"/>
          <w:i/>
          <w:i/>
          <w:sz w:val="28"/>
          <w:szCs w:val="22"/>
          <w:lang w:eastAsia="en-US"/>
        </w:rPr>
      </w:pPr>
      <w:r>
        <w:rPr>
          <w:rFonts w:eastAsia="+mn-ea"/>
          <w:color w:val="000000"/>
          <w:kern w:val="2"/>
          <w:sz w:val="28"/>
          <w:szCs w:val="28"/>
        </w:rPr>
        <w:t>Кафедра защиты информации</w:t>
      </w:r>
    </w:p>
    <w:p>
      <w:pPr>
        <w:pStyle w:val="Normal"/>
        <w:spacing w:lineRule="auto" w:line="276" w:before="0" w:after="200"/>
        <w:jc w:val="both"/>
        <w:rPr>
          <w:rFonts w:eastAsia="Calibri"/>
          <w:i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/>
          <w:i/>
          <w:i/>
          <w:sz w:val="28"/>
          <w:szCs w:val="22"/>
          <w:lang w:eastAsia="en-US"/>
        </w:rPr>
      </w:pPr>
      <w:r>
        <w:rPr/>
        <w:drawing>
          <wp:inline distT="0" distB="0" distL="0" distR="0">
            <wp:extent cx="2709545" cy="926465"/>
            <wp:effectExtent l="0" t="0" r="0" b="0"/>
            <wp:docPr id="1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2" t="-93" r="-32" b="-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jc w:val="both"/>
        <w:rPr>
          <w:rFonts w:eastAsia="Calibri"/>
          <w:i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</w:r>
    </w:p>
    <w:p>
      <w:pPr>
        <w:pStyle w:val="Normal"/>
        <w:spacing w:lineRule="auto" w:line="276" w:before="0" w:after="0"/>
        <w:jc w:val="center"/>
        <w:rPr/>
      </w:pPr>
      <w:r>
        <w:rPr>
          <w:rFonts w:eastAsia="Calibri"/>
          <w:b/>
          <w:sz w:val="32"/>
          <w:szCs w:val="28"/>
          <w:lang w:eastAsia="en-US"/>
        </w:rPr>
        <w:t xml:space="preserve">ЛАБОРАТОРНАЯ РАБОТА </w:t>
      </w:r>
      <w:r>
        <w:rPr>
          <w:rFonts w:eastAsia="Calibri"/>
          <w:b/>
          <w:sz w:val="32"/>
          <w:szCs w:val="28"/>
          <w:lang w:val="ru-RU" w:eastAsia="en-US"/>
        </w:rPr>
        <w:t>№4</w:t>
      </w:r>
    </w:p>
    <w:p>
      <w:pPr>
        <w:pStyle w:val="Normal"/>
        <w:spacing w:lineRule="auto" w:line="276" w:before="0" w:after="0"/>
        <w:jc w:val="center"/>
        <w:rPr>
          <w:rFonts w:eastAsia="Calibri"/>
          <w:b/>
          <w:sz w:val="32"/>
          <w:szCs w:val="28"/>
          <w:lang w:val="en-US" w:eastAsia="en-US"/>
        </w:rPr>
      </w:pPr>
      <w:r>
        <w:rPr>
          <w:rFonts w:eastAsia="Calibri"/>
          <w:b/>
          <w:sz w:val="32"/>
          <w:szCs w:val="28"/>
          <w:lang w:val="en-US" w:eastAsia="en-US"/>
        </w:rPr>
      </w:r>
    </w:p>
    <w:p>
      <w:pPr>
        <w:pStyle w:val="Normal"/>
        <w:spacing w:lineRule="auto" w:line="276" w:before="0" w:after="0"/>
        <w:jc w:val="center"/>
        <w:rPr>
          <w:b w:val="false"/>
          <w:bCs w:val="false"/>
        </w:rPr>
      </w:pPr>
      <w:r>
        <w:rPr>
          <w:rFonts w:eastAsia="Calibri"/>
          <w:b w:val="false"/>
          <w:bCs w:val="false"/>
          <w:sz w:val="28"/>
          <w:szCs w:val="28"/>
          <w:lang w:eastAsia="en-US"/>
        </w:rPr>
        <w:t>«</w:t>
      </w:r>
      <w:r>
        <w:rPr>
          <w:rFonts w:eastAsia="Calibri"/>
          <w:b w:val="false"/>
          <w:bCs w:val="false"/>
          <w:sz w:val="28"/>
          <w:szCs w:val="28"/>
          <w:lang w:val="en-US" w:eastAsia="en-US"/>
        </w:rPr>
        <w:t>Многопоточность</w:t>
      </w:r>
      <w:r>
        <w:rPr>
          <w:rFonts w:eastAsia="Calibri"/>
          <w:b w:val="false"/>
          <w:bCs w:val="false"/>
          <w:sz w:val="28"/>
          <w:szCs w:val="28"/>
          <w:lang w:eastAsia="en-US"/>
        </w:rPr>
        <w:t>»</w:t>
      </w:r>
    </w:p>
    <w:p>
      <w:pPr>
        <w:pStyle w:val="Normal"/>
        <w:spacing w:lineRule="auto" w:line="276" w:before="0" w:after="0"/>
        <w:jc w:val="center"/>
        <w:rPr/>
      </w:pPr>
      <w:r>
        <w:rPr>
          <w:rFonts w:eastAsia="Calibri"/>
          <w:b/>
          <w:sz w:val="28"/>
          <w:szCs w:val="28"/>
          <w:lang w:eastAsia="en-US"/>
        </w:rPr>
        <w:t xml:space="preserve">по дисциплине: « </w:t>
      </w:r>
      <w:r>
        <w:rPr>
          <w:rFonts w:eastAsia="Calibri"/>
          <w:b/>
          <w:sz w:val="28"/>
          <w:szCs w:val="28"/>
          <w:lang w:val="ru-RU" w:eastAsia="en-US"/>
        </w:rPr>
        <w:t xml:space="preserve">Программирование </w:t>
      </w:r>
      <w:r>
        <w:rPr>
          <w:rFonts w:eastAsia="Calibri"/>
          <w:b/>
          <w:sz w:val="28"/>
          <w:szCs w:val="28"/>
          <w:lang w:eastAsia="en-US"/>
        </w:rPr>
        <w:t xml:space="preserve">» </w:t>
      </w:r>
    </w:p>
    <w:p>
      <w:pPr>
        <w:pStyle w:val="Normal"/>
        <w:tabs>
          <w:tab w:val="clear" w:pos="708"/>
          <w:tab w:val="left" w:pos="142" w:leader="none"/>
          <w:tab w:val="left" w:pos="6521" w:leader="none"/>
        </w:tabs>
        <w:spacing w:before="0" w:after="200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</w:r>
    </w:p>
    <w:tbl>
      <w:tblPr>
        <w:tblW w:w="9989" w:type="dxa"/>
        <w:jc w:val="start"/>
        <w:tblInd w:w="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40"/>
        <w:gridCol w:w="5348"/>
      </w:tblGrid>
      <w:tr>
        <w:trPr/>
        <w:tc>
          <w:tcPr>
            <w:tcW w:w="4640" w:type="dxa"/>
            <w:tcBorders/>
          </w:tcPr>
          <w:p>
            <w:pPr>
              <w:pStyle w:val="Normal"/>
              <w:spacing w:before="0" w:after="200"/>
              <w:rPr>
                <w:i/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>
            <w:pPr>
              <w:pStyle w:val="Normal"/>
              <w:spacing w:before="0" w:after="200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Студент гр. </w:t>
            </w:r>
            <w:r>
              <w:rPr>
                <w:rFonts w:eastAsia="Calibri"/>
                <w:i/>
                <w:iCs/>
                <w:sz w:val="28"/>
                <w:szCs w:val="22"/>
                <w:lang w:eastAsia="en-US"/>
              </w:rPr>
              <w:t>«АБ-321», «АВТФ»</w:t>
            </w:r>
          </w:p>
          <w:p>
            <w:pPr>
              <w:pStyle w:val="Normal"/>
              <w:spacing w:before="0" w:after="200"/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</w:pPr>
            <w:r>
              <w:rPr>
                <w:i/>
                <w:iCs/>
                <w:sz w:val="28"/>
                <w:szCs w:val="28"/>
              </w:rPr>
              <w:t>Морозов Даниил Иванович</w:t>
            </w:r>
          </w:p>
          <w:p>
            <w:pPr>
              <w:pStyle w:val="Normal"/>
              <w:spacing w:before="0" w:after="200"/>
              <w:rPr>
                <w:sz w:val="28"/>
                <w:szCs w:val="28"/>
              </w:rPr>
            </w:pP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«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val="en-US" w:eastAsia="en-US"/>
              </w:rPr>
              <w:t>21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»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val="ru-RU" w:eastAsia="en-US"/>
              </w:rPr>
              <w:t xml:space="preserve"> 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val="en-US" w:eastAsia="en-US"/>
              </w:rPr>
              <w:t>ф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val="ru-RU" w:eastAsia="en-US"/>
              </w:rPr>
              <w:t xml:space="preserve">евраля 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val="en-US" w:eastAsia="en-US"/>
              </w:rPr>
              <w:t>2025г</w:t>
            </w:r>
          </w:p>
          <w:p>
            <w:pPr>
              <w:pStyle w:val="Normal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>
            <w:pPr>
              <w:pStyle w:val="Normal"/>
              <w:spacing w:before="0" w:after="2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</w:tc>
        <w:tc>
          <w:tcPr>
            <w:tcW w:w="5348" w:type="dxa"/>
            <w:tcBorders/>
          </w:tcPr>
          <w:p>
            <w:pPr>
              <w:pStyle w:val="Normal"/>
              <w:spacing w:before="0" w:after="200"/>
              <w:rPr>
                <w:i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>
            <w:pPr>
              <w:pStyle w:val="Normal"/>
              <w:spacing w:before="0" w:after="200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Ассистент кафедры ЗИ</w:t>
            </w:r>
          </w:p>
          <w:p>
            <w:pPr>
              <w:pStyle w:val="Normal"/>
              <w:spacing w:before="0" w:after="198"/>
              <w:rPr>
                <w:i/>
                <w:i/>
                <w:iCs/>
              </w:rPr>
            </w:pPr>
            <w:r>
              <w:rPr>
                <w:i/>
                <w:iCs/>
              </w:rPr>
              <w:t>Исаев Глеб Андреевич</w:t>
            </w:r>
          </w:p>
          <w:p>
            <w:pPr>
              <w:pStyle w:val="Normal"/>
              <w:spacing w:before="0" w:after="198"/>
              <w:rPr/>
            </w:pP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«___» ______ 2024г</w:t>
            </w:r>
          </w:p>
          <w:p>
            <w:pPr>
              <w:pStyle w:val="Normal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>
            <w:pPr>
              <w:pStyle w:val="Normal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  <w:p>
            <w:pPr>
              <w:pStyle w:val="Normal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</w:r>
    </w:p>
    <w:p>
      <w:pPr>
        <w:pStyle w:val="Normal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</w:r>
    </w:p>
    <w:p>
      <w:pPr>
        <w:pStyle w:val="Normal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</w:r>
    </w:p>
    <w:p>
      <w:pPr>
        <w:pStyle w:val="Normal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Новосибирск 2024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/>
          <w:bCs/>
          <w:color w:val="000000"/>
          <w:sz w:val="28"/>
          <w:szCs w:val="28"/>
          <w:lang w:val="ru-RU"/>
        </w:rPr>
        <w:t>Цели и задачи работы: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 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Изучение принципов реализации многопоточности и практические применение возможностей языков высокого уровня при моделировании бизнес-процессов.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/>
          <w:bCs/>
          <w:color w:val="000000"/>
          <w:sz w:val="28"/>
          <w:szCs w:val="28"/>
          <w:lang w:val="ru-RU"/>
        </w:rPr>
        <w:t xml:space="preserve">Задание к работе: 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Самостоятельно решить задачи в соответствии с индивидуальным вариантом.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/>
          <w:bCs/>
          <w:color w:val="000000"/>
          <w:sz w:val="28"/>
          <w:szCs w:val="28"/>
          <w:lang w:val="ru-RU"/>
        </w:rPr>
        <w:t>Задание 1.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Реализовать параллельный запуск заданного числа потоков, содержащих случайные символы из ASCII таблицы в формате гонки. Проанализировать особенности (сравнительный анализ):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Mutexes;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Semaphore;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SemaphoreSlim;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Barrier;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SpinLock;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SpinWait;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Monitor.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Проанализировать скорости работы примитивов с использованием StopWatch и BenchMarkDotNet.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Большинство упомянутых примитивов занимаются блокировкой ресурсов (потока) пока ресурс не освободится. Есть единичные блокировки (</w:t>
      </w:r>
      <w:r>
        <w:rPr>
          <w:rStyle w:val="Strong"/>
          <w:b w:val="false"/>
          <w:bCs w:val="false"/>
          <w:color w:val="000000"/>
          <w:sz w:val="28"/>
          <w:szCs w:val="28"/>
          <w:lang w:val="en-US"/>
        </w:rPr>
        <w:t>Mutex,Monitor,Spinlock,Spinwait)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, которые блокируют поток пока ресурс не освободится, есть те , которые пропускают лишь ограниченное число потоков (</w:t>
      </w:r>
      <w:r>
        <w:rPr>
          <w:rStyle w:val="Strong"/>
          <w:b w:val="false"/>
          <w:bCs w:val="false"/>
          <w:color w:val="000000"/>
          <w:sz w:val="28"/>
          <w:szCs w:val="28"/>
          <w:lang w:val="en-US"/>
        </w:rPr>
        <w:t xml:space="preserve">semaphore,semaphore slim), 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например одновременно лишь 2</w:t>
      </w:r>
      <w:r>
        <w:rPr>
          <w:rStyle w:val="Strong"/>
          <w:b w:val="false"/>
          <w:bCs w:val="false"/>
          <w:color w:val="000000"/>
          <w:sz w:val="28"/>
          <w:szCs w:val="28"/>
          <w:lang w:val="en-US"/>
        </w:rPr>
        <w:t>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Из всех примитивов выделяется только барьер, который останавливает потоки на определённом участке кода, пока все остальные потоки не достигнут его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Работа примитивов реализвуется классом </w:t>
      </w:r>
      <w:r>
        <w:rPr>
          <w:rStyle w:val="Strong"/>
          <w:b w:val="false"/>
          <w:bCs w:val="false"/>
          <w:color w:val="000000"/>
          <w:sz w:val="28"/>
          <w:szCs w:val="28"/>
          <w:lang w:val="en-US"/>
        </w:rPr>
        <w:t>Locker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, в котором при инициализации задаётся тип примитива, методы </w:t>
      </w:r>
      <w:r>
        <w:rPr>
          <w:rStyle w:val="Strong"/>
          <w:b w:val="false"/>
          <w:bCs w:val="false"/>
          <w:color w:val="000000"/>
          <w:sz w:val="28"/>
          <w:szCs w:val="28"/>
          <w:lang w:val="en-US"/>
        </w:rPr>
        <w:t xml:space="preserve">lock 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и </w:t>
      </w:r>
      <w:r>
        <w:rPr>
          <w:rStyle w:val="Strong"/>
          <w:b w:val="false"/>
          <w:bCs w:val="false"/>
          <w:color w:val="000000"/>
          <w:sz w:val="28"/>
          <w:szCs w:val="28"/>
          <w:lang w:val="en-US"/>
        </w:rPr>
        <w:t xml:space="preserve">unlock 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делают разные действия в зависимости от вида примитива (во всех случаях кроме барьера они осуществляют блокировку и разблокировку по примитиву, барьер в методе </w:t>
      </w:r>
      <w:r>
        <w:rPr>
          <w:rStyle w:val="Strong"/>
          <w:b w:val="false"/>
          <w:bCs w:val="false"/>
          <w:color w:val="000000"/>
          <w:sz w:val="28"/>
          <w:szCs w:val="28"/>
          <w:lang w:val="en-US"/>
        </w:rPr>
        <w:t xml:space="preserve">lock 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простаивает).</w:t>
      </w:r>
    </w:p>
    <w:p>
      <w:pPr>
        <w:pStyle w:val="Normal"/>
        <w:spacing w:before="0" w:after="0"/>
        <w:ind w:hanging="0" w:start="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2914015"/>
            <wp:effectExtent l="0" t="0" r="0" b="0"/>
            <wp:wrapTopAndBottom/>
            <wp:docPr id="2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91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Рис.1. Работа программы.</w:t>
      </w:r>
    </w:p>
    <w:p>
      <w:pPr>
        <w:pStyle w:val="Normal"/>
        <w:spacing w:before="0" w:after="0"/>
        <w:ind w:hanging="0" w:start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0310" cy="3371850"/>
            <wp:effectExtent l="0" t="0" r="0" b="0"/>
            <wp:wrapTopAndBottom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37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Рис.2. Разное время работы примитивов по порядку в задании.</w:t>
      </w:r>
    </w:p>
    <w:p>
      <w:pPr>
        <w:pStyle w:val="Normal"/>
        <w:spacing w:before="0" w:after="0"/>
        <w:ind w:firstLine="567" w:start="0"/>
        <w:jc w:val="both"/>
        <w:rPr>
          <w:rStyle w:val="Strong"/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Как мы видим, практически все примитивы обладают одним и тем же временем обработки примерно </w:t>
      </w:r>
      <w:r>
        <w:rPr>
          <w:rStyle w:val="Strong"/>
          <w:b w:val="false"/>
          <w:bCs w:val="false"/>
          <w:color w:val="000000"/>
          <w:sz w:val="28"/>
          <w:szCs w:val="28"/>
          <w:lang w:val="en-US"/>
        </w:rPr>
        <w:t>0.0026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с, потому что примитивы настроенны на вывод только одного потока в одно время и не нагружены частой синхронизацией. </w:t>
      </w:r>
    </w:p>
    <w:p>
      <w:pPr>
        <w:pStyle w:val="Normal"/>
        <w:spacing w:before="0" w:after="0"/>
        <w:ind w:firstLine="567" w:start="0"/>
        <w:jc w:val="both"/>
        <w:rPr>
          <w:rStyle w:val="Strong"/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Выделяется барьер, тут он не обеспечивает потокобезопасность и выполняет свою функцию — задерживает потоки пока все не достигнут точки синхронизации, поэтому время обработки больше. </w:t>
      </w:r>
    </w:p>
    <w:p>
      <w:pPr>
        <w:pStyle w:val="Normal"/>
        <w:spacing w:before="0" w:after="0"/>
        <w:ind w:firstLine="567" w:start="0"/>
        <w:jc w:val="both"/>
        <w:rPr>
          <w:rStyle w:val="Strong"/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Также монитор имеет повышенные затраты на синхронизацию, поэтому потребляет немного больше ресурсов.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/>
          <w:bCs/>
          <w:color w:val="000000"/>
          <w:sz w:val="28"/>
          <w:szCs w:val="28"/>
          <w:lang w:val="ru-RU"/>
        </w:rPr>
        <w:t>Задание 2.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Задаются данные: размер массива данных, количество параллельных потоков, значения атрибутов структуры, дополнительные данные (в зависимости от варианта). 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Результатом работы программы являются вывод времени обработки без использования многопоточности, времени обработки с использованием многопоточности и результатов обработки.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Вариант 14.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Структура содержит данные о студентах (ФИО, номер группы, список результатов сессий). Результат сессии содержит номер семестра, сведения о названии дисциплины и отметку за экзамен (от 2 до 5). Необходимо вывести список студентов группы Г, получивших стипендию за семестр С, и количество таких студентов.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Конструктор структуры (студент) задаёт ему все параметры студента и результатов сессий псевдослучайно (группы раздаются последовательно на 30 человек в формате </w:t>
      </w:r>
      <w:r>
        <w:rPr>
          <w:rStyle w:val="Strong"/>
          <w:b w:val="false"/>
          <w:bCs w:val="false"/>
          <w:color w:val="000000"/>
          <w:sz w:val="28"/>
          <w:szCs w:val="28"/>
          <w:lang w:val="en-US"/>
        </w:rPr>
        <w:t>AB&lt;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число&gt;, начиная с </w:t>
      </w:r>
      <w:r>
        <w:rPr>
          <w:rStyle w:val="Strong"/>
          <w:b w:val="false"/>
          <w:bCs w:val="false"/>
          <w:color w:val="000000"/>
          <w:sz w:val="28"/>
          <w:szCs w:val="28"/>
          <w:lang w:val="en-US"/>
        </w:rPr>
        <w:t xml:space="preserve">AB100) 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Таким образом, при создании массива с данными мы имеем кучу групп по 30 студентов со случайными результатами сессии.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Многопоточная обработка состоит в том, что у определённого потока свои границы обработки массива данных, которые задаются при инициализации индивидуально, таким образом все данные делятся на непересекающиеся сектора, в которых отдельно работает один поток.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При большем количестве примитивов ( у меня только обязательный мьютекс для вывода) время многопоточной обработки страдает, а сейчас ощутимый прирос скорости наблюдается только при огромной выборке. До этого каждый поток атомарно брал себе уникальную строку и работал с ней, но этот подход создаёт необходимость большей синхронизации и добавляет времени обработки, текущим подходом я сократил расходы на синхронизацию получения данных и уменьшил затраты синхронизации на количество совершаемой потоком работы.</w:t>
      </w:r>
    </w:p>
    <w:p>
      <w:pPr>
        <w:pStyle w:val="Normal"/>
        <w:spacing w:before="0" w:after="0"/>
        <w:ind w:hanging="0" w:start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4080" cy="4972050"/>
            <wp:effectExtent l="0" t="0" r="0" b="0"/>
            <wp:wrapTopAndBottom/>
            <wp:docPr id="4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497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Рис.3. Многопоточная и простая обработка.</w:t>
      </w:r>
    </w:p>
    <w:p>
      <w:pPr>
        <w:pStyle w:val="Normal"/>
        <w:spacing w:before="0" w:after="0"/>
        <w:ind w:firstLine="567" w:start="0"/>
        <w:jc w:val="both"/>
        <w:rPr>
          <w:rStyle w:val="Strong"/>
          <w:b w:val="false"/>
          <w:bCs w:val="false"/>
          <w:color w:val="000000"/>
          <w:sz w:val="28"/>
          <w:szCs w:val="28"/>
          <w:lang w:val="ru-RU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/>
          <w:bCs/>
          <w:color w:val="000000"/>
          <w:sz w:val="28"/>
          <w:szCs w:val="28"/>
          <w:lang w:val="ru-RU"/>
        </w:rPr>
        <w:t>Задание 3.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Задача обедающих философов </w:t>
      </w:r>
    </w:p>
    <w:p>
      <w:pPr>
        <w:pStyle w:val="BodyText"/>
        <w:spacing w:before="0" w:after="0"/>
        <w:ind w:firstLine="567" w:start="0"/>
        <w:jc w:val="both"/>
        <w:rPr/>
      </w:pPr>
      <w:r>
        <w:rPr>
          <w:rStyle w:val="Strong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Пять безмолвных философов сидят вокруг круглого стола, перед каждым философом стоит тарелка спагетти. На столе между каждой парой ближайших философов лежит по одной вилке.</w:t>
      </w:r>
    </w:p>
    <w:p>
      <w:pPr>
        <w:pStyle w:val="BodyText"/>
        <w:spacing w:before="0" w:after="0"/>
        <w:ind w:firstLine="567" w:start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Каждый философ может либо есть, либо размышлять. Приём пищи не ограничен количеством оставшихся спагетти — подразумевается бесконечный запас. Тем не менее, философ может есть только тогда, когда держит две вилки — взятую справа и слева (альтернативная формулировка проблемы подразумевает миски с рисом и </w:t>
      </w:r>
      <w:hyperlink r:id="rId6">
        <w:r>
          <w:rPr>
            <w:rStyle w:val="Hyper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палочки для еды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вместо тарелок со спагетти и вилок).</w:t>
      </w:r>
    </w:p>
    <w:p>
      <w:pPr>
        <w:pStyle w:val="BodyText"/>
        <w:spacing w:before="0" w:after="0"/>
        <w:ind w:firstLine="567" w:start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Каждый философ может взять ближайшую вилку (если она доступна) или положить — если он уже держит её. Взятие каждой вилки и возвращение её на стол являются раздельными действиями, которые должны выполняться одно за другим.</w:t>
      </w:r>
    </w:p>
    <w:p>
      <w:pPr>
        <w:pStyle w:val="BodyText"/>
        <w:spacing w:before="0" w:after="0"/>
        <w:ind w:firstLine="567" w:start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Вопрос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задачи заключается в том, чтобы разработать модель поведения (</w:t>
      </w:r>
      <w:hyperlink r:id="rId7">
        <w:r>
          <w:rPr>
            <w:rStyle w:val="Hyper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параллельный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hyperlink r:id="rId8">
        <w:r>
          <w:rPr>
            <w:rStyle w:val="Hyper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алгоритм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), при котором ни один из философов не будет голодать, то есть будет вечно чередовать приём пищи и размышления.</w:t>
      </w:r>
    </w:p>
    <w:p>
      <w:pPr>
        <w:pStyle w:val="BodyText"/>
        <w:spacing w:before="0" w:after="0"/>
        <w:ind w:firstLine="567" w:start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Я решил задачу очень просто, каждый философ пытается взять вилку слева, затем справа, кушает и кладёт обе вилки обратно. Чтобы исключить взаимную блокировку был добавлен семафор, таким образом философы никогда не попадут в блокировку. </w:t>
      </w:r>
    </w:p>
    <w:p>
      <w:pPr>
        <w:pStyle w:val="Normal"/>
        <w:spacing w:before="0" w:after="0"/>
        <w:ind w:firstLine="567" w:start="0"/>
        <w:jc w:val="both"/>
        <w:rPr>
          <w:b w:val="false"/>
          <w:bCs w:val="false"/>
          <w:color w:val="000000"/>
          <w:sz w:val="28"/>
          <w:szCs w:val="28"/>
          <w:lang w:val="ru-RU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 xml:space="preserve">В качестве ресурсов выступает счётчик для каждого философа, который считает сколько он поел. Роль вилок выполняют мьютексы, которые потоки-философы поочерёдно блокируют. В качестве примера представлено две модели — философы, которые попадают в блокировку и философы, которые избегают блокировки семафором. Результаты представлены спустя одну и две секунды работы программы соответственно. </w:t>
      </w:r>
    </w:p>
    <w:p>
      <w:pPr>
        <w:pStyle w:val="Normal"/>
        <w:spacing w:before="0" w:after="0"/>
        <w:ind w:hanging="0" w:start="0"/>
        <w:jc w:val="center"/>
        <w:rPr>
          <w:b w:val="false"/>
          <w:bCs w:val="false"/>
          <w:color w:val="000000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635" cy="3952875"/>
            <wp:effectExtent l="0" t="0" r="0" b="0"/>
            <wp:wrapTopAndBottom/>
            <wp:docPr id="5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95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8"/>
          <w:szCs w:val="28"/>
          <w:lang w:val="ru-RU"/>
        </w:rPr>
        <w:t>Рис.4. Философы без и с блокировкой.</w:t>
      </w:r>
    </w:p>
    <w:p>
      <w:pPr>
        <w:pStyle w:val="Normal"/>
        <w:spacing w:before="0" w:after="0"/>
        <w:ind w:firstLine="567" w:start="0"/>
        <w:jc w:val="both"/>
        <w:rPr>
          <w:b w:val="false"/>
          <w:bCs w:val="false"/>
          <w:color w:val="000000"/>
          <w:sz w:val="28"/>
          <w:szCs w:val="28"/>
          <w:lang w:val="ru-RU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>Как мы видим, на каком-то этапе все философы берут левые вилки и ожидают вилки справа, вариант с семафором (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Solution) </w:t>
      </w:r>
      <w:r>
        <w:rPr>
          <w:b w:val="false"/>
          <w:bCs w:val="false"/>
          <w:color w:val="000000"/>
          <w:sz w:val="28"/>
          <w:szCs w:val="28"/>
          <w:lang w:val="ru-RU"/>
        </w:rPr>
        <w:t>не позволяет им этого сделать и избегает блокировки.</w:t>
      </w:r>
    </w:p>
    <w:p>
      <w:pPr>
        <w:pStyle w:val="Normal"/>
        <w:spacing w:before="0" w:after="0"/>
        <w:ind w:firstLine="567" w:start="0"/>
        <w:jc w:val="both"/>
        <w:rPr>
          <w:b w:val="false"/>
          <w:bCs w:val="false"/>
          <w:color w:val="000000"/>
          <w:sz w:val="28"/>
          <w:szCs w:val="28"/>
          <w:lang w:val="ru-RU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spacing w:before="0" w:after="0"/>
        <w:ind w:firstLine="567" w:start="0"/>
        <w:jc w:val="both"/>
        <w:rPr>
          <w:b w:val="false"/>
          <w:bCs w:val="false"/>
          <w:color w:val="000000"/>
          <w:sz w:val="28"/>
          <w:szCs w:val="28"/>
          <w:lang w:val="ru-RU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spacing w:before="0" w:after="0"/>
        <w:ind w:firstLine="567" w:start="0"/>
        <w:jc w:val="both"/>
        <w:rPr>
          <w:b w:val="false"/>
          <w:bCs w:val="false"/>
          <w:color w:val="000000"/>
          <w:sz w:val="28"/>
          <w:szCs w:val="28"/>
          <w:lang w:val="ru-RU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>Вывод.</w:t>
      </w:r>
    </w:p>
    <w:p>
      <w:pPr>
        <w:pStyle w:val="Normal"/>
        <w:spacing w:before="0" w:after="0"/>
        <w:ind w:firstLine="567" w:start="0"/>
        <w:jc w:val="both"/>
        <w:rPr>
          <w:b w:val="false"/>
          <w:bCs w:val="false"/>
          <w:color w:val="000000"/>
          <w:sz w:val="28"/>
          <w:szCs w:val="28"/>
          <w:lang w:val="ru-RU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>В результате выполнения лабораторной работы я изучил работу примитивов синхронизации, многопоточности в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 C++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 и некоторые проблемы синхронизации не только в виде теоретического материала, но и на практике. Данный материал оказался очень полезен, поскольку правильная многопоточная обработка может сократить время выполнения в разы, однако это должно быть уместно и потокобезопасно.</w:t>
      </w:r>
    </w:p>
    <w:p>
      <w:pPr>
        <w:pStyle w:val="Normal"/>
        <w:spacing w:before="0" w:after="0"/>
        <w:ind w:firstLine="567"/>
        <w:jc w:val="both"/>
        <w:rPr>
          <w:b w:val="false"/>
          <w:bCs w:val="false"/>
          <w:color w:val="000000"/>
          <w:sz w:val="28"/>
          <w:szCs w:val="28"/>
          <w:lang w:val="ru-RU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</w:r>
    </w:p>
    <w:sectPr>
      <w:footerReference w:type="even" r:id="rId10"/>
      <w:footerReference w:type="default" r:id="rId11"/>
      <w:footerReference w:type="first" r:id="rId12"/>
      <w:type w:val="nextPage"/>
      <w:pgSz w:w="11906" w:h="16838"/>
      <w:pgMar w:left="1134" w:right="567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Symbol"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Tahoma">
    <w:charset w:val="cc" w:characterSet="windows-1251"/>
    <w:family w:val="roman"/>
    <w:pitch w:val="variable"/>
  </w:font>
  <w:font w:name="Courier New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lang w:val="en-US"/>
      </w:rPr>
    </w:pPr>
    <w:r>
      <w:rPr>
        <w:lang w:val="en-US"/>
      </w:rPr>
    </w:r>
  </w:p>
  <w:p>
    <w:pPr>
      <w:pStyle w:val="Footer"/>
      <w:rPr>
        <w:lang w:val="en-US"/>
      </w:rPr>
    </w:pPr>
    <w:r>
      <w:rPr>
        <w:lang w:val="en-US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isplayBackgroundShape/>
  <w:defaultTabStop w:val="708"/>
  <w:autoHyphenation w:val="true"/>
  <w:hyphenationZone w:val="360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ar-SA"/>
    </w:rPr>
  </w:style>
  <w:style w:type="paragraph" w:styleId="Heading1">
    <w:name w:val="heading 1"/>
    <w:basedOn w:val="Style18"/>
    <w:next w:val="BodyText"/>
    <w:qFormat/>
    <w:pPr>
      <w:spacing w:before="0" w:after="0"/>
      <w:ind w:firstLine="567"/>
      <w:outlineLvl w:val="0"/>
    </w:pPr>
    <w:rPr>
      <w:rFonts w:ascii="Times New Roman" w:hAnsi="Times New Roman" w:eastAsia="NSimSun"/>
      <w:b/>
      <w:bCs/>
      <w:sz w:val="28"/>
      <w:szCs w:val="28"/>
    </w:rPr>
  </w:style>
  <w:style w:type="paragraph" w:styleId="Heading2">
    <w:name w:val="heading 2"/>
    <w:basedOn w:val="Style18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Style18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1z1">
    <w:name w:val="WW8Num1z1"/>
    <w:qFormat/>
    <w:rPr>
      <w:rFonts w:cs="Times New Roman"/>
    </w:rPr>
  </w:style>
  <w:style w:type="character" w:styleId="Style11">
    <w:name w:val="Текст выноски Знак"/>
    <w:qFormat/>
    <w:rPr>
      <w:rFonts w:ascii="Tahoma" w:hAnsi="Tahoma" w:cs="Tahoma"/>
      <w:sz w:val="16"/>
      <w:szCs w:val="16"/>
    </w:rPr>
  </w:style>
  <w:style w:type="character" w:styleId="Style12">
    <w:name w:val="Текст Знак"/>
    <w:qFormat/>
    <w:rPr>
      <w:rFonts w:ascii="Courier New" w:hAnsi="Courier New" w:cs="Courier New"/>
    </w:rPr>
  </w:style>
  <w:style w:type="character" w:styleId="Style13">
    <w:name w:val="Верхний колонтитул Знак"/>
    <w:qFormat/>
    <w:rPr>
      <w:sz w:val="24"/>
      <w:szCs w:val="24"/>
    </w:rPr>
  </w:style>
  <w:style w:type="character" w:styleId="Style14">
    <w:name w:val="Нижний колонтитул Знак"/>
    <w:qFormat/>
    <w:rPr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5">
    <w:name w:val="Маркеры"/>
    <w:qFormat/>
    <w:rPr>
      <w:rFonts w:ascii="OpenSymbol;Arial Unicode MS" w:hAnsi="OpenSymbol;Arial Unicode MS" w:eastAsia="OpenSymbol;Arial Unicode MS" w:cs="OpenSymbol;Arial Unicode MS"/>
    </w:rPr>
  </w:style>
  <w:style w:type="character" w:styleId="Style16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pPr>
      <w:suppressLineNumbers/>
    </w:pPr>
    <w:rPr>
      <w:rFonts w:cs="Arial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ption111">
    <w:name w:val="Caption11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ption1111">
    <w:name w:val="Caption111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ption11111">
    <w:name w:val="Caption1111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ption111111">
    <w:name w:val="Caption11111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ption1111111">
    <w:name w:val="Caption111111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ption11111111">
    <w:name w:val="Caption1111111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1">
    <w:name w:val="Содержимое врезки"/>
    <w:basedOn w:val="Normal"/>
    <w:qFormat/>
    <w:pPr/>
    <w:rPr/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jc w:val="center"/>
    </w:pPr>
    <w:rPr>
      <w:b/>
      <w:bCs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Style19"/>
    <w:pPr>
      <w:tabs>
        <w:tab w:val="clear" w:pos="708"/>
        <w:tab w:val="right" w:pos="10205" w:leader="dot"/>
      </w:tabs>
      <w:ind w:hanging="0" w:start="0"/>
    </w:pPr>
    <w:rPr/>
  </w:style>
  <w:style w:type="numbering" w:styleId="Style24">
    <w:name w:val="Без списка"/>
    <w:qFormat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ru.wikipedia.org/wiki/&#1055;&#1072;&#1083;&#1086;&#1095;&#1082;&#1080;_&#1076;&#1083;&#1103;_&#1077;&#1076;&#1099;" TargetMode="External"/><Relationship Id="rId7" Type="http://schemas.openxmlformats.org/officeDocument/2006/relationships/hyperlink" Target="https://ru.wikipedia.org/wiki/&#1055;&#1072;&#1088;&#1072;&#1083;&#1083;&#1077;&#1083;&#1080;&#1079;&#1084;_(&#1080;&#1085;&#1092;&#1086;&#1088;&#1084;&#1072;&#1090;&#1080;&#1082;&#1072;)" TargetMode="External"/><Relationship Id="rId8" Type="http://schemas.openxmlformats.org/officeDocument/2006/relationships/hyperlink" Target="https://ru.wikipedia.org/wiki/&#1040;&#1083;&#1075;&#1086;&#1088;&#1080;&#1090;&#1084;" TargetMode="External"/><Relationship Id="rId9" Type="http://schemas.openxmlformats.org/officeDocument/2006/relationships/image" Target="media/image5.png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Application>LibreOffice/24.8.4.2$Windows_X86_64 LibreOffice_project/bb3cfa12c7b1bf994ecc5649a80400d06cd71002</Application>
  <AppVersion>15.0000</AppVersion>
  <Pages>6</Pages>
  <Words>845</Words>
  <Characters>5717</Characters>
  <CharactersWithSpaces>6503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2018-09-19T18:07:00Z</dcterms:created>
  <dc:creator>PM1</dc:creator>
  <dc:description/>
  <dc:language>ru-RU</dc:language>
  <cp:lastModifiedBy/>
  <cp:lastPrinted>2010-10-28T10:01:00Z</cp:lastPrinted>
  <dcterms:modified xsi:type="dcterms:W3CDTF">2025-02-21T12:08:15Z</dcterms:modified>
  <cp:revision>69</cp:revision>
  <dc:subject/>
  <dc:title>Министерство образования и науки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