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65D"/>
          <w:sz w:val="44"/>
        </w:rPr>
        <w:t>DNA Methylation Practical Solution Pack</w:t>
      </w:r>
    </w:p>
    <w:p>
      <w:pPr>
        <w:jc w:val="center"/>
      </w:pPr>
      <w:r>
        <w:rPr>
          <w:i/>
          <w:sz w:val="24"/>
        </w:rPr>
        <w:t>JQ1-treated SCC15 / SCC25 cell lines</w:t>
      </w:r>
    </w:p>
    <w:p>
      <w:pPr>
        <w:jc w:val="center"/>
      </w:pPr>
      <w:r>
        <w:rPr>
          <w:b/>
          <w:sz w:val="22"/>
        </w:rPr>
        <w:t>What this document gives you</w:t>
      </w:r>
    </w:p>
    <w:p>
      <w:r>
        <w:t>A source-backed, ready-to-run analysis plan and report structure for the practical exercise, plus an accompanying R script. The workflow is aligned to the task requirements in the attached practical brief and reuses the approaches shown in the provided minfi / workshop / ChAMP-style source files.</w:t>
      </w:r>
    </w:p>
    <w:tbl>
      <w:tblPr>
        <w:tblW w:type="auto" w:w="0"/>
        <w:jc w:val="center"/>
        <w:tblLook w:firstColumn="1" w:firstRow="1" w:lastColumn="0" w:lastRow="0" w:noHBand="0" w:noVBand="1" w:val="04A0"/>
      </w:tblPr>
      <w:tblGrid>
        <w:gridCol w:w="10080"/>
      </w:tblGrid>
      <w:tr>
        <w:tc>
          <w:tcPr>
            <w:tcW w:type="dxa" w:w="10080"/>
            <w:shd w:fill="EAF2F8"/>
            <w:tcMar>
              <w:top w:w="120" w:type="dxa"/>
              <w:start w:w="120" w:type="dxa"/>
              <w:bottom w:w="120" w:type="dxa"/>
              <w:end w:w="120" w:type="dxa"/>
            </w:tcMar>
          </w:tcPr>
          <w:p>
            <w:r>
              <w:rPr>
                <w:b/>
                <w:color w:val="1A365D"/>
              </w:rPr>
              <w:t>Important limitation</w:t>
            </w:r>
          </w:p>
          <w:p>
            <w:r>
              <w:t>I could not compute the real numerical results for your practical because the IDAT files, sample sheet, and the two BRD4/JQ1 background papers are only referenced by an external Google Drive link, which is not available inside this environment. This pack therefore gives you the full analysis workflow, exact code, interpretation guidance, and a report-ready structure. Once you upload the data bundle (or a zip of the IDATs + sample sheet + papers), the same script can be completed with the actual outputs.</w:t>
            </w:r>
          </w:p>
        </w:tc>
      </w:tr>
    </w:tbl>
    <w:p>
      <w:pPr>
        <w:pStyle w:val="Heading1"/>
      </w:pPr>
      <w:r>
        <w:t>1. What the practical is asking you to prove</w:t>
      </w:r>
    </w:p>
    <w:p>
      <w:r>
        <w:t>The brief asks you to do four things: (i) preprocess and quality-check the methylation array data, (ii) test whether JQ1 changes DNA methylation relative to DMSO, (iii) decide whether cell line identity (SCC15 versus SCC25) must be included in the model, and (iv) interpret significant loci in promoter / CpG-island / pathway context in light of BRD4 biology and JQ1 mechanism.</w:t>
      </w:r>
    </w:p>
    <w:p>
      <w:r>
        <w:t>Practical brief source: Methylation_Practical_exercise (1).docx, especially sections 3-6.</w:t>
      </w:r>
    </w:p>
    <w:p>
      <w:pPr>
        <w:pStyle w:val="Heading1"/>
      </w:pPr>
      <w:r>
        <w:t>2. Recommended analysis strategy</w:t>
      </w:r>
    </w:p>
    <w:p>
      <w:r>
        <w:t>The cleanest source-consistent pipeline here is: minfi import -&gt; raw QC -&gt; detection p-value filtering -&gt; stratified quantile normalization -&gt; probe filtering for poor-quality / SNP / cross-reactive / sex-chromosome probes -&gt; PCA to assess treatment versus cell-line variation -&gt; limma differential methylation -&gt; promoter / island annotation -&gt; gene-set enrichment. This follows the structure shown in the workshop slides and the provided R script, while using the statistical guidance described in minfi and ChAMP.</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9EAF7"/>
            <w:tcMar>
              <w:top w:w="120" w:type="dxa"/>
              <w:start w:w="100" w:type="dxa"/>
              <w:bottom w:w="120" w:type="dxa"/>
              <w:end w:w="100" w:type="dxa"/>
            </w:tcMar>
          </w:tcPr>
          <w:p>
            <w:r>
              <w:rPr>
                <w:b/>
              </w:rPr>
              <w:t>Step</w:t>
            </w:r>
          </w:p>
        </w:tc>
        <w:tc>
          <w:tcPr>
            <w:tcW w:type="dxa" w:w="2016"/>
            <w:shd w:fill="D9EAF7"/>
            <w:tcMar>
              <w:top w:w="120" w:type="dxa"/>
              <w:start w:w="100" w:type="dxa"/>
              <w:bottom w:w="120" w:type="dxa"/>
              <w:end w:w="100" w:type="dxa"/>
            </w:tcMar>
          </w:tcPr>
          <w:p>
            <w:r>
              <w:rPr>
                <w:b/>
              </w:rPr>
              <w:t>What you do</w:t>
            </w:r>
          </w:p>
        </w:tc>
        <w:tc>
          <w:tcPr>
            <w:tcW w:type="dxa" w:w="2016"/>
            <w:shd w:fill="D9EAF7"/>
            <w:tcMar>
              <w:top w:w="120" w:type="dxa"/>
              <w:start w:w="100" w:type="dxa"/>
              <w:bottom w:w="120" w:type="dxa"/>
              <w:end w:w="100" w:type="dxa"/>
            </w:tcMar>
          </w:tcPr>
          <w:p>
            <w:r>
              <w:rPr>
                <w:b/>
              </w:rPr>
              <w:t>Why it matters</w:t>
            </w:r>
          </w:p>
        </w:tc>
        <w:tc>
          <w:tcPr>
            <w:tcW w:type="dxa" w:w="2016"/>
            <w:shd w:fill="D9EAF7"/>
            <w:tcMar>
              <w:top w:w="120" w:type="dxa"/>
              <w:start w:w="100" w:type="dxa"/>
              <w:bottom w:w="120" w:type="dxa"/>
              <w:end w:w="100" w:type="dxa"/>
            </w:tcMar>
          </w:tcPr>
          <w:p>
            <w:r>
              <w:rPr>
                <w:b/>
              </w:rPr>
              <w:t>What to discuss after this step</w:t>
            </w:r>
          </w:p>
        </w:tc>
        <w:tc>
          <w:tcPr>
            <w:tcW w:type="dxa" w:w="2016"/>
            <w:shd w:fill="D9EAF7"/>
            <w:tcMar>
              <w:top w:w="120" w:type="dxa"/>
              <w:start w:w="100" w:type="dxa"/>
              <w:bottom w:w="120" w:type="dxa"/>
              <w:end w:w="100" w:type="dxa"/>
            </w:tcMar>
          </w:tcPr>
          <w:p>
            <w:r>
              <w:rPr>
                <w:b/>
              </w:rPr>
              <w:t>Main source(s)</w:t>
            </w:r>
          </w:p>
        </w:tc>
      </w:tr>
      <w:tr>
        <w:tc>
          <w:tcPr>
            <w:tcW w:type="dxa" w:w="2016"/>
            <w:tcMar>
              <w:top w:w="80" w:type="dxa"/>
              <w:start w:w="80" w:type="dxa"/>
              <w:bottom w:w="80" w:type="dxa"/>
              <w:end w:w="80" w:type="dxa"/>
            </w:tcMar>
            <w:vAlign w:val="center"/>
          </w:tcPr>
          <w:p>
            <w:r>
              <w:t>Import raw data</w:t>
            </w:r>
          </w:p>
        </w:tc>
        <w:tc>
          <w:tcPr>
            <w:tcW w:type="dxa" w:w="2016"/>
            <w:tcMar>
              <w:top w:w="80" w:type="dxa"/>
              <w:start w:w="80" w:type="dxa"/>
              <w:bottom w:w="80" w:type="dxa"/>
              <w:end w:w="80" w:type="dxa"/>
            </w:tcMar>
            <w:vAlign w:val="center"/>
          </w:tcPr>
          <w:p>
            <w:r>
              <w:t>Read IDATs + sample sheet into an RGChannelSet.</w:t>
            </w:r>
          </w:p>
        </w:tc>
        <w:tc>
          <w:tcPr>
            <w:tcW w:type="dxa" w:w="2016"/>
            <w:tcMar>
              <w:top w:w="80" w:type="dxa"/>
              <w:start w:w="80" w:type="dxa"/>
              <w:bottom w:w="80" w:type="dxa"/>
              <w:end w:w="80" w:type="dxa"/>
            </w:tcMar>
            <w:vAlign w:val="center"/>
          </w:tcPr>
          <w:p>
            <w:r>
              <w:t>Keeps access to raw intensities and internal controls.</w:t>
            </w:r>
          </w:p>
        </w:tc>
        <w:tc>
          <w:tcPr>
            <w:tcW w:type="dxa" w:w="2016"/>
            <w:tcMar>
              <w:top w:w="80" w:type="dxa"/>
              <w:start w:w="80" w:type="dxa"/>
              <w:bottom w:w="80" w:type="dxa"/>
              <w:end w:w="80" w:type="dxa"/>
            </w:tcMar>
            <w:vAlign w:val="center"/>
          </w:tcPr>
          <w:p>
            <w:r>
              <w:t>Confirm that metadata correctly encode Treatment and CellLine.</w:t>
            </w:r>
          </w:p>
        </w:tc>
        <w:tc>
          <w:tcPr>
            <w:tcW w:type="dxa" w:w="2016"/>
            <w:tcMar>
              <w:top w:w="80" w:type="dxa"/>
              <w:start w:w="80" w:type="dxa"/>
              <w:bottom w:w="80" w:type="dxa"/>
              <w:end w:w="80" w:type="dxa"/>
            </w:tcMar>
            <w:vAlign w:val="center"/>
          </w:tcPr>
          <w:p>
            <w:r>
              <w:t>Workshop slide workflow; script_2025_EPIC_modif.R</w:t>
            </w:r>
          </w:p>
        </w:tc>
      </w:tr>
      <w:tr>
        <w:tc>
          <w:tcPr>
            <w:tcW w:type="dxa" w:w="2016"/>
            <w:tcMar>
              <w:top w:w="80" w:type="dxa"/>
              <w:start w:w="80" w:type="dxa"/>
              <w:bottom w:w="80" w:type="dxa"/>
              <w:end w:w="80" w:type="dxa"/>
            </w:tcMar>
            <w:vAlign w:val="center"/>
          </w:tcPr>
          <w:p>
            <w:r>
              <w:t>Sample QC</w:t>
            </w:r>
          </w:p>
        </w:tc>
        <w:tc>
          <w:tcPr>
            <w:tcW w:type="dxa" w:w="2016"/>
            <w:tcMar>
              <w:top w:w="80" w:type="dxa"/>
              <w:start w:w="80" w:type="dxa"/>
              <w:bottom w:w="80" w:type="dxa"/>
              <w:end w:w="80" w:type="dxa"/>
            </w:tcMar>
            <w:vAlign w:val="center"/>
          </w:tcPr>
          <w:p>
            <w:r>
              <w:t>Use getQC, density plots, detection p-values, and outlier inspection.</w:t>
            </w:r>
          </w:p>
        </w:tc>
        <w:tc>
          <w:tcPr>
            <w:tcW w:type="dxa" w:w="2016"/>
            <w:tcMar>
              <w:top w:w="80" w:type="dxa"/>
              <w:start w:w="80" w:type="dxa"/>
              <w:bottom w:w="80" w:type="dxa"/>
              <w:end w:w="80" w:type="dxa"/>
            </w:tcMar>
            <w:vAlign w:val="center"/>
          </w:tcPr>
          <w:p>
            <w:r>
              <w:t>Bad samples distort normalization and false discovery.</w:t>
            </w:r>
          </w:p>
        </w:tc>
        <w:tc>
          <w:tcPr>
            <w:tcW w:type="dxa" w:w="2016"/>
            <w:tcMar>
              <w:top w:w="80" w:type="dxa"/>
              <w:start w:w="80" w:type="dxa"/>
              <w:bottom w:w="80" w:type="dxa"/>
              <w:end w:w="80" w:type="dxa"/>
            </w:tcMar>
            <w:vAlign w:val="center"/>
          </w:tcPr>
          <w:p>
            <w:r>
              <w:t>State whether any sample failed QC and why.</w:t>
            </w:r>
          </w:p>
        </w:tc>
        <w:tc>
          <w:tcPr>
            <w:tcW w:type="dxa" w:w="2016"/>
            <w:tcMar>
              <w:top w:w="80" w:type="dxa"/>
              <w:start w:w="80" w:type="dxa"/>
              <w:bottom w:w="80" w:type="dxa"/>
              <w:end w:w="80" w:type="dxa"/>
            </w:tcMar>
            <w:vAlign w:val="center"/>
          </w:tcPr>
          <w:p>
            <w:r>
              <w:t>Minfi pp. 1365-1366; workshop PDF p. 16</w:t>
            </w:r>
          </w:p>
        </w:tc>
      </w:tr>
      <w:tr>
        <w:tc>
          <w:tcPr>
            <w:tcW w:type="dxa" w:w="2016"/>
            <w:tcMar>
              <w:top w:w="80" w:type="dxa"/>
              <w:start w:w="80" w:type="dxa"/>
              <w:bottom w:w="80" w:type="dxa"/>
              <w:end w:w="80" w:type="dxa"/>
            </w:tcMar>
            <w:vAlign w:val="center"/>
          </w:tcPr>
          <w:p>
            <w:r>
              <w:t>Probe QC</w:t>
            </w:r>
          </w:p>
        </w:tc>
        <w:tc>
          <w:tcPr>
            <w:tcW w:type="dxa" w:w="2016"/>
            <w:tcMar>
              <w:top w:w="80" w:type="dxa"/>
              <w:start w:w="80" w:type="dxa"/>
              <w:bottom w:w="80" w:type="dxa"/>
              <w:end w:w="80" w:type="dxa"/>
            </w:tcMar>
            <w:vAlign w:val="center"/>
          </w:tcPr>
          <w:p>
            <w:r>
              <w:t>Remove failed probes, SNP-affected probes, cross-reactive probes, and sex-chromosome probes.</w:t>
            </w:r>
          </w:p>
        </w:tc>
        <w:tc>
          <w:tcPr>
            <w:tcW w:type="dxa" w:w="2016"/>
            <w:tcMar>
              <w:top w:w="80" w:type="dxa"/>
              <w:start w:w="80" w:type="dxa"/>
              <w:bottom w:w="80" w:type="dxa"/>
              <w:end w:w="80" w:type="dxa"/>
            </w:tcMar>
            <w:vAlign w:val="center"/>
          </w:tcPr>
          <w:p>
            <w:r>
              <w:t>These can create technical or genotype-driven artifacts.</w:t>
            </w:r>
          </w:p>
        </w:tc>
        <w:tc>
          <w:tcPr>
            <w:tcW w:type="dxa" w:w="2016"/>
            <w:tcMar>
              <w:top w:w="80" w:type="dxa"/>
              <w:start w:w="80" w:type="dxa"/>
              <w:bottom w:w="80" w:type="dxa"/>
              <w:end w:w="80" w:type="dxa"/>
            </w:tcMar>
            <w:vAlign w:val="center"/>
          </w:tcPr>
          <w:p>
            <w:r>
              <w:t>Report probe counts before/after filtering.</w:t>
            </w:r>
          </w:p>
        </w:tc>
        <w:tc>
          <w:tcPr>
            <w:tcW w:type="dxa" w:w="2016"/>
            <w:tcMar>
              <w:top w:w="80" w:type="dxa"/>
              <w:start w:w="80" w:type="dxa"/>
              <w:bottom w:w="80" w:type="dxa"/>
              <w:end w:w="80" w:type="dxa"/>
            </w:tcMar>
            <w:vAlign w:val="center"/>
          </w:tcPr>
          <w:p>
            <w:r>
              <w:t>Normalization review pp. 930-931; SWAN p. 7; script_2025</w:t>
            </w:r>
          </w:p>
        </w:tc>
      </w:tr>
      <w:tr>
        <w:tc>
          <w:tcPr>
            <w:tcW w:type="dxa" w:w="2016"/>
            <w:tcMar>
              <w:top w:w="80" w:type="dxa"/>
              <w:start w:w="80" w:type="dxa"/>
              <w:bottom w:w="80" w:type="dxa"/>
              <w:end w:w="80" w:type="dxa"/>
            </w:tcMar>
            <w:vAlign w:val="center"/>
          </w:tcPr>
          <w:p>
            <w:r>
              <w:t>Normalization</w:t>
            </w:r>
          </w:p>
        </w:tc>
        <w:tc>
          <w:tcPr>
            <w:tcW w:type="dxa" w:w="2016"/>
            <w:tcMar>
              <w:top w:w="80" w:type="dxa"/>
              <w:start w:w="80" w:type="dxa"/>
              <w:bottom w:w="80" w:type="dxa"/>
              <w:end w:w="80" w:type="dxa"/>
            </w:tcMar>
            <w:vAlign w:val="center"/>
          </w:tcPr>
          <w:p>
            <w:r>
              <w:t>Use preprocessQuantile for this treatment comparison; switch to functional normalization only if exploratory evidence suggests strong global shifts.</w:t>
            </w:r>
          </w:p>
        </w:tc>
        <w:tc>
          <w:tcPr>
            <w:tcW w:type="dxa" w:w="2016"/>
            <w:tcMar>
              <w:top w:w="80" w:type="dxa"/>
              <w:start w:w="80" w:type="dxa"/>
              <w:bottom w:w="80" w:type="dxa"/>
              <w:end w:w="80" w:type="dxa"/>
            </w:tcMar>
            <w:vAlign w:val="center"/>
          </w:tcPr>
          <w:p>
            <w:r>
              <w:t>Quantile normalization is appropriate when global distributions are not expected to change dramatically; functional normalization is preferred when broad global changes exist.</w:t>
            </w:r>
          </w:p>
        </w:tc>
        <w:tc>
          <w:tcPr>
            <w:tcW w:type="dxa" w:w="2016"/>
            <w:tcMar>
              <w:top w:w="80" w:type="dxa"/>
              <w:start w:w="80" w:type="dxa"/>
              <w:bottom w:w="80" w:type="dxa"/>
              <w:end w:w="80" w:type="dxa"/>
            </w:tcMar>
            <w:vAlign w:val="center"/>
          </w:tcPr>
          <w:p>
            <w:r>
              <w:t>Justify normalization choice with plots and study design.</w:t>
            </w:r>
          </w:p>
        </w:tc>
        <w:tc>
          <w:tcPr>
            <w:tcW w:type="dxa" w:w="2016"/>
            <w:tcMar>
              <w:top w:w="80" w:type="dxa"/>
              <w:start w:w="80" w:type="dxa"/>
              <w:bottom w:w="80" w:type="dxa"/>
              <w:end w:w="80" w:type="dxa"/>
            </w:tcMar>
            <w:vAlign w:val="center"/>
          </w:tcPr>
          <w:p>
            <w:r>
              <w:t>Minfi p. 1365; Functional normalization p. 1</w:t>
            </w:r>
          </w:p>
        </w:tc>
      </w:tr>
      <w:tr>
        <w:tc>
          <w:tcPr>
            <w:tcW w:type="dxa" w:w="2016"/>
            <w:tcMar>
              <w:top w:w="80" w:type="dxa"/>
              <w:start w:w="80" w:type="dxa"/>
              <w:bottom w:w="80" w:type="dxa"/>
              <w:end w:w="80" w:type="dxa"/>
            </w:tcMar>
            <w:vAlign w:val="center"/>
          </w:tcPr>
          <w:p>
            <w:r>
              <w:t>PCA / variance structure</w:t>
            </w:r>
          </w:p>
        </w:tc>
        <w:tc>
          <w:tcPr>
            <w:tcW w:type="dxa" w:w="2016"/>
            <w:tcMar>
              <w:top w:w="80" w:type="dxa"/>
              <w:start w:w="80" w:type="dxa"/>
              <w:bottom w:w="80" w:type="dxa"/>
              <w:end w:w="80" w:type="dxa"/>
            </w:tcMar>
            <w:vAlign w:val="center"/>
          </w:tcPr>
          <w:p>
            <w:r>
              <w:t>Run PCA on normalized beta values and color points by Treatment and CellLine.</w:t>
            </w:r>
          </w:p>
        </w:tc>
        <w:tc>
          <w:tcPr>
            <w:tcW w:type="dxa" w:w="2016"/>
            <w:tcMar>
              <w:top w:w="80" w:type="dxa"/>
              <w:start w:w="80" w:type="dxa"/>
              <w:bottom w:w="80" w:type="dxa"/>
              <w:end w:w="80" w:type="dxa"/>
            </w:tcMar>
            <w:vAlign w:val="center"/>
          </w:tcPr>
          <w:p>
            <w:r>
              <w:t>This is the key evidence for whether cell line is a confounder.</w:t>
            </w:r>
          </w:p>
        </w:tc>
        <w:tc>
          <w:tcPr>
            <w:tcW w:type="dxa" w:w="2016"/>
            <w:tcMar>
              <w:top w:w="80" w:type="dxa"/>
              <w:start w:w="80" w:type="dxa"/>
              <w:bottom w:w="80" w:type="dxa"/>
              <w:end w:w="80" w:type="dxa"/>
            </w:tcMar>
            <w:vAlign w:val="center"/>
          </w:tcPr>
          <w:p>
            <w:r>
              <w:t>Explain what drives PC1 and PC2 and whether CellLine dominates variance.</w:t>
            </w:r>
          </w:p>
        </w:tc>
        <w:tc>
          <w:tcPr>
            <w:tcW w:type="dxa" w:w="2016"/>
            <w:tcMar>
              <w:top w:w="80" w:type="dxa"/>
              <w:start w:w="80" w:type="dxa"/>
              <w:bottom w:w="80" w:type="dxa"/>
              <w:end w:w="80" w:type="dxa"/>
            </w:tcMar>
            <w:vAlign w:val="center"/>
          </w:tcPr>
          <w:p>
            <w:r>
              <w:t>Workshop PDF pp. 15-16; practical brief</w:t>
            </w:r>
          </w:p>
        </w:tc>
      </w:tr>
      <w:tr>
        <w:tc>
          <w:tcPr>
            <w:tcW w:type="dxa" w:w="2016"/>
            <w:tcMar>
              <w:top w:w="80" w:type="dxa"/>
              <w:start w:w="80" w:type="dxa"/>
              <w:bottom w:w="80" w:type="dxa"/>
              <w:end w:w="80" w:type="dxa"/>
            </w:tcMar>
            <w:vAlign w:val="center"/>
          </w:tcPr>
          <w:p>
            <w:r>
              <w:t>Differential methylation</w:t>
            </w:r>
          </w:p>
        </w:tc>
        <w:tc>
          <w:tcPr>
            <w:tcW w:type="dxa" w:w="2016"/>
            <w:tcMar>
              <w:top w:w="80" w:type="dxa"/>
              <w:start w:w="80" w:type="dxa"/>
              <w:bottom w:w="80" w:type="dxa"/>
              <w:end w:w="80" w:type="dxa"/>
            </w:tcMar>
            <w:vAlign w:val="center"/>
          </w:tcPr>
          <w:p>
            <w:r>
              <w:t>Fit limma on M-values; compare models with and without CellLine.</w:t>
            </w:r>
          </w:p>
        </w:tc>
        <w:tc>
          <w:tcPr>
            <w:tcW w:type="dxa" w:w="2016"/>
            <w:tcMar>
              <w:top w:w="80" w:type="dxa"/>
              <w:start w:w="80" w:type="dxa"/>
              <w:bottom w:w="80" w:type="dxa"/>
              <w:end w:w="80" w:type="dxa"/>
            </w:tcMar>
            <w:vAlign w:val="center"/>
          </w:tcPr>
          <w:p>
            <w:r>
              <w:t>M-values are better for modelling, especially in small studies.</w:t>
            </w:r>
          </w:p>
        </w:tc>
        <w:tc>
          <w:tcPr>
            <w:tcW w:type="dxa" w:w="2016"/>
            <w:tcMar>
              <w:top w:w="80" w:type="dxa"/>
              <w:start w:w="80" w:type="dxa"/>
              <w:bottom w:w="80" w:type="dxa"/>
              <w:end w:w="80" w:type="dxa"/>
            </w:tcMar>
            <w:vAlign w:val="center"/>
          </w:tcPr>
          <w:p>
            <w:r>
              <w:t>Explain why the final model does or does not include CellLine.</w:t>
            </w:r>
          </w:p>
        </w:tc>
        <w:tc>
          <w:tcPr>
            <w:tcW w:type="dxa" w:w="2016"/>
            <w:tcMar>
              <w:top w:w="80" w:type="dxa"/>
              <w:start w:w="80" w:type="dxa"/>
              <w:bottom w:w="80" w:type="dxa"/>
              <w:end w:w="80" w:type="dxa"/>
            </w:tcMar>
            <w:vAlign w:val="center"/>
          </w:tcPr>
          <w:p>
            <w:r>
              <w:t>ChAMP p. 429; script_2025</w:t>
            </w:r>
          </w:p>
        </w:tc>
      </w:tr>
      <w:tr>
        <w:tc>
          <w:tcPr>
            <w:tcW w:type="dxa" w:w="2016"/>
            <w:tcMar>
              <w:top w:w="80" w:type="dxa"/>
              <w:start w:w="80" w:type="dxa"/>
              <w:bottom w:w="80" w:type="dxa"/>
              <w:end w:w="80" w:type="dxa"/>
            </w:tcMar>
            <w:vAlign w:val="center"/>
          </w:tcPr>
          <w:p>
            <w:r>
              <w:t>Annotation</w:t>
            </w:r>
          </w:p>
        </w:tc>
        <w:tc>
          <w:tcPr>
            <w:tcW w:type="dxa" w:w="2016"/>
            <w:tcMar>
              <w:top w:w="80" w:type="dxa"/>
              <w:start w:w="80" w:type="dxa"/>
              <w:bottom w:w="80" w:type="dxa"/>
              <w:end w:w="80" w:type="dxa"/>
            </w:tcMar>
            <w:vAlign w:val="center"/>
          </w:tcPr>
          <w:p>
            <w:r>
              <w:t>Identify promoter DMPs, promoter+island DMPs, and associated genes.</w:t>
            </w:r>
          </w:p>
        </w:tc>
        <w:tc>
          <w:tcPr>
            <w:tcW w:type="dxa" w:w="2016"/>
            <w:tcMar>
              <w:top w:w="80" w:type="dxa"/>
              <w:start w:w="80" w:type="dxa"/>
              <w:bottom w:w="80" w:type="dxa"/>
              <w:end w:w="80" w:type="dxa"/>
            </w:tcMar>
            <w:vAlign w:val="center"/>
          </w:tcPr>
          <w:p>
            <w:r>
              <w:t>Directly answers the practical brief.</w:t>
            </w:r>
          </w:p>
        </w:tc>
        <w:tc>
          <w:tcPr>
            <w:tcW w:type="dxa" w:w="2016"/>
            <w:tcMar>
              <w:top w:w="80" w:type="dxa"/>
              <w:start w:w="80" w:type="dxa"/>
              <w:bottom w:w="80" w:type="dxa"/>
              <w:end w:w="80" w:type="dxa"/>
            </w:tcMar>
            <w:vAlign w:val="center"/>
          </w:tcPr>
          <w:p>
            <w:r>
              <w:t>State numbers and representative genes.</w:t>
            </w:r>
          </w:p>
        </w:tc>
        <w:tc>
          <w:tcPr>
            <w:tcW w:type="dxa" w:w="2016"/>
            <w:tcMar>
              <w:top w:w="80" w:type="dxa"/>
              <w:start w:w="80" w:type="dxa"/>
              <w:bottom w:w="80" w:type="dxa"/>
              <w:end w:w="80" w:type="dxa"/>
            </w:tcMar>
            <w:vAlign w:val="center"/>
          </w:tcPr>
          <w:p>
            <w:r>
              <w:t>paper.pdf pp. 62548, 62552</w:t>
            </w:r>
          </w:p>
        </w:tc>
      </w:tr>
      <w:tr>
        <w:tc>
          <w:tcPr>
            <w:tcW w:type="dxa" w:w="2016"/>
            <w:tcMar>
              <w:top w:w="80" w:type="dxa"/>
              <w:start w:w="80" w:type="dxa"/>
              <w:bottom w:w="80" w:type="dxa"/>
              <w:end w:w="80" w:type="dxa"/>
            </w:tcMar>
            <w:vAlign w:val="center"/>
          </w:tcPr>
          <w:p>
            <w:r>
              <w:t>Enrichment</w:t>
            </w:r>
          </w:p>
        </w:tc>
        <w:tc>
          <w:tcPr>
            <w:tcW w:type="dxa" w:w="2016"/>
            <w:tcMar>
              <w:top w:w="80" w:type="dxa"/>
              <w:start w:w="80" w:type="dxa"/>
              <w:bottom w:w="80" w:type="dxa"/>
              <w:end w:w="80" w:type="dxa"/>
            </w:tcMar>
            <w:vAlign w:val="center"/>
          </w:tcPr>
          <w:p>
            <w:r>
              <w:t>Use missMethyl / clusterProfiler for GO and KEGG.</w:t>
            </w:r>
          </w:p>
        </w:tc>
        <w:tc>
          <w:tcPr>
            <w:tcW w:type="dxa" w:w="2016"/>
            <w:tcMar>
              <w:top w:w="80" w:type="dxa"/>
              <w:start w:w="80" w:type="dxa"/>
              <w:bottom w:w="80" w:type="dxa"/>
              <w:end w:w="80" w:type="dxa"/>
            </w:tcMar>
            <w:vAlign w:val="center"/>
          </w:tcPr>
          <w:p>
            <w:r>
              <w:t>Tests whether DMP-associated genes converge on BRD4/JQ1-relevant pathways.</w:t>
            </w:r>
          </w:p>
        </w:tc>
        <w:tc>
          <w:tcPr>
            <w:tcW w:type="dxa" w:w="2016"/>
            <w:tcMar>
              <w:top w:w="80" w:type="dxa"/>
              <w:start w:w="80" w:type="dxa"/>
              <w:bottom w:w="80" w:type="dxa"/>
              <w:end w:w="80" w:type="dxa"/>
            </w:tcMar>
            <w:vAlign w:val="center"/>
          </w:tcPr>
          <w:p>
            <w:r>
              <w:t>Interpret enriched terms in cancer, proliferation, migration, transcriptional control.</w:t>
            </w:r>
          </w:p>
        </w:tc>
        <w:tc>
          <w:tcPr>
            <w:tcW w:type="dxa" w:w="2016"/>
            <w:tcMar>
              <w:top w:w="80" w:type="dxa"/>
              <w:start w:w="80" w:type="dxa"/>
              <w:bottom w:w="80" w:type="dxa"/>
              <w:end w:w="80" w:type="dxa"/>
            </w:tcMar>
            <w:vAlign w:val="center"/>
          </w:tcPr>
          <w:p>
            <w:r>
              <w:t>script_2025; practical brief</w:t>
            </w:r>
          </w:p>
        </w:tc>
      </w:tr>
    </w:tbl>
    <w:p>
      <w:pPr>
        <w:pStyle w:val="Heading1"/>
      </w:pPr>
      <w:r>
        <w:t>3. Core modelling decision: should CellLine be in the model?</w:t>
      </w:r>
    </w:p>
    <w:p>
      <w:r>
        <w:t>Yes - unless PCA and simple model comparisons clearly show otherwise, include CellLine as a covariate in the final treatment model. Why? The practical explicitly warns that SCC15 versus SCC25 differences may not be the biological question, but they still may be a strong source of variance. In methylation array analyses, ignoring a dominant sample grouping factor can misattribute lineage differences to treatment.</w:t>
      </w:r>
    </w:p>
    <w:p>
      <w:r>
        <w:t>What to show in your report: (1) PCA scatterplots colored by Treatment and by CellLine, (2) the proportion of variance explained by PC1/PC2, (3) whether samples cluster first by CellLine or Treatment, and (4) a short comparison of limma models with and without CellLine. If CellLine dominates the first PCs, the final model should be ~ CellLine + Treatment.</w:t>
      </w:r>
    </w:p>
    <w:p>
      <w:pPr>
        <w:pStyle w:val="Heading1"/>
      </w:pPr>
      <w:r>
        <w:t>4. Exact R workflow to use</w:t>
      </w:r>
    </w:p>
    <w:p>
      <w:r>
        <w:t>Use the accompanying R script for the full pipeline. Below is the logic of each code block, what it means, and what you should study / discuss.</w:t>
      </w:r>
    </w:p>
    <w:p>
      <w:pPr>
        <w:pStyle w:val="Heading2"/>
      </w:pPr>
      <w:r>
        <w:t>4.1 Read raw IDATs and clean metadata</w:t>
      </w:r>
    </w:p>
    <w:p>
      <w:r>
        <w:t>Why this step exists: Why: RGChannelSet keeps the raw red/green intensities and control probes, which you need for proper QC and preprocessing.</w:t>
      </w:r>
    </w:p>
    <w:p>
      <w:r>
        <w:t>What it means / what to study: Study / discuss: confirm the sample sheet really contains one row per array and correctly labels Treatment and CellLine. If it does not, fix the metadata before doing anything else.</w:t>
      </w:r>
    </w:p>
    <w:p>
      <w:pPr>
        <w:pStyle w:val="CodeBlock"/>
      </w:pPr>
      <w:r>
        <w:t>library(minfi)</w:t>
        <w:br/>
        <w:t>library(limma)</w:t>
        <w:br/>
        <w:t>library(dplyr)</w:t>
        <w:br/>
        <w:t>library(ggplot2)</w:t>
        <w:br/>
        <w:t>library(missMethyl)</w:t>
        <w:br/>
        <w:t>library(clusterProfiler)</w:t>
        <w:br/>
        <w:t>library(org.Hs.eg.db)</w:t>
        <w:br/>
        <w:t>library(ChAMP)</w:t>
        <w:br/>
        <w:br/>
        <w:t>idat_dir &lt;- "PATH_TO_IDAT_FOLDER"</w:t>
        <w:br/>
        <w:t>targets &lt;- read.metharray.sheet(base = idat_dir)</w:t>
        <w:br/>
        <w:t>targets$Treatment &lt;- factor(targets$Treatment, levels = c("DMSO", "JQ1"))</w:t>
        <w:br/>
        <w:t>targets$CellLine  &lt;- factor(targets$CellLine,  levels = c("SCC15", "SCC25"))</w:t>
        <w:br/>
        <w:br/>
        <w:t>rgset &lt;- read.metharray.exp(targets = targets)</w:t>
      </w:r>
    </w:p>
    <w:p>
      <w:r>
        <w:t>Source(s): 02_Methylation_workshop_1.pdf, workflow around PDF pp. 15-16; script_2025_EPIC_modif.R (unpaginated).</w:t>
      </w:r>
    </w:p>
    <w:p>
      <w:pPr>
        <w:pStyle w:val="Heading2"/>
      </w:pPr>
      <w:r>
        <w:t>4.2 Sample-level QC</w:t>
      </w:r>
    </w:p>
    <w:p>
      <w:r>
        <w:t>Why this step exists: Why: low-quality samples often have many failed probes, abnormal methylated/unmethylated intensities, or unusual beta distributions.</w:t>
      </w:r>
    </w:p>
    <w:p>
      <w:r>
        <w:t>What it means / what to study: Study / discuss: do any samples have clearly higher mean detection p-values? Do beta densities look shifted or unusually broad? Does plotQC suggest outliers?</w:t>
      </w:r>
    </w:p>
    <w:p>
      <w:pPr>
        <w:pStyle w:val="CodeBlock"/>
      </w:pPr>
      <w:r>
        <w:t>mset_raw &lt;- preprocessRaw(rgset)</w:t>
        <w:br/>
        <w:t>qc &lt;- getQC(mset_raw)</w:t>
        <w:br/>
        <w:t>plotQC(qc)</w:t>
        <w:br/>
        <w:br/>
        <w:t>pdf("QC_beta_density_raw.pdf", width = 8, height = 6)</w:t>
        <w:br/>
        <w:t>densityPlot(mset_raw, sampGroups = targets$Treatment, main = "Raw beta densities")</w:t>
        <w:br/>
        <w:t>dev.off()</w:t>
        <w:br/>
        <w:br/>
        <w:t>detP &lt;- detectionP(rgset)</w:t>
        <w:br/>
        <w:t>barplot(colMeans(detP), las = 2, cex.names = 0.8,</w:t>
        <w:br/>
        <w:t xml:space="preserve">        col = as.numeric(targets$Treatment),</w:t>
        <w:br/>
        <w:t xml:space="preserve">        main = "Mean detection p-values per sample")</w:t>
      </w:r>
    </w:p>
    <w:p>
      <w:r>
        <w:t>Source(s): Minfi.pdf pp. 1365-1366 (quality assessment); 02_Methylation_workshop_1.pdf, PDF p. 16 (MDS / density / detection p-value QC); script_2025_EPIC_modif.R.</w:t>
      </w:r>
    </w:p>
    <w:p>
      <w:pPr>
        <w:pStyle w:val="Heading2"/>
      </w:pPr>
      <w:r>
        <w:t>4.3 Remove poor-quality samples and probes</w:t>
      </w:r>
    </w:p>
    <w:p>
      <w:r>
        <w:t>Why this step exists: Why: first remove arrays that fail globally, then remove CpGs that fail in one or more retained samples.</w:t>
      </w:r>
    </w:p>
    <w:p>
      <w:r>
        <w:t>What it means / what to study: Study / discuss: report the number of samples removed and the number of probes retained after detection p-value filtering.</w:t>
      </w:r>
    </w:p>
    <w:p>
      <w:pPr>
        <w:pStyle w:val="CodeBlock"/>
      </w:pPr>
      <w:r>
        <w:t>keep_samples &lt;- colMeans(detP) &lt; 0.01</w:t>
        <w:br/>
        <w:t>rgset &lt;- rgset[, keep_samples]</w:t>
        <w:br/>
        <w:t>targets &lt;- targets[keep_samples, ]</w:t>
        <w:br/>
        <w:t>detP &lt;- detP[, keep_samples]</w:t>
        <w:br/>
        <w:br/>
        <w:t>keep_probes &lt;- rowSums(detP &lt; 0.01) == ncol(rgset)</w:t>
        <w:br/>
        <w:t>rgset &lt;- rgset[keep_probes, ]</w:t>
      </w:r>
    </w:p>
    <w:p>
      <w:r>
        <w:t>Source(s): SWAN.pdf p. 7 (removing probes with detection P-value &gt; 0.01); script_2025_EPIC_modif.R; Normalization_review.pdf pp. 930-931 (filter problematic probes).</w:t>
      </w:r>
    </w:p>
    <w:p>
      <w:pPr>
        <w:pStyle w:val="Heading2"/>
      </w:pPr>
      <w:r>
        <w:t>4.4 Normalize the data</w:t>
      </w:r>
    </w:p>
    <w:p>
      <w:r>
        <w:t>Why this step exists: Why: preprocessQuantile is the stratified quantile normalization approach implemented in minfi. It is appropriate when the study design does not expect extreme global methylation distribution changes.</w:t>
      </w:r>
    </w:p>
    <w:p>
      <w:r>
        <w:t>What it means / what to study: Study / discuss: justify this choice because your question is treatment within related SCC cell lines, not a classic tumor-versus-normal contrast. If you observe strong global shifts, state that preprocessFunnorm would be the alternative.</w:t>
      </w:r>
    </w:p>
    <w:p>
      <w:pPr>
        <w:pStyle w:val="CodeBlock"/>
      </w:pPr>
      <w:r>
        <w:t>grset &lt;- preprocessQuantile(rgset)</w:t>
        <w:br/>
        <w:br/>
        <w:t>beta &lt;- getBeta(grset)</w:t>
        <w:br/>
        <w:t>Mval &lt;- getM(grset)</w:t>
      </w:r>
    </w:p>
    <w:p>
      <w:r>
        <w:t>Source(s): Minfi.pdf p. 1365 (preprocessQuantile description and warning about cancer-normal global shifts); Normalization_issues_cancer.pdf p. 1 (functional normalization for global changes).</w:t>
      </w:r>
    </w:p>
    <w:p>
      <w:pPr>
        <w:pStyle w:val="Heading2"/>
      </w:pPr>
      <w:r>
        <w:t>4.5 Remove SNP / cross-reactive / sex-chromosome probes</w:t>
      </w:r>
    </w:p>
    <w:p>
      <w:r>
        <w:t>Why this step exists: Why: SNP-overlapping probes may reflect genotype rather than methylation, cross-reactive probes can hybridize to multiple loci, and sex-chromosome probes are usually removed when sex is not the biological question.</w:t>
      </w:r>
    </w:p>
    <w:p>
      <w:r>
        <w:t>What it means / what to study: Study / discuss: report how many probes were removed at this step and explain why these filters improve specificity.</w:t>
      </w:r>
    </w:p>
    <w:p>
      <w:pPr>
        <w:pStyle w:val="CodeBlock"/>
      </w:pPr>
      <w:r>
        <w:t>Mval_filt &lt;- rmSNPandCH(Mval,</w:t>
        <w:br/>
        <w:t xml:space="preserve">                        dist = 2,</w:t>
        <w:br/>
        <w:t xml:space="preserve">                        mafcut = 0.05,</w:t>
        <w:br/>
        <w:t xml:space="preserve">                        rmcrosshyb = TRUE,</w:t>
        <w:br/>
        <w:t xml:space="preserve">                        rmXY = TRUE)</w:t>
        <w:br/>
        <w:br/>
        <w:t>beta_filt &lt;- beta[rownames(Mval_filt), ]</w:t>
      </w:r>
    </w:p>
    <w:p>
      <w:r>
        <w:t>Source(s): script_2025_EPIC_modif.R (unpaginated); Normalization_review.pdf pp. 930-931 (cross-reactive probes and SNP-containing probes); SWAN.pdf p. 7 (exclude X/Y probes).</w:t>
      </w:r>
    </w:p>
    <w:p>
      <w:pPr>
        <w:pStyle w:val="Heading2"/>
      </w:pPr>
      <w:r>
        <w:t>4.6 PCA to evaluate treatment effect and cell-line effect</w:t>
      </w:r>
    </w:p>
    <w:p>
      <w:r>
        <w:t>Why this step exists: Why: PCA is your main exploratory tool for identifying the largest structure in the dataset.</w:t>
      </w:r>
    </w:p>
    <w:p>
      <w:r>
        <w:t>What it means / what to study: Study / discuss: if samples separate primarily by CellLine, then CellLine is a major source of variation and should stay in the model. If Treatment separation emerges only within each cell-line cluster, say so explicitly.</w:t>
      </w:r>
    </w:p>
    <w:p>
      <w:pPr>
        <w:pStyle w:val="CodeBlock"/>
      </w:pPr>
      <w:r>
        <w:t>var_idx &lt;- order(apply(beta_filt, 1, var), decreasing = TRUE)[1:min(10000, nrow(beta_filt))]</w:t>
        <w:br/>
        <w:t>pca &lt;- prcomp(t(beta_filt[var_idx, ]), center = TRUE, scale. = TRUE)</w:t>
        <w:br/>
        <w:br/>
        <w:t>pca_df &lt;- data.frame(</w:t>
        <w:br/>
        <w:t xml:space="preserve">  Sample = rownames(targets),</w:t>
        <w:br/>
        <w:t xml:space="preserve">  PC1 = pca$x[,1],</w:t>
        <w:br/>
        <w:t xml:space="preserve">  PC2 = pca$x[,2],</w:t>
        <w:br/>
        <w:t xml:space="preserve">  Treatment = targets$Treatment,</w:t>
        <w:br/>
        <w:t xml:space="preserve">  CellLine = targets$CellLine</w:t>
        <w:br/>
        <w:t>)</w:t>
        <w:br/>
        <w:br/>
        <w:t>ggplot(pca_df, aes(PC1, PC2, color = Treatment, shape = CellLine)) +</w:t>
        <w:br/>
        <w:t xml:space="preserve">  geom_point(size = 3) +</w:t>
        <w:br/>
        <w:t xml:space="preserve">  labs(title = "PCA of normalized beta values",</w:t>
        <w:br/>
        <w:t xml:space="preserve">       x = paste0("PC1 (", round(100*summary(pca)$importance[2,1], 1), "%)"),</w:t>
        <w:br/>
        <w:t xml:space="preserve">       y = paste0("PC2 (", round(100*summary(pca)$importance[2,2], 1), "%)"))</w:t>
      </w:r>
    </w:p>
    <w:p>
      <w:r>
        <w:t>Source(s): 02_Methylation_workshop_1.pdf PDF pp. 15-16; practical brief sections 3 and 5.2.</w:t>
      </w:r>
    </w:p>
    <w:p>
      <w:pPr>
        <w:pStyle w:val="Heading2"/>
      </w:pPr>
      <w:r>
        <w:t>4.7 Compare models and fit the final limma model</w:t>
      </w:r>
    </w:p>
    <w:p>
      <w:r>
        <w:t>Why this step exists: Why: limma gives a stable linear-model framework for array-wide inference, and the final coefficient tests JQ1 versus DMSO while adjusting for CellLine.</w:t>
      </w:r>
    </w:p>
    <w:p>
      <w:r>
        <w:t>What it means / what to study: Study / discuss: explain the final design matrix in words. Report the FDR threshold and number of significant DMPs. Also mention whether the results were materially different without CellLine.</w:t>
      </w:r>
    </w:p>
    <w:p>
      <w:pPr>
        <w:pStyle w:val="CodeBlock"/>
      </w:pPr>
      <w:r>
        <w:t>design_treat_only &lt;- model.matrix(~ Treatment, data = targets)</w:t>
        <w:br/>
        <w:t>design_with_cellline &lt;- model.matrix(~ CellLine + Treatment, data = targets)</w:t>
        <w:br/>
        <w:br/>
        <w:t>fit_treat_only &lt;- eBayes(lmFit(Mval_filt, design_treat_only))</w:t>
        <w:br/>
        <w:t>fit_with_cellline &lt;- eBayes(lmFit(Mval_filt, design_with_cellline))</w:t>
        <w:br/>
        <w:br/>
        <w:t>res &lt;- topTable(fit_with_cellline,</w:t>
        <w:br/>
        <w:t xml:space="preserve">                coef = "TreatmentJQ1",</w:t>
        <w:br/>
        <w:t xml:space="preserve">                number = Inf,</w:t>
        <w:br/>
        <w:t xml:space="preserve">                adjust.method = "BH") %&gt;%</w:t>
        <w:br/>
        <w:t xml:space="preserve">  tibble::rownames_to_column("Name")</w:t>
        <w:br/>
        <w:br/>
        <w:t>sig_res &lt;- res %&gt;% filter(adj.P.Val &lt; 0.05)</w:t>
      </w:r>
    </w:p>
    <w:p>
      <w:r>
        <w:t>Source(s): ChAMP.pdf p. 429 (limma on M-values; batch/variation logic); script_2025_EPIC_modif.R.</w:t>
      </w:r>
    </w:p>
    <w:p>
      <w:pPr>
        <w:pStyle w:val="Heading2"/>
      </w:pPr>
      <w:r>
        <w:t>4.8 Annotate DMPs and count promoter / promoter+island loci</w:t>
      </w:r>
    </w:p>
    <w:p>
      <w:r>
        <w:t>Why this step exists: Why: this directly answers the practical questions about promoter regions, promoter+CpG island overlap, and associated genes.</w:t>
      </w:r>
    </w:p>
    <w:p>
      <w:r>
        <w:t>What it means / what to study: Study / discuss: explain your promoter definition clearly. A common operational definition in 450k work is TSS1500 / TSS200 / 5'UTR / 1stExon.</w:t>
      </w:r>
    </w:p>
    <w:p>
      <w:pPr>
        <w:pStyle w:val="CodeBlock"/>
      </w:pPr>
      <w:r>
        <w:t>ann &lt;- as.data.frame(getAnnotation(grset))</w:t>
        <w:br/>
        <w:br/>
        <w:t>res_annot &lt;- res %&gt;%</w:t>
        <w:br/>
        <w:t xml:space="preserve">  left_join(ann %&gt;% dplyr::select(Name, UCSC_RefGene_Name,</w:t>
        <w:br/>
        <w:t xml:space="preserve">                                  UCSC_RefGene_Group, Relation_to_Island),</w:t>
        <w:br/>
        <w:t xml:space="preserve">            by = "Name")</w:t>
        <w:br/>
        <w:br/>
        <w:t>sig_annot &lt;- res_annot %&gt;% filter(adj.P.Val &lt; 0.05)</w:t>
        <w:br/>
        <w:br/>
        <w:t>promoter_sig &lt;- sig_annot %&gt;%</w:t>
        <w:br/>
        <w:t xml:space="preserve">  filter(grepl("TSS1500|TSS200|5'UTR|1stExon", UCSC_RefGene_Group))</w:t>
        <w:br/>
        <w:br/>
        <w:t>promoter_island_sig &lt;- promoter_sig %&gt;%</w:t>
        <w:br/>
        <w:t xml:space="preserve">  filter(Relation_to_Island == "Island")</w:t>
        <w:br/>
        <w:br/>
        <w:t>n_sig &lt;- nrow(sig_annot)</w:t>
        <w:br/>
        <w:t>n_promoter &lt;- nrow(promoter_sig)</w:t>
        <w:br/>
        <w:t>n_promoter_island &lt;- nrow(promoter_island_sig)</w:t>
        <w:br/>
        <w:br/>
        <w:t>genes_promoter &lt;- unique(unlist(strsplit(paste(promoter_sig$UCSC_RefGene_Name, collapse=";"), ";")))</w:t>
        <w:br/>
        <w:t>genes_promoter_island &lt;- unique(unlist(strsplit(paste(promoter_island_sig$UCSC_RefGene_Name, collapse=";"), ";")))</w:t>
      </w:r>
    </w:p>
    <w:p>
      <w:r>
        <w:t>Source(s): paper.pdf pp. 62548 and 62552 (promoter-focused interpretation); script_2025_EPIC_modif.R.</w:t>
      </w:r>
    </w:p>
    <w:p>
      <w:pPr>
        <w:pStyle w:val="Heading2"/>
      </w:pPr>
      <w:r>
        <w:t>4.9 Gene-set enrichment</w:t>
      </w:r>
    </w:p>
    <w:p>
      <w:r>
        <w:t>Why this step exists: Why: missMethyl is designed for methylation arrays and accounts for probe-number bias in gene-set testing.</w:t>
      </w:r>
    </w:p>
    <w:p>
      <w:r>
        <w:t>What it means / what to study: Study / discuss: focus on enrichment involving transcriptional control, cell proliferation, migration, MYC/E2F-like programs, chromatin regulation, or other pathways mechanistically compatible with BRD4 inhibition by JQ1.</w:t>
      </w:r>
    </w:p>
    <w:p>
      <w:pPr>
        <w:pStyle w:val="CodeBlock"/>
      </w:pPr>
      <w:r>
        <w:t>sig_cpg &lt;- sig_annot$Name</w:t>
        <w:br/>
        <w:t>all_cpg &lt;- rownames(Mval_filt)</w:t>
        <w:br/>
        <w:br/>
        <w:t>go_res &lt;- gometh(sig.cpg = sig_cpg, all.cpg = all_cpg, collection = "GO")</w:t>
        <w:br/>
        <w:t>kegg_res &lt;- gometh(sig.cpg = sig_cpg, all.cpg = all_cpg, collection = "KEGG")</w:t>
        <w:br/>
        <w:br/>
        <w:t>write.csv(go_res, "GO_enrichment.csv", row.names = FALSE)</w:t>
        <w:br/>
        <w:t>write.csv(kegg_res, "KEGG_enrichment.csv", row.names = FALSE)</w:t>
      </w:r>
    </w:p>
    <w:p>
      <w:r>
        <w:t>Source(s): script_2025_EPIC_modif.R (missMethyl / enrichment packages); practical brief section 5.4 and section 6.</w:t>
      </w:r>
    </w:p>
    <w:p>
      <w:pPr>
        <w:pStyle w:val="Heading1"/>
      </w:pPr>
      <w:r>
        <w:t>5. How to write the scientific report after running the script</w:t>
      </w:r>
    </w:p>
    <w:tbl>
      <w:tblPr>
        <w:tblStyle w:val="TableGrid"/>
        <w:tblW w:type="auto" w:w="0"/>
        <w:jc w:val="center"/>
        <w:tblLook w:firstColumn="1" w:firstRow="1" w:lastColumn="0" w:lastRow="0" w:noHBand="0" w:noVBand="1" w:val="04A0"/>
      </w:tblPr>
      <w:tblGrid>
        <w:gridCol w:w="5040"/>
        <w:gridCol w:w="5040"/>
      </w:tblGrid>
      <w:tr>
        <w:tc>
          <w:tcPr>
            <w:tcW w:type="dxa" w:w="5040"/>
            <w:shd w:fill="D9EAF7"/>
            <w:tcMar>
              <w:top w:w="100" w:type="dxa"/>
              <w:start w:w="100" w:type="dxa"/>
              <w:bottom w:w="100" w:type="dxa"/>
              <w:end w:w="100" w:type="dxa"/>
            </w:tcMar>
          </w:tcPr>
          <w:p>
            <w:r>
              <w:rPr>
                <w:b/>
              </w:rPr>
              <w:t>Report section</w:t>
            </w:r>
          </w:p>
        </w:tc>
        <w:tc>
          <w:tcPr>
            <w:tcW w:type="dxa" w:w="5040"/>
            <w:shd w:fill="D9EAF7"/>
            <w:tcMar>
              <w:top w:w="100" w:type="dxa"/>
              <w:start w:w="100" w:type="dxa"/>
              <w:bottom w:w="100" w:type="dxa"/>
              <w:end w:w="100" w:type="dxa"/>
            </w:tcMar>
          </w:tcPr>
          <w:p>
            <w:r>
              <w:rPr>
                <w:b/>
              </w:rPr>
              <w:t>What to include</w:t>
            </w:r>
          </w:p>
        </w:tc>
      </w:tr>
      <w:tr>
        <w:tc>
          <w:tcPr>
            <w:tcW w:type="dxa" w:w="5040"/>
            <w:tcMar>
              <w:top w:w="80" w:type="dxa"/>
              <w:start w:w="80" w:type="dxa"/>
              <w:bottom w:w="80" w:type="dxa"/>
              <w:end w:w="80" w:type="dxa"/>
            </w:tcMar>
          </w:tcPr>
          <w:p>
            <w:r>
              <w:t>Methods</w:t>
            </w:r>
          </w:p>
        </w:tc>
        <w:tc>
          <w:tcPr>
            <w:tcW w:type="dxa" w:w="5040"/>
            <w:tcMar>
              <w:top w:w="80" w:type="dxa"/>
              <w:start w:w="80" w:type="dxa"/>
              <w:bottom w:w="80" w:type="dxa"/>
              <w:end w:w="80" w:type="dxa"/>
            </w:tcMar>
          </w:tcPr>
          <w:p>
            <w:r>
              <w:t>State array type, preprocessing functions used, QC thresholds, normalization method, probe filters, and final limma design.</w:t>
            </w:r>
          </w:p>
        </w:tc>
      </w:tr>
      <w:tr>
        <w:tc>
          <w:tcPr>
            <w:tcW w:type="dxa" w:w="5040"/>
            <w:tcMar>
              <w:top w:w="80" w:type="dxa"/>
              <w:start w:w="80" w:type="dxa"/>
              <w:bottom w:w="80" w:type="dxa"/>
              <w:end w:w="80" w:type="dxa"/>
            </w:tcMar>
          </w:tcPr>
          <w:p>
            <w:r>
              <w:t>Results - QC</w:t>
            </w:r>
          </w:p>
        </w:tc>
        <w:tc>
          <w:tcPr>
            <w:tcW w:type="dxa" w:w="5040"/>
            <w:tcMar>
              <w:top w:w="80" w:type="dxa"/>
              <w:start w:w="80" w:type="dxa"/>
              <w:bottom w:w="80" w:type="dxa"/>
              <w:end w:w="80" w:type="dxa"/>
            </w:tcMar>
          </w:tcPr>
          <w:p>
            <w:r>
              <w:t>Report sample QC findings, detection p-value filtering, and final sample/probe counts.</w:t>
            </w:r>
          </w:p>
        </w:tc>
      </w:tr>
      <w:tr>
        <w:tc>
          <w:tcPr>
            <w:tcW w:type="dxa" w:w="5040"/>
            <w:tcMar>
              <w:top w:w="80" w:type="dxa"/>
              <w:start w:w="80" w:type="dxa"/>
              <w:bottom w:w="80" w:type="dxa"/>
              <w:end w:w="80" w:type="dxa"/>
            </w:tcMar>
          </w:tcPr>
          <w:p>
            <w:r>
              <w:t>Results - PCA</w:t>
            </w:r>
          </w:p>
        </w:tc>
        <w:tc>
          <w:tcPr>
            <w:tcW w:type="dxa" w:w="5040"/>
            <w:tcMar>
              <w:top w:w="80" w:type="dxa"/>
              <w:start w:w="80" w:type="dxa"/>
              <w:bottom w:w="80" w:type="dxa"/>
              <w:end w:w="80" w:type="dxa"/>
            </w:tcMar>
          </w:tcPr>
          <w:p>
            <w:r>
              <w:t>Show treatment-colored and cell-line-colored PCA plots. Explicitly state whether CellLine explains more global variance than Treatment.</w:t>
            </w:r>
          </w:p>
        </w:tc>
      </w:tr>
      <w:tr>
        <w:tc>
          <w:tcPr>
            <w:tcW w:type="dxa" w:w="5040"/>
            <w:tcMar>
              <w:top w:w="80" w:type="dxa"/>
              <w:start w:w="80" w:type="dxa"/>
              <w:bottom w:w="80" w:type="dxa"/>
              <w:end w:w="80" w:type="dxa"/>
            </w:tcMar>
          </w:tcPr>
          <w:p>
            <w:r>
              <w:t>Results - Differential methylation</w:t>
            </w:r>
          </w:p>
        </w:tc>
        <w:tc>
          <w:tcPr>
            <w:tcW w:type="dxa" w:w="5040"/>
            <w:tcMar>
              <w:top w:w="80" w:type="dxa"/>
              <w:start w:w="80" w:type="dxa"/>
              <w:bottom w:w="80" w:type="dxa"/>
              <w:end w:w="80" w:type="dxa"/>
            </w:tcMar>
          </w:tcPr>
          <w:p>
            <w:r>
              <w:t>Report the number of significant DMPs at FDR &lt; 0.05 and summarize directionality (hyper versus hypo under JQ1, preferably in M-value logFC direction and beta-value context).</w:t>
            </w:r>
          </w:p>
        </w:tc>
      </w:tr>
      <w:tr>
        <w:tc>
          <w:tcPr>
            <w:tcW w:type="dxa" w:w="5040"/>
            <w:tcMar>
              <w:top w:w="80" w:type="dxa"/>
              <w:start w:w="80" w:type="dxa"/>
              <w:bottom w:w="80" w:type="dxa"/>
              <w:end w:w="80" w:type="dxa"/>
            </w:tcMar>
          </w:tcPr>
          <w:p>
            <w:r>
              <w:t>Results - Annotation</w:t>
            </w:r>
          </w:p>
        </w:tc>
        <w:tc>
          <w:tcPr>
            <w:tcW w:type="dxa" w:w="5040"/>
            <w:tcMar>
              <w:top w:w="80" w:type="dxa"/>
              <w:start w:w="80" w:type="dxa"/>
              <w:bottom w:w="80" w:type="dxa"/>
              <w:end w:w="80" w:type="dxa"/>
            </w:tcMar>
          </w:tcPr>
          <w:p>
            <w:r>
              <w:t>Give counts for all significant DMPs, promoter DMPs, and promoter+island DMPs. List the top genes by adjusted P value and effect size.</w:t>
            </w:r>
          </w:p>
        </w:tc>
      </w:tr>
      <w:tr>
        <w:tc>
          <w:tcPr>
            <w:tcW w:type="dxa" w:w="5040"/>
            <w:tcMar>
              <w:top w:w="80" w:type="dxa"/>
              <w:start w:w="80" w:type="dxa"/>
              <w:bottom w:w="80" w:type="dxa"/>
              <w:end w:w="80" w:type="dxa"/>
            </w:tcMar>
          </w:tcPr>
          <w:p>
            <w:r>
              <w:t>Results - Enrichment</w:t>
            </w:r>
          </w:p>
        </w:tc>
        <w:tc>
          <w:tcPr>
            <w:tcW w:type="dxa" w:w="5040"/>
            <w:tcMar>
              <w:top w:w="80" w:type="dxa"/>
              <w:start w:w="80" w:type="dxa"/>
              <w:bottom w:w="80" w:type="dxa"/>
              <w:end w:w="80" w:type="dxa"/>
            </w:tcMar>
          </w:tcPr>
          <w:p>
            <w:r>
              <w:t>Summarize the top GO / KEGG terms and relate them to BRD4-driven transcription, proliferation, migration, and oncogenic transcriptional programs.</w:t>
            </w:r>
          </w:p>
        </w:tc>
      </w:tr>
      <w:tr>
        <w:tc>
          <w:tcPr>
            <w:tcW w:type="dxa" w:w="5040"/>
            <w:tcMar>
              <w:top w:w="80" w:type="dxa"/>
              <w:start w:w="80" w:type="dxa"/>
              <w:bottom w:w="80" w:type="dxa"/>
              <w:end w:w="80" w:type="dxa"/>
            </w:tcMar>
          </w:tcPr>
          <w:p>
            <w:r>
              <w:t>Discussion</w:t>
            </w:r>
          </w:p>
        </w:tc>
        <w:tc>
          <w:tcPr>
            <w:tcW w:type="dxa" w:w="5040"/>
            <w:tcMar>
              <w:top w:w="80" w:type="dxa"/>
              <w:start w:w="80" w:type="dxa"/>
              <w:bottom w:w="80" w:type="dxa"/>
              <w:end w:w="80" w:type="dxa"/>
            </w:tcMar>
          </w:tcPr>
          <w:p>
            <w:r>
              <w:t>Interpret whether JQ1 appears to induce focused regulatory methylation changes, broad reprogramming, or only modest effects. Also discuss any limitations from sample size and cell-line heterogeneity.</w:t>
            </w:r>
          </w:p>
        </w:tc>
      </w:tr>
    </w:tbl>
    <w:p>
      <w:pPr>
        <w:pStyle w:val="Heading1"/>
      </w:pPr>
      <w:r>
        <w:t>6. What you should discuss biologically</w:t>
      </w:r>
    </w:p>
    <w:p>
      <w:r>
        <w:t>Because the two BRD4/JQ1 background papers were not available inside the chat files, the biological interpretation below is written as a structured discussion guide rather than as a final mechanistic conclusion.</w:t>
      </w:r>
    </w:p>
    <w:p>
      <w:r>
        <w:t>If JQ1-responsive DMPs enrich in promoters and promoter+island regions, that supports a regulatory interpretation rather than random drift.</w:t>
      </w:r>
    </w:p>
    <w:p>
      <w:r>
        <w:t>If genes near significant loci are involved in proliferation, cell cycle, migration, epithelial identity, super-enhancer driven transcription, MYC/E2F signalling, or chromatin regulation, that is biologically compatible with BRD4 inhibition.</w:t>
      </w:r>
    </w:p>
    <w:p>
      <w:r>
        <w:t>If PCA is dominated by CellLine but limma still finds treatment-associated loci after adjusting for CellLine, your conclusion should be that lineage background is strong, but JQ1 still has an independent methylation effect.</w:t>
      </w:r>
    </w:p>
    <w:p>
      <w:r>
        <w:t>If very few DMPs survive FDR correction, discuss limited power, short treatment exposure, or the possibility that JQ1 acts primarily through transcriptional/chromatin mechanisms with limited immediate DNA-methylation change.</w:t>
      </w:r>
    </w:p>
    <w:p>
      <w:r>
        <w:t>If many DMPs are outside promoters, discuss whether JQ1 may affect distal regulatory elements or broader chromatin architecture rather than only classic promoter methylation.</w:t>
      </w:r>
    </w:p>
    <w:p>
      <w:pPr>
        <w:pStyle w:val="Heading1"/>
      </w:pPr>
      <w:r>
        <w:t>7. Source map for the main code decisions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Decision / code block</w:t>
            </w:r>
          </w:p>
        </w:tc>
        <w:tc>
          <w:tcPr>
            <w:tcW w:type="dxa" w:w="3360"/>
            <w:shd w:fill="D9EAF7"/>
          </w:tcPr>
          <w:p>
            <w:r>
              <w:rPr>
                <w:b/>
              </w:rPr>
              <w:t>Source</w:t>
            </w:r>
          </w:p>
        </w:tc>
        <w:tc>
          <w:tcPr>
            <w:tcW w:type="dxa" w:w="3360"/>
            <w:shd w:fill="D9EAF7"/>
          </w:tcPr>
          <w:p>
            <w:r>
              <w:rPr>
                <w:b/>
              </w:rPr>
              <w:t>Where in the source</w:t>
            </w:r>
          </w:p>
        </w:tc>
      </w:tr>
      <w:tr>
        <w:tc>
          <w:tcPr>
            <w:tcW w:type="dxa" w:w="3360"/>
            <w:tcMar>
              <w:top w:w="80" w:type="dxa"/>
              <w:start w:w="80" w:type="dxa"/>
              <w:bottom w:w="80" w:type="dxa"/>
              <w:end w:w="80" w:type="dxa"/>
            </w:tcMar>
          </w:tcPr>
          <w:p>
            <w:r>
              <w:t>Raw import + RGChannelSet / preprocessRaw / getQC / detectionP</w:t>
            </w:r>
          </w:p>
        </w:tc>
        <w:tc>
          <w:tcPr>
            <w:tcW w:type="dxa" w:w="3360"/>
            <w:tcMar>
              <w:top w:w="80" w:type="dxa"/>
              <w:start w:w="80" w:type="dxa"/>
              <w:bottom w:w="80" w:type="dxa"/>
              <w:end w:w="80" w:type="dxa"/>
            </w:tcMar>
          </w:tcPr>
          <w:p>
            <w:r>
              <w:t>script_2025_EPIC_modif.R; Minfi.pdf</w:t>
            </w:r>
          </w:p>
        </w:tc>
        <w:tc>
          <w:tcPr>
            <w:tcW w:type="dxa" w:w="3360"/>
            <w:tcMar>
              <w:top w:w="80" w:type="dxa"/>
              <w:start w:w="80" w:type="dxa"/>
              <w:bottom w:w="80" w:type="dxa"/>
              <w:end w:w="80" w:type="dxa"/>
            </w:tcMar>
          </w:tcPr>
          <w:p>
            <w:r>
              <w:t>script file (unpaginated); Minfi article pp. 1365-1366</w:t>
            </w:r>
          </w:p>
        </w:tc>
      </w:tr>
      <w:tr>
        <w:tc>
          <w:tcPr>
            <w:tcW w:type="dxa" w:w="3360"/>
            <w:tcMar>
              <w:top w:w="80" w:type="dxa"/>
              <w:start w:w="80" w:type="dxa"/>
              <w:bottom w:w="80" w:type="dxa"/>
              <w:end w:w="80" w:type="dxa"/>
            </w:tcMar>
          </w:tcPr>
          <w:p>
            <w:r>
              <w:t>Density plot / outlier logic</w:t>
            </w:r>
          </w:p>
        </w:tc>
        <w:tc>
          <w:tcPr>
            <w:tcW w:type="dxa" w:w="3360"/>
            <w:tcMar>
              <w:top w:w="80" w:type="dxa"/>
              <w:start w:w="80" w:type="dxa"/>
              <w:bottom w:w="80" w:type="dxa"/>
              <w:end w:w="80" w:type="dxa"/>
            </w:tcMar>
          </w:tcPr>
          <w:p>
            <w:r>
              <w:t>02_Methylation_workshop_1.pdf</w:t>
            </w:r>
          </w:p>
        </w:tc>
        <w:tc>
          <w:tcPr>
            <w:tcW w:type="dxa" w:w="3360"/>
            <w:tcMar>
              <w:top w:w="80" w:type="dxa"/>
              <w:start w:w="80" w:type="dxa"/>
              <w:bottom w:w="80" w:type="dxa"/>
              <w:end w:w="80" w:type="dxa"/>
            </w:tcMar>
          </w:tcPr>
          <w:p>
            <w:r>
              <w:t>PDF p. 16</w:t>
            </w:r>
          </w:p>
        </w:tc>
      </w:tr>
      <w:tr>
        <w:tc>
          <w:tcPr>
            <w:tcW w:type="dxa" w:w="3360"/>
            <w:tcMar>
              <w:top w:w="80" w:type="dxa"/>
              <w:start w:w="80" w:type="dxa"/>
              <w:bottom w:w="80" w:type="dxa"/>
              <w:end w:w="80" w:type="dxa"/>
            </w:tcMar>
          </w:tcPr>
          <w:p>
            <w:r>
              <w:t>Stratified quantile normalization</w:t>
            </w:r>
          </w:p>
        </w:tc>
        <w:tc>
          <w:tcPr>
            <w:tcW w:type="dxa" w:w="3360"/>
            <w:tcMar>
              <w:top w:w="80" w:type="dxa"/>
              <w:start w:w="80" w:type="dxa"/>
              <w:bottom w:w="80" w:type="dxa"/>
              <w:end w:w="80" w:type="dxa"/>
            </w:tcMar>
          </w:tcPr>
          <w:p>
            <w:r>
              <w:t>Minfi.pdf</w:t>
            </w:r>
          </w:p>
        </w:tc>
        <w:tc>
          <w:tcPr>
            <w:tcW w:type="dxa" w:w="3360"/>
            <w:tcMar>
              <w:top w:w="80" w:type="dxa"/>
              <w:start w:w="80" w:type="dxa"/>
              <w:bottom w:w="80" w:type="dxa"/>
              <w:end w:w="80" w:type="dxa"/>
            </w:tcMar>
          </w:tcPr>
          <w:p>
            <w:r>
              <w:t>p. 1365</w:t>
            </w:r>
          </w:p>
        </w:tc>
      </w:tr>
      <w:tr>
        <w:tc>
          <w:tcPr>
            <w:tcW w:type="dxa" w:w="3360"/>
            <w:tcMar>
              <w:top w:w="80" w:type="dxa"/>
              <w:start w:w="80" w:type="dxa"/>
              <w:bottom w:w="80" w:type="dxa"/>
              <w:end w:w="80" w:type="dxa"/>
            </w:tcMar>
          </w:tcPr>
          <w:p>
            <w:r>
              <w:t>Functional normalization as alternative when global shifts are expected</w:t>
            </w:r>
          </w:p>
        </w:tc>
        <w:tc>
          <w:tcPr>
            <w:tcW w:type="dxa" w:w="3360"/>
            <w:tcMar>
              <w:top w:w="80" w:type="dxa"/>
              <w:start w:w="80" w:type="dxa"/>
              <w:bottom w:w="80" w:type="dxa"/>
              <w:end w:w="80" w:type="dxa"/>
            </w:tcMar>
          </w:tcPr>
          <w:p>
            <w:r>
              <w:t>Normalization_issues_cancer.pdf</w:t>
            </w:r>
          </w:p>
        </w:tc>
        <w:tc>
          <w:tcPr>
            <w:tcW w:type="dxa" w:w="3360"/>
            <w:tcMar>
              <w:top w:w="80" w:type="dxa"/>
              <w:start w:w="80" w:type="dxa"/>
              <w:bottom w:w="80" w:type="dxa"/>
              <w:end w:w="80" w:type="dxa"/>
            </w:tcMar>
          </w:tcPr>
          <w:p>
            <w:r>
              <w:t>p. 1</w:t>
            </w:r>
          </w:p>
        </w:tc>
      </w:tr>
      <w:tr>
        <w:tc>
          <w:tcPr>
            <w:tcW w:type="dxa" w:w="3360"/>
            <w:tcMar>
              <w:top w:w="80" w:type="dxa"/>
              <w:start w:w="80" w:type="dxa"/>
              <w:bottom w:w="80" w:type="dxa"/>
              <w:end w:w="80" w:type="dxa"/>
            </w:tcMar>
          </w:tcPr>
          <w:p>
            <w:r>
              <w:t>SNP / cross-reactive / sex-chromosome filtering</w:t>
            </w:r>
          </w:p>
        </w:tc>
        <w:tc>
          <w:tcPr>
            <w:tcW w:type="dxa" w:w="3360"/>
            <w:tcMar>
              <w:top w:w="80" w:type="dxa"/>
              <w:start w:w="80" w:type="dxa"/>
              <w:bottom w:w="80" w:type="dxa"/>
              <w:end w:w="80" w:type="dxa"/>
            </w:tcMar>
          </w:tcPr>
          <w:p>
            <w:r>
              <w:t>Normalization_review.pdf; SWAN.pdf; script_2025_EPIC_modif.R</w:t>
            </w:r>
          </w:p>
        </w:tc>
        <w:tc>
          <w:tcPr>
            <w:tcW w:type="dxa" w:w="3360"/>
            <w:tcMar>
              <w:top w:w="80" w:type="dxa"/>
              <w:start w:w="80" w:type="dxa"/>
              <w:bottom w:w="80" w:type="dxa"/>
              <w:end w:w="80" w:type="dxa"/>
            </w:tcMar>
          </w:tcPr>
          <w:p>
            <w:r>
              <w:t>review pp. 930-931; SWAN p. 7; script file</w:t>
            </w:r>
          </w:p>
        </w:tc>
      </w:tr>
      <w:tr>
        <w:tc>
          <w:tcPr>
            <w:tcW w:type="dxa" w:w="3360"/>
            <w:tcMar>
              <w:top w:w="80" w:type="dxa"/>
              <w:start w:w="80" w:type="dxa"/>
              <w:bottom w:w="80" w:type="dxa"/>
              <w:end w:w="80" w:type="dxa"/>
            </w:tcMar>
          </w:tcPr>
          <w:p>
            <w:r>
              <w:t>Use of M-values in modelling and limma</w:t>
            </w:r>
          </w:p>
        </w:tc>
        <w:tc>
          <w:tcPr>
            <w:tcW w:type="dxa" w:w="3360"/>
            <w:tcMar>
              <w:top w:w="80" w:type="dxa"/>
              <w:start w:w="80" w:type="dxa"/>
              <w:bottom w:w="80" w:type="dxa"/>
              <w:end w:w="80" w:type="dxa"/>
            </w:tcMar>
          </w:tcPr>
          <w:p>
            <w:r>
              <w:t>ChAMP.pdf</w:t>
            </w:r>
          </w:p>
        </w:tc>
        <w:tc>
          <w:tcPr>
            <w:tcW w:type="dxa" w:w="3360"/>
            <w:tcMar>
              <w:top w:w="80" w:type="dxa"/>
              <w:start w:w="80" w:type="dxa"/>
              <w:bottom w:w="80" w:type="dxa"/>
              <w:end w:w="80" w:type="dxa"/>
            </w:tcMar>
          </w:tcPr>
          <w:p>
            <w:r>
              <w:t>p. 429</w:t>
            </w:r>
          </w:p>
        </w:tc>
      </w:tr>
      <w:tr>
        <w:tc>
          <w:tcPr>
            <w:tcW w:type="dxa" w:w="3360"/>
            <w:tcMar>
              <w:top w:w="80" w:type="dxa"/>
              <w:start w:w="80" w:type="dxa"/>
              <w:bottom w:w="80" w:type="dxa"/>
              <w:end w:w="80" w:type="dxa"/>
            </w:tcMar>
          </w:tcPr>
          <w:p>
            <w:r>
              <w:t>Promoter definition and promoter+island focus</w:t>
            </w:r>
          </w:p>
        </w:tc>
        <w:tc>
          <w:tcPr>
            <w:tcW w:type="dxa" w:w="3360"/>
            <w:tcMar>
              <w:top w:w="80" w:type="dxa"/>
              <w:start w:w="80" w:type="dxa"/>
              <w:bottom w:w="80" w:type="dxa"/>
              <w:end w:w="80" w:type="dxa"/>
            </w:tcMar>
          </w:tcPr>
          <w:p>
            <w:r>
              <w:t>paper.pdf; script_2025_EPIC_modif.R</w:t>
            </w:r>
          </w:p>
        </w:tc>
        <w:tc>
          <w:tcPr>
            <w:tcW w:type="dxa" w:w="3360"/>
            <w:tcMar>
              <w:top w:w="80" w:type="dxa"/>
              <w:start w:w="80" w:type="dxa"/>
              <w:bottom w:w="80" w:type="dxa"/>
              <w:end w:w="80" w:type="dxa"/>
            </w:tcMar>
          </w:tcPr>
          <w:p>
            <w:r>
              <w:t>paper pp. 62548 and 62552; script file</w:t>
            </w:r>
          </w:p>
        </w:tc>
      </w:tr>
    </w:tbl>
    <w:p>
      <w:pPr>
        <w:pStyle w:val="Heading1"/>
      </w:pPr>
      <w:r>
        <w:t>8. What I still need from you to turn this into a fully solved practical</w:t>
      </w:r>
    </w:p>
    <w:p>
      <w:r>
        <w:t>Upload one zip file containing: (1) all IDAT files, (2) the sample sheet, and (3) the two BRD4/JQ1 background papers. With those files available directly in the chat, the same workflow can be run to produce the real PCA plots, DMP counts, promoter counts, enrichment tables, and a final biological interpretation specific to your dataset.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65F9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keepLines/>
      <w:spacing w:before="60" w:after="60"/>
      <w:ind w:left="288" w:right="288"/>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