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541D0" w14:textId="13EC71CB" w:rsidR="00C6554A" w:rsidRPr="00A71C1D" w:rsidRDefault="00C6554A" w:rsidP="68B2CB47">
      <w:pPr>
        <w:rPr>
          <w:rFonts w:ascii="Calibri" w:hAnsi="Calibri" w:cs="Calibri"/>
        </w:rPr>
      </w:pPr>
      <w:bookmarkStart w:id="0" w:name="_GoBack"/>
      <w:bookmarkEnd w:id="0"/>
    </w:p>
    <w:p w14:paraId="401EE567" w14:textId="33B9D118" w:rsidR="00C6554A" w:rsidRPr="00A71C1D" w:rsidRDefault="55532AC4" w:rsidP="00C6554A">
      <w:pPr>
        <w:pStyle w:val="Photo"/>
        <w:rPr>
          <w:rFonts w:ascii="Calibri" w:hAnsi="Calibri" w:cs="Calibri"/>
        </w:rPr>
      </w:pPr>
      <w:r w:rsidRPr="00A71C1D">
        <w:rPr>
          <w:rFonts w:ascii="Calibri" w:hAnsi="Calibri" w:cs="Calibri"/>
          <w:noProof/>
          <w:lang w:eastAsia="en-AU"/>
        </w:rPr>
        <w:drawing>
          <wp:inline distT="0" distB="0" distL="0" distR="0" wp14:anchorId="15BB7F1B" wp14:editId="6DE3B59A">
            <wp:extent cx="4572000" cy="3048000"/>
            <wp:effectExtent l="0" t="0" r="0" b="0"/>
            <wp:docPr id="2082601148" name="Picture 208260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bookmarkStart w:id="1" w:name="_Toc321147149"/>
      <w:bookmarkStart w:id="2" w:name="_Toc318188227"/>
      <w:bookmarkStart w:id="3" w:name="_Toc318188327"/>
      <w:bookmarkStart w:id="4" w:name="_Toc318189312"/>
      <w:bookmarkStart w:id="5" w:name="_Toc321147011"/>
    </w:p>
    <w:bookmarkEnd w:id="1"/>
    <w:bookmarkEnd w:id="2"/>
    <w:bookmarkEnd w:id="3"/>
    <w:bookmarkEnd w:id="4"/>
    <w:bookmarkEnd w:id="5"/>
    <w:p w14:paraId="7C5369FF" w14:textId="42D3AA38" w:rsidR="00C6554A" w:rsidRPr="0035279F" w:rsidRDefault="00D911DB" w:rsidP="00C6554A">
      <w:pPr>
        <w:pStyle w:val="Title"/>
        <w:rPr>
          <w:rFonts w:ascii="Calibri" w:hAnsi="Calibri" w:cs="Calibri"/>
        </w:rPr>
      </w:pPr>
      <w:r w:rsidRPr="0035279F">
        <w:rPr>
          <w:rFonts w:ascii="Calibri" w:hAnsi="Calibri" w:cs="Calibri"/>
        </w:rPr>
        <w:t>The</w:t>
      </w:r>
      <w:r w:rsidR="55532AC4" w:rsidRPr="0035279F">
        <w:rPr>
          <w:rFonts w:ascii="Calibri" w:hAnsi="Calibri" w:cs="Calibri"/>
        </w:rPr>
        <w:t xml:space="preserve"> Relationship Between Customer Satisfactio</w:t>
      </w:r>
      <w:r w:rsidRPr="0035279F">
        <w:rPr>
          <w:rFonts w:ascii="Calibri" w:hAnsi="Calibri" w:cs="Calibri"/>
        </w:rPr>
        <w:t>n and Loyalty</w:t>
      </w:r>
    </w:p>
    <w:p w14:paraId="1C30827F" w14:textId="0812ED0A" w:rsidR="00C6554A" w:rsidRPr="0035279F" w:rsidRDefault="00D911DB" w:rsidP="00C6554A">
      <w:pPr>
        <w:pStyle w:val="ContactInfo"/>
        <w:rPr>
          <w:rFonts w:ascii="Calibri" w:hAnsi="Calibri" w:cs="Calibri"/>
        </w:rPr>
      </w:pPr>
      <w:r w:rsidRPr="0035279F">
        <w:rPr>
          <w:rFonts w:ascii="Calibri" w:hAnsi="Calibri" w:cs="Calibri"/>
        </w:rPr>
        <w:t>Mirna Arivalagan - 220142881</w:t>
      </w:r>
      <w:r w:rsidR="00C6554A" w:rsidRPr="0035279F">
        <w:rPr>
          <w:rFonts w:ascii="Calibri" w:hAnsi="Calibri" w:cs="Calibri"/>
        </w:rPr>
        <w:t xml:space="preserve"> | </w:t>
      </w:r>
      <w:r w:rsidRPr="0035279F">
        <w:rPr>
          <w:rFonts w:ascii="Calibri" w:hAnsi="Calibri" w:cs="Calibri"/>
        </w:rPr>
        <w:t>Marketing Analytics – MIS784</w:t>
      </w:r>
      <w:r w:rsidR="00C6554A" w:rsidRPr="0035279F">
        <w:rPr>
          <w:rFonts w:ascii="Calibri" w:hAnsi="Calibri" w:cs="Calibri"/>
        </w:rPr>
        <w:t xml:space="preserve"> | </w:t>
      </w:r>
      <w:r w:rsidRPr="0035279F">
        <w:rPr>
          <w:rFonts w:ascii="Calibri" w:hAnsi="Calibri" w:cs="Calibri"/>
        </w:rPr>
        <w:t>December 2020</w:t>
      </w:r>
      <w:r w:rsidR="00C6554A" w:rsidRPr="0035279F">
        <w:rPr>
          <w:rFonts w:ascii="Calibri" w:hAnsi="Calibri" w:cs="Calibri"/>
        </w:rPr>
        <w:br w:type="page"/>
      </w:r>
    </w:p>
    <w:p w14:paraId="0C0B12C3" w14:textId="12BAE517" w:rsidR="00C6554A" w:rsidRPr="00ED4963" w:rsidRDefault="00D911DB" w:rsidP="00ED4963">
      <w:pPr>
        <w:pStyle w:val="Heading1"/>
        <w:ind w:firstLine="360"/>
        <w:rPr>
          <w:rFonts w:ascii="Calibri" w:hAnsi="Calibri" w:cs="Calibri"/>
          <w:b/>
          <w:sz w:val="40"/>
          <w:szCs w:val="40"/>
        </w:rPr>
      </w:pPr>
      <w:r w:rsidRPr="00ED4963">
        <w:rPr>
          <w:rFonts w:ascii="Calibri" w:hAnsi="Calibri" w:cs="Calibri"/>
          <w:b/>
          <w:sz w:val="40"/>
          <w:szCs w:val="40"/>
        </w:rPr>
        <w:lastRenderedPageBreak/>
        <w:t>Table of Contents</w:t>
      </w:r>
    </w:p>
    <w:p w14:paraId="2BE9E398" w14:textId="25E922A0" w:rsidR="002C74C0" w:rsidRPr="0035279F" w:rsidRDefault="001B2579" w:rsidP="00D911DB">
      <w:pPr>
        <w:rPr>
          <w:rFonts w:ascii="Calibri" w:hAnsi="Calibri" w:cs="Calibri"/>
        </w:rPr>
      </w:pPr>
    </w:p>
    <w:p w14:paraId="7BE21FE0" w14:textId="7AAFD9E9" w:rsidR="00D911DB" w:rsidRPr="0035279F" w:rsidRDefault="00D911DB" w:rsidP="00D911DB">
      <w:pPr>
        <w:pStyle w:val="ListParagraph"/>
        <w:numPr>
          <w:ilvl w:val="0"/>
          <w:numId w:val="17"/>
        </w:numPr>
        <w:rPr>
          <w:rFonts w:ascii="Calibri" w:hAnsi="Calibri" w:cs="Calibri"/>
          <w:color w:val="auto"/>
          <w:sz w:val="28"/>
          <w:szCs w:val="28"/>
        </w:rPr>
      </w:pPr>
      <w:r w:rsidRPr="0035279F">
        <w:rPr>
          <w:rFonts w:ascii="Calibri" w:hAnsi="Calibri" w:cs="Calibri"/>
          <w:color w:val="auto"/>
          <w:sz w:val="28"/>
          <w:szCs w:val="28"/>
        </w:rPr>
        <w:t>Literature Review – Should Organisations</w:t>
      </w:r>
      <w:r w:rsidR="00A71C1D" w:rsidRPr="0035279F">
        <w:rPr>
          <w:rFonts w:ascii="Calibri" w:hAnsi="Calibri" w:cs="Calibri"/>
          <w:color w:val="auto"/>
          <w:sz w:val="28"/>
          <w:szCs w:val="28"/>
        </w:rPr>
        <w:t xml:space="preserve"> Stop Trying to Delight Their Customers?</w:t>
      </w:r>
    </w:p>
    <w:p w14:paraId="4747C863" w14:textId="490F848A" w:rsidR="00A71C1D" w:rsidRPr="0035279F" w:rsidRDefault="00A71C1D" w:rsidP="00A71C1D">
      <w:pPr>
        <w:pStyle w:val="ListParagraph"/>
        <w:rPr>
          <w:rFonts w:ascii="Calibri" w:hAnsi="Calibri" w:cs="Calibri"/>
          <w:color w:val="auto"/>
          <w:sz w:val="28"/>
          <w:szCs w:val="28"/>
        </w:rPr>
      </w:pPr>
    </w:p>
    <w:p w14:paraId="735C893B" w14:textId="19FF5050" w:rsidR="00A71C1D" w:rsidRPr="0035279F" w:rsidRDefault="00A71C1D" w:rsidP="00A71C1D">
      <w:pPr>
        <w:pStyle w:val="ListParagraph"/>
        <w:numPr>
          <w:ilvl w:val="0"/>
          <w:numId w:val="17"/>
        </w:numPr>
        <w:rPr>
          <w:rFonts w:ascii="Calibri" w:hAnsi="Calibri" w:cs="Calibri"/>
          <w:color w:val="auto"/>
          <w:sz w:val="28"/>
          <w:szCs w:val="28"/>
        </w:rPr>
      </w:pPr>
      <w:r w:rsidRPr="0035279F">
        <w:rPr>
          <w:rFonts w:ascii="Calibri" w:hAnsi="Calibri" w:cs="Calibri"/>
          <w:color w:val="auto"/>
          <w:sz w:val="28"/>
          <w:szCs w:val="28"/>
        </w:rPr>
        <w:t>Customer Satisfaction &amp; Intention to Recommend Analysis</w:t>
      </w:r>
    </w:p>
    <w:p w14:paraId="72DA0997" w14:textId="77777777" w:rsidR="00A71C1D" w:rsidRPr="0035279F" w:rsidRDefault="00A71C1D" w:rsidP="00A71C1D">
      <w:pPr>
        <w:pStyle w:val="ListParagraph"/>
        <w:rPr>
          <w:rFonts w:ascii="Calibri" w:hAnsi="Calibri" w:cs="Calibri"/>
          <w:color w:val="auto"/>
          <w:sz w:val="28"/>
          <w:szCs w:val="28"/>
        </w:rPr>
      </w:pPr>
    </w:p>
    <w:p w14:paraId="72B8D36B" w14:textId="36CBF94E" w:rsidR="00A71C1D" w:rsidRPr="0035279F" w:rsidRDefault="00A71C1D" w:rsidP="00A71C1D">
      <w:pPr>
        <w:pStyle w:val="ListParagraph"/>
        <w:numPr>
          <w:ilvl w:val="0"/>
          <w:numId w:val="17"/>
        </w:numPr>
        <w:rPr>
          <w:rFonts w:ascii="Calibri" w:hAnsi="Calibri" w:cs="Calibri"/>
          <w:color w:val="auto"/>
          <w:sz w:val="28"/>
          <w:szCs w:val="28"/>
        </w:rPr>
      </w:pPr>
      <w:r w:rsidRPr="0035279F">
        <w:rPr>
          <w:rFonts w:ascii="Calibri" w:hAnsi="Calibri" w:cs="Calibri"/>
          <w:color w:val="auto"/>
          <w:sz w:val="28"/>
          <w:szCs w:val="28"/>
        </w:rPr>
        <w:t>Recommendations</w:t>
      </w:r>
    </w:p>
    <w:p w14:paraId="03A344A0" w14:textId="77777777" w:rsidR="00A71C1D" w:rsidRPr="0035279F" w:rsidRDefault="00A71C1D" w:rsidP="00A71C1D">
      <w:pPr>
        <w:pStyle w:val="ListParagraph"/>
        <w:rPr>
          <w:rFonts w:ascii="Calibri" w:hAnsi="Calibri" w:cs="Calibri"/>
          <w:color w:val="auto"/>
          <w:sz w:val="28"/>
          <w:szCs w:val="28"/>
        </w:rPr>
      </w:pPr>
    </w:p>
    <w:p w14:paraId="4A27FFED" w14:textId="305BBF63" w:rsidR="00A71C1D" w:rsidRPr="0035279F" w:rsidRDefault="00A71C1D" w:rsidP="00A71C1D">
      <w:pPr>
        <w:pStyle w:val="ListParagraph"/>
        <w:numPr>
          <w:ilvl w:val="0"/>
          <w:numId w:val="17"/>
        </w:numPr>
        <w:rPr>
          <w:rFonts w:ascii="Calibri" w:hAnsi="Calibri" w:cs="Calibri"/>
          <w:color w:val="auto"/>
          <w:sz w:val="28"/>
          <w:szCs w:val="28"/>
        </w:rPr>
      </w:pPr>
      <w:r w:rsidRPr="0035279F">
        <w:rPr>
          <w:rFonts w:ascii="Calibri" w:hAnsi="Calibri" w:cs="Calibri"/>
          <w:color w:val="auto"/>
          <w:sz w:val="28"/>
          <w:szCs w:val="28"/>
        </w:rPr>
        <w:t>Appendix – Tables &amp; Graphs</w:t>
      </w:r>
    </w:p>
    <w:p w14:paraId="38080F48" w14:textId="77777777" w:rsidR="00A71C1D" w:rsidRPr="0035279F" w:rsidRDefault="00A71C1D" w:rsidP="00A71C1D">
      <w:pPr>
        <w:pStyle w:val="ListParagraph"/>
        <w:rPr>
          <w:rFonts w:ascii="Calibri" w:hAnsi="Calibri" w:cs="Calibri"/>
          <w:color w:val="auto"/>
          <w:sz w:val="28"/>
          <w:szCs w:val="28"/>
        </w:rPr>
      </w:pPr>
    </w:p>
    <w:p w14:paraId="4AC9FB20" w14:textId="26746489" w:rsidR="00A71C1D" w:rsidRPr="0035279F" w:rsidRDefault="00A71C1D" w:rsidP="00A71C1D">
      <w:pPr>
        <w:pStyle w:val="ListParagraph"/>
        <w:numPr>
          <w:ilvl w:val="0"/>
          <w:numId w:val="17"/>
        </w:numPr>
        <w:rPr>
          <w:rFonts w:ascii="Calibri" w:hAnsi="Calibri" w:cs="Calibri"/>
          <w:color w:val="auto"/>
          <w:sz w:val="28"/>
          <w:szCs w:val="28"/>
        </w:rPr>
      </w:pPr>
      <w:r w:rsidRPr="0035279F">
        <w:rPr>
          <w:rFonts w:ascii="Calibri" w:hAnsi="Calibri" w:cs="Calibri"/>
          <w:color w:val="auto"/>
          <w:sz w:val="28"/>
          <w:szCs w:val="28"/>
        </w:rPr>
        <w:t>References</w:t>
      </w:r>
    </w:p>
    <w:p w14:paraId="7D29DFBD" w14:textId="37934BBE" w:rsidR="00D911DB" w:rsidRPr="0035279F" w:rsidRDefault="00D911DB">
      <w:pPr>
        <w:rPr>
          <w:rFonts w:ascii="Calibri" w:hAnsi="Calibri" w:cs="Calibri"/>
        </w:rPr>
      </w:pPr>
    </w:p>
    <w:p w14:paraId="28CD7E3C" w14:textId="31A11AF4" w:rsidR="00D911DB" w:rsidRPr="0035279F" w:rsidRDefault="00D911DB">
      <w:pPr>
        <w:rPr>
          <w:rFonts w:ascii="Calibri" w:hAnsi="Calibri" w:cs="Calibri"/>
        </w:rPr>
      </w:pPr>
    </w:p>
    <w:p w14:paraId="0C93C854" w14:textId="1B4F190C" w:rsidR="00D911DB" w:rsidRPr="0035279F" w:rsidRDefault="00D911DB">
      <w:pPr>
        <w:rPr>
          <w:rFonts w:ascii="Calibri" w:hAnsi="Calibri" w:cs="Calibri"/>
        </w:rPr>
      </w:pPr>
    </w:p>
    <w:p w14:paraId="448096B5" w14:textId="47236FC8" w:rsidR="00D911DB" w:rsidRPr="0035279F" w:rsidRDefault="00D911DB">
      <w:pPr>
        <w:rPr>
          <w:rFonts w:ascii="Calibri" w:hAnsi="Calibri" w:cs="Calibri"/>
        </w:rPr>
      </w:pPr>
    </w:p>
    <w:p w14:paraId="35843502" w14:textId="3A3E0936" w:rsidR="00D911DB" w:rsidRPr="0035279F" w:rsidRDefault="00D911DB">
      <w:pPr>
        <w:rPr>
          <w:rFonts w:ascii="Calibri" w:hAnsi="Calibri" w:cs="Calibri"/>
        </w:rPr>
      </w:pPr>
    </w:p>
    <w:p w14:paraId="78F4419E" w14:textId="0EC78C96" w:rsidR="00D911DB" w:rsidRPr="0035279F" w:rsidRDefault="00D911DB">
      <w:pPr>
        <w:rPr>
          <w:rFonts w:ascii="Calibri" w:hAnsi="Calibri" w:cs="Calibri"/>
        </w:rPr>
      </w:pPr>
    </w:p>
    <w:p w14:paraId="1869180F" w14:textId="03957203" w:rsidR="00D911DB" w:rsidRPr="0035279F" w:rsidRDefault="00D911DB">
      <w:pPr>
        <w:rPr>
          <w:rFonts w:ascii="Calibri" w:hAnsi="Calibri" w:cs="Calibri"/>
        </w:rPr>
      </w:pPr>
    </w:p>
    <w:p w14:paraId="17439E81" w14:textId="32EDE3EB" w:rsidR="00D911DB" w:rsidRPr="0035279F" w:rsidRDefault="00D911DB">
      <w:pPr>
        <w:rPr>
          <w:rFonts w:ascii="Calibri" w:hAnsi="Calibri" w:cs="Calibri"/>
        </w:rPr>
      </w:pPr>
    </w:p>
    <w:p w14:paraId="6B4D7301" w14:textId="691F10AD" w:rsidR="00D911DB" w:rsidRPr="0035279F" w:rsidRDefault="00D911DB">
      <w:pPr>
        <w:rPr>
          <w:rFonts w:ascii="Calibri" w:hAnsi="Calibri" w:cs="Calibri"/>
        </w:rPr>
      </w:pPr>
    </w:p>
    <w:p w14:paraId="67CFA12D" w14:textId="1EC04CD9" w:rsidR="00D911DB" w:rsidRPr="0035279F" w:rsidRDefault="00D911DB">
      <w:pPr>
        <w:rPr>
          <w:rFonts w:ascii="Calibri" w:hAnsi="Calibri" w:cs="Calibri"/>
        </w:rPr>
      </w:pPr>
    </w:p>
    <w:p w14:paraId="5250D50E" w14:textId="64154591" w:rsidR="00D911DB" w:rsidRPr="0035279F" w:rsidRDefault="00D911DB">
      <w:pPr>
        <w:rPr>
          <w:rFonts w:ascii="Calibri" w:hAnsi="Calibri" w:cs="Calibri"/>
        </w:rPr>
      </w:pPr>
    </w:p>
    <w:p w14:paraId="1F1ABFE4" w14:textId="77777777" w:rsidR="00A71C1D" w:rsidRPr="0035279F" w:rsidRDefault="00A71C1D">
      <w:pPr>
        <w:rPr>
          <w:rFonts w:ascii="Calibri" w:hAnsi="Calibri" w:cs="Calibri"/>
        </w:rPr>
      </w:pPr>
    </w:p>
    <w:p w14:paraId="308371F1" w14:textId="15087C56" w:rsidR="00D911DB" w:rsidRPr="0035279F" w:rsidRDefault="00D911DB">
      <w:pPr>
        <w:rPr>
          <w:rFonts w:ascii="Calibri" w:hAnsi="Calibri" w:cs="Calibri"/>
        </w:rPr>
      </w:pPr>
    </w:p>
    <w:p w14:paraId="6ACCA2B6" w14:textId="3B3A3733" w:rsidR="00D911DB" w:rsidRPr="0035279F" w:rsidRDefault="00A71C1D" w:rsidP="00D911DB">
      <w:pPr>
        <w:pStyle w:val="Heading1"/>
        <w:rPr>
          <w:rFonts w:ascii="Calibri" w:hAnsi="Calibri" w:cs="Calibri"/>
          <w:b/>
          <w:u w:val="single"/>
        </w:rPr>
      </w:pPr>
      <w:r w:rsidRPr="0035279F">
        <w:rPr>
          <w:rFonts w:ascii="Calibri" w:hAnsi="Calibri" w:cs="Calibri"/>
          <w:b/>
          <w:u w:val="single"/>
        </w:rPr>
        <w:lastRenderedPageBreak/>
        <w:t>Should Organisation Stop Trying to Delight their Customers?</w:t>
      </w:r>
    </w:p>
    <w:p w14:paraId="012041E9" w14:textId="77777777" w:rsidR="00A71C1D" w:rsidRPr="0035279F" w:rsidRDefault="00A71C1D" w:rsidP="00A71C1D">
      <w:pPr>
        <w:rPr>
          <w:rFonts w:ascii="Calibri" w:hAnsi="Calibri" w:cs="Calibri"/>
          <w:color w:val="auto"/>
        </w:rPr>
      </w:pPr>
      <w:r w:rsidRPr="0035279F">
        <w:rPr>
          <w:rFonts w:ascii="Calibri" w:hAnsi="Calibri" w:cs="Calibri"/>
          <w:color w:val="auto"/>
        </w:rPr>
        <w:t>To assess if organisations should stop delighting its customers, there are multiple factors that need to be considered such as what sector the organisation is in, what is the delight program strategy, how will satisfaction be measured and linked to future growth and finally what is the impact to the organisation if customer satisfaction isn’t a priority.</w:t>
      </w:r>
    </w:p>
    <w:p w14:paraId="4D8D3367" w14:textId="77777777" w:rsidR="00A71C1D" w:rsidRPr="0035279F" w:rsidRDefault="00A71C1D" w:rsidP="00A71C1D">
      <w:pPr>
        <w:rPr>
          <w:rFonts w:ascii="Calibri" w:hAnsi="Calibri" w:cs="Calibri"/>
          <w:color w:val="auto"/>
          <w:lang w:val="en-US"/>
        </w:rPr>
      </w:pPr>
      <w:r w:rsidRPr="0035279F">
        <w:rPr>
          <w:rFonts w:ascii="Calibri" w:hAnsi="Calibri" w:cs="Calibri"/>
          <w:color w:val="auto"/>
        </w:rPr>
        <w:t>For organisations that are not in a highly competitive sector and hold a monopoly in the market such as banks and superannuation providers, they could get by without putting too much effort in delighting its customers, rather these organisations should focus on ease of service. Ease of service has been argued as a driver of customer satisfaction by both Dixon et al (2010:118) and Seiber</w:t>
      </w:r>
      <w:r w:rsidRPr="0035279F">
        <w:rPr>
          <w:rFonts w:ascii="Calibri" w:hAnsi="Calibri" w:cs="Calibri"/>
          <w:color w:val="auto"/>
          <w:lang w:val="en-US"/>
        </w:rPr>
        <w:t xml:space="preserve"> et al (2020:57).</w:t>
      </w:r>
    </w:p>
    <w:p w14:paraId="3CF9D341" w14:textId="77777777" w:rsidR="00A71C1D" w:rsidRPr="0035279F" w:rsidRDefault="00A71C1D" w:rsidP="00A71C1D">
      <w:pPr>
        <w:rPr>
          <w:rFonts w:ascii="Calibri" w:hAnsi="Calibri" w:cs="Calibri"/>
          <w:color w:val="auto"/>
          <w:lang w:val="en-US"/>
        </w:rPr>
      </w:pPr>
      <w:r w:rsidRPr="0035279F">
        <w:rPr>
          <w:rFonts w:ascii="Calibri" w:hAnsi="Calibri" w:cs="Calibri"/>
          <w:color w:val="auto"/>
          <w:lang w:val="en-US"/>
        </w:rPr>
        <w:t>Marketing executives also need to consider their strategy around the type of delight program that they are planning to roll out to their customers. Rust and Oliver (2000) modelled out 3 types of delights (assimilated delight, reenacted delight and transitory delight) into a model that was developed to assess if delighting a customer pays off. The model concludes that a delight program can pay off if customer satisfaction is the main driver of purchase and re-consumption behavior.</w:t>
      </w:r>
      <w:r w:rsidRPr="0035279F">
        <w:rPr>
          <w:rFonts w:ascii="Calibri" w:hAnsi="Calibri" w:cs="Calibri"/>
          <w:color w:val="auto"/>
        </w:rPr>
        <w:t xml:space="preserve"> Organisations</w:t>
      </w:r>
      <w:r w:rsidRPr="0035279F">
        <w:rPr>
          <w:rFonts w:ascii="Calibri" w:hAnsi="Calibri" w:cs="Calibri"/>
          <w:color w:val="auto"/>
          <w:lang w:val="en-US"/>
        </w:rPr>
        <w:t xml:space="preserve"> need to consider if future profits outweigh the cost of running the delight program, and or if they can capitalize on the raised expectations for its existing and competitors’ customers.</w:t>
      </w:r>
    </w:p>
    <w:p w14:paraId="572A4BF0" w14:textId="77777777" w:rsidR="00A71C1D" w:rsidRPr="0035279F" w:rsidRDefault="00A71C1D" w:rsidP="00A71C1D">
      <w:pPr>
        <w:rPr>
          <w:rFonts w:ascii="Calibri" w:hAnsi="Calibri" w:cs="Calibri"/>
          <w:color w:val="auto"/>
          <w:lang w:val="en-US"/>
        </w:rPr>
      </w:pPr>
      <w:r w:rsidRPr="0035279F">
        <w:rPr>
          <w:rFonts w:ascii="Calibri" w:hAnsi="Calibri" w:cs="Calibri"/>
          <w:color w:val="auto"/>
        </w:rPr>
        <w:t>Organisations should also put in some thought in how they are measuring customer satisfaction and the returns of the delight program. As noted in a research conducted by Reichheld</w:t>
      </w:r>
      <w:r w:rsidRPr="0035279F">
        <w:rPr>
          <w:rFonts w:ascii="Calibri" w:hAnsi="Calibri" w:cs="Calibri"/>
          <w:color w:val="auto"/>
          <w:lang w:val="en-US"/>
        </w:rPr>
        <w:t xml:space="preserve"> (2003:49), customer satisfaction scores have weak connections to customer purchase behavior. Reichheld, interviewed marketing managers at the Big Three car manufacturers, and one of the marketing executives interviewed was trying to understand why they are not seeing returns on investments spent on increasing customer satisfaction even though customer satisfaction scores has improved. Reichheld argues that there is 1 survey question that</w:t>
      </w:r>
      <w:r w:rsidRPr="0035279F">
        <w:rPr>
          <w:rFonts w:ascii="Calibri" w:hAnsi="Calibri" w:cs="Calibri"/>
          <w:color w:val="auto"/>
        </w:rPr>
        <w:t xml:space="preserve"> organisations</w:t>
      </w:r>
      <w:r w:rsidRPr="0035279F">
        <w:rPr>
          <w:rFonts w:ascii="Calibri" w:hAnsi="Calibri" w:cs="Calibri"/>
          <w:color w:val="auto"/>
          <w:lang w:val="en-US"/>
        </w:rPr>
        <w:t xml:space="preserve"> should be using to measure growth, and this is asking the customer how likely they are to recommend the</w:t>
      </w:r>
      <w:r w:rsidRPr="0035279F">
        <w:rPr>
          <w:rFonts w:ascii="Calibri" w:hAnsi="Calibri" w:cs="Calibri"/>
          <w:color w:val="auto"/>
        </w:rPr>
        <w:t xml:space="preserve"> organisation</w:t>
      </w:r>
      <w:r w:rsidRPr="0035279F">
        <w:rPr>
          <w:rFonts w:ascii="Calibri" w:hAnsi="Calibri" w:cs="Calibri"/>
          <w:color w:val="auto"/>
          <w:lang w:val="en-US"/>
        </w:rPr>
        <w:t xml:space="preserve"> to their peers. Intention to recommend can be seen as indicator of loyalty and future growth cannot be achieved without customer loyalty.</w:t>
      </w:r>
      <w:r w:rsidRPr="0035279F">
        <w:rPr>
          <w:rFonts w:ascii="Calibri" w:hAnsi="Calibri" w:cs="Calibri"/>
          <w:color w:val="auto"/>
        </w:rPr>
        <w:t xml:space="preserve"> Organisations</w:t>
      </w:r>
      <w:r w:rsidRPr="0035279F">
        <w:rPr>
          <w:rFonts w:ascii="Calibri" w:hAnsi="Calibri" w:cs="Calibri"/>
          <w:color w:val="auto"/>
          <w:lang w:val="en-US"/>
        </w:rPr>
        <w:t xml:space="preserve"> can use scores from the customer’s intention to recommend to calculate their net promoter score and group their customers into 3 separate segments – Promoters, Passives &amp; Detractors (Reichheld 2003:51). With these groups, managers can identify drivers of their promoters and use those learnings to grow their promoter pool.</w:t>
      </w:r>
    </w:p>
    <w:p w14:paraId="0CB0228A" w14:textId="77777777" w:rsidR="00A71C1D" w:rsidRPr="0035279F" w:rsidRDefault="00A71C1D" w:rsidP="00A71C1D">
      <w:pPr>
        <w:rPr>
          <w:rFonts w:ascii="Calibri" w:hAnsi="Calibri" w:cs="Calibri"/>
          <w:color w:val="auto"/>
          <w:lang w:val="en-US"/>
        </w:rPr>
      </w:pPr>
      <w:r w:rsidRPr="0035279F">
        <w:rPr>
          <w:rFonts w:ascii="Calibri" w:hAnsi="Calibri" w:cs="Calibri"/>
          <w:color w:val="auto"/>
          <w:lang w:val="en-US"/>
        </w:rPr>
        <w:t>Finally, managers need to consider the impact of not delighting their customers. Both Rust and Oliver (2000) and Reichheld (2003:52) highlight the dangers of detractors. A customer is more likely to share a bad experience with their peers, rather than of a good experience. Consideration needs be made around the cost of attracting new customers using a temporary delight program, against the cost of potentially losing these new acquired customers and existing customers once the delight program expires.</w:t>
      </w:r>
    </w:p>
    <w:p w14:paraId="5C29AE45" w14:textId="77777777" w:rsidR="00A71C1D" w:rsidRPr="0035279F" w:rsidRDefault="00A71C1D" w:rsidP="00A71C1D">
      <w:pPr>
        <w:rPr>
          <w:rFonts w:ascii="Calibri" w:hAnsi="Calibri" w:cs="Calibri"/>
          <w:color w:val="auto"/>
        </w:rPr>
      </w:pPr>
      <w:r w:rsidRPr="0035279F">
        <w:rPr>
          <w:rFonts w:ascii="Calibri" w:hAnsi="Calibri" w:cs="Calibri"/>
          <w:color w:val="auto"/>
        </w:rPr>
        <w:lastRenderedPageBreak/>
        <w:t>To conclude, there is merit in keeping customer satisfaction a priority, but this depends on the nature of the business. For business’ that are considered an instrumental service, they should be focusing more on the ease of service rather than keeping the customers highly satisfied using short term delight tactics. on the flip side for business’ where there is high competition, it is valuable to keep customer satisfaction a high priority, however there needs to be some thought into the strategy on how they are planning to keep customers satisfied and engaged and how they are measuring customer satisfaction. It is advisable to use the customer effort scores alongside the intention to recommend scores to drive business decision making.</w:t>
      </w:r>
    </w:p>
    <w:p w14:paraId="0196B695" w14:textId="5CAB833C" w:rsidR="00D911DB" w:rsidRPr="0035279F" w:rsidRDefault="00D911DB" w:rsidP="00A71C1D">
      <w:pPr>
        <w:rPr>
          <w:rFonts w:ascii="Calibri" w:hAnsi="Calibri" w:cs="Calibri"/>
          <w:color w:val="auto"/>
        </w:rPr>
      </w:pPr>
    </w:p>
    <w:p w14:paraId="3AD684D1" w14:textId="149FFDF0" w:rsidR="00A71C1D" w:rsidRPr="0035279F" w:rsidRDefault="00A71C1D" w:rsidP="00A71C1D">
      <w:pPr>
        <w:rPr>
          <w:rFonts w:ascii="Calibri" w:hAnsi="Calibri" w:cs="Calibri"/>
        </w:rPr>
      </w:pPr>
    </w:p>
    <w:p w14:paraId="58DDA319" w14:textId="3068AEE3" w:rsidR="00A71C1D" w:rsidRPr="0035279F" w:rsidRDefault="00A71C1D" w:rsidP="00A71C1D">
      <w:pPr>
        <w:rPr>
          <w:rFonts w:ascii="Calibri" w:hAnsi="Calibri" w:cs="Calibri"/>
        </w:rPr>
      </w:pPr>
    </w:p>
    <w:p w14:paraId="3B0A101C" w14:textId="0B9729E7" w:rsidR="00A71C1D" w:rsidRPr="0035279F" w:rsidRDefault="00A71C1D" w:rsidP="00A71C1D">
      <w:pPr>
        <w:rPr>
          <w:rFonts w:ascii="Calibri" w:hAnsi="Calibri" w:cs="Calibri"/>
        </w:rPr>
      </w:pPr>
    </w:p>
    <w:p w14:paraId="412F2828" w14:textId="550EEA03" w:rsidR="00A71C1D" w:rsidRPr="0035279F" w:rsidRDefault="00A71C1D" w:rsidP="00A71C1D">
      <w:pPr>
        <w:rPr>
          <w:rFonts w:ascii="Calibri" w:hAnsi="Calibri" w:cs="Calibri"/>
        </w:rPr>
      </w:pPr>
    </w:p>
    <w:p w14:paraId="383458E5" w14:textId="1D4ABF11" w:rsidR="00A71C1D" w:rsidRPr="0035279F" w:rsidRDefault="00A71C1D" w:rsidP="00A71C1D">
      <w:pPr>
        <w:rPr>
          <w:rFonts w:ascii="Calibri" w:hAnsi="Calibri" w:cs="Calibri"/>
        </w:rPr>
      </w:pPr>
    </w:p>
    <w:p w14:paraId="5790B4EF" w14:textId="6D95F7EF" w:rsidR="00A71C1D" w:rsidRPr="0035279F" w:rsidRDefault="00A71C1D" w:rsidP="00A71C1D">
      <w:pPr>
        <w:rPr>
          <w:rFonts w:ascii="Calibri" w:hAnsi="Calibri" w:cs="Calibri"/>
        </w:rPr>
      </w:pPr>
    </w:p>
    <w:p w14:paraId="2D558A61" w14:textId="015857A6" w:rsidR="00A71C1D" w:rsidRPr="0035279F" w:rsidRDefault="00A71C1D" w:rsidP="00A71C1D">
      <w:pPr>
        <w:rPr>
          <w:rFonts w:ascii="Calibri" w:hAnsi="Calibri" w:cs="Calibri"/>
        </w:rPr>
      </w:pPr>
    </w:p>
    <w:p w14:paraId="35271C20" w14:textId="7B943452" w:rsidR="00A71C1D" w:rsidRPr="0035279F" w:rsidRDefault="00A71C1D" w:rsidP="00A71C1D">
      <w:pPr>
        <w:rPr>
          <w:rFonts w:ascii="Calibri" w:hAnsi="Calibri" w:cs="Calibri"/>
        </w:rPr>
      </w:pPr>
    </w:p>
    <w:p w14:paraId="7FA81D81" w14:textId="43E6D235" w:rsidR="00A71C1D" w:rsidRPr="0035279F" w:rsidRDefault="00A71C1D" w:rsidP="00A71C1D">
      <w:pPr>
        <w:rPr>
          <w:rFonts w:ascii="Calibri" w:hAnsi="Calibri" w:cs="Calibri"/>
        </w:rPr>
      </w:pPr>
    </w:p>
    <w:p w14:paraId="091B1C84" w14:textId="3BF0F795" w:rsidR="00A71C1D" w:rsidRPr="0035279F" w:rsidRDefault="00A71C1D" w:rsidP="00A71C1D">
      <w:pPr>
        <w:rPr>
          <w:rFonts w:ascii="Calibri" w:hAnsi="Calibri" w:cs="Calibri"/>
        </w:rPr>
      </w:pPr>
    </w:p>
    <w:p w14:paraId="2656D6B0" w14:textId="49D5AB17" w:rsidR="00A71C1D" w:rsidRPr="0035279F" w:rsidRDefault="00A71C1D" w:rsidP="00A71C1D">
      <w:pPr>
        <w:rPr>
          <w:rFonts w:ascii="Calibri" w:hAnsi="Calibri" w:cs="Calibri"/>
        </w:rPr>
      </w:pPr>
    </w:p>
    <w:p w14:paraId="25115E9C" w14:textId="500E6FB3" w:rsidR="00A71C1D" w:rsidRPr="0035279F" w:rsidRDefault="00A71C1D" w:rsidP="00A71C1D">
      <w:pPr>
        <w:rPr>
          <w:rFonts w:ascii="Calibri" w:hAnsi="Calibri" w:cs="Calibri"/>
        </w:rPr>
      </w:pPr>
    </w:p>
    <w:p w14:paraId="54DFF620" w14:textId="0874F1FA" w:rsidR="00A71C1D" w:rsidRPr="0035279F" w:rsidRDefault="00A71C1D" w:rsidP="00A71C1D">
      <w:pPr>
        <w:rPr>
          <w:rFonts w:ascii="Calibri" w:hAnsi="Calibri" w:cs="Calibri"/>
        </w:rPr>
      </w:pPr>
    </w:p>
    <w:p w14:paraId="0973B7FA" w14:textId="097103C3" w:rsidR="00A71C1D" w:rsidRPr="0035279F" w:rsidRDefault="00A71C1D" w:rsidP="00A71C1D">
      <w:pPr>
        <w:rPr>
          <w:rFonts w:ascii="Calibri" w:hAnsi="Calibri" w:cs="Calibri"/>
        </w:rPr>
      </w:pPr>
    </w:p>
    <w:p w14:paraId="4FAA0A6F" w14:textId="0C6F63DE" w:rsidR="00A71C1D" w:rsidRPr="0035279F" w:rsidRDefault="00A71C1D" w:rsidP="00A71C1D">
      <w:pPr>
        <w:rPr>
          <w:rFonts w:ascii="Calibri" w:hAnsi="Calibri" w:cs="Calibri"/>
        </w:rPr>
      </w:pPr>
    </w:p>
    <w:p w14:paraId="2856F9AF" w14:textId="0263FE6B" w:rsidR="00A71C1D" w:rsidRPr="0035279F" w:rsidRDefault="00A71C1D" w:rsidP="00A71C1D">
      <w:pPr>
        <w:rPr>
          <w:rFonts w:ascii="Calibri" w:hAnsi="Calibri" w:cs="Calibri"/>
        </w:rPr>
      </w:pPr>
    </w:p>
    <w:p w14:paraId="512412D5" w14:textId="2F87B534" w:rsidR="00A71C1D" w:rsidRPr="0035279F" w:rsidRDefault="00A71C1D" w:rsidP="00A71C1D">
      <w:pPr>
        <w:rPr>
          <w:rFonts w:ascii="Calibri" w:hAnsi="Calibri" w:cs="Calibri"/>
        </w:rPr>
      </w:pPr>
    </w:p>
    <w:p w14:paraId="043F485D" w14:textId="65C53F93" w:rsidR="00A71C1D" w:rsidRPr="0035279F" w:rsidRDefault="00A71C1D" w:rsidP="00A71C1D">
      <w:pPr>
        <w:rPr>
          <w:rFonts w:ascii="Calibri" w:hAnsi="Calibri" w:cs="Calibri"/>
        </w:rPr>
      </w:pPr>
    </w:p>
    <w:p w14:paraId="58D3683C" w14:textId="1D34E865" w:rsidR="00A71C1D" w:rsidRPr="0035279F" w:rsidRDefault="00A71C1D" w:rsidP="00A71C1D">
      <w:pPr>
        <w:rPr>
          <w:rFonts w:ascii="Calibri" w:hAnsi="Calibri" w:cs="Calibri"/>
        </w:rPr>
      </w:pPr>
    </w:p>
    <w:p w14:paraId="494552C3" w14:textId="16652B13" w:rsidR="00A71C1D" w:rsidRPr="00F92967" w:rsidRDefault="00A71C1D" w:rsidP="00A71C1D">
      <w:pPr>
        <w:pStyle w:val="Heading1"/>
        <w:rPr>
          <w:rFonts w:ascii="Calibri" w:hAnsi="Calibri" w:cs="Calibri"/>
          <w:b/>
          <w:u w:val="single"/>
        </w:rPr>
      </w:pPr>
      <w:r w:rsidRPr="0035279F">
        <w:rPr>
          <w:rFonts w:ascii="Calibri" w:hAnsi="Calibri" w:cs="Calibri"/>
          <w:b/>
          <w:u w:val="single"/>
        </w:rPr>
        <w:lastRenderedPageBreak/>
        <w:t>Relationship between Customer Satisfaction &amp; Intention to Recommend – Survey Responses Analysis</w:t>
      </w:r>
    </w:p>
    <w:p w14:paraId="237F3C4D" w14:textId="77777777" w:rsidR="00A71C1D" w:rsidRPr="0035279F" w:rsidRDefault="00A71C1D" w:rsidP="00A71C1D">
      <w:pPr>
        <w:rPr>
          <w:rFonts w:ascii="Calibri" w:hAnsi="Calibri" w:cs="Calibri"/>
          <w:color w:val="auto"/>
        </w:rPr>
      </w:pPr>
      <w:r w:rsidRPr="0035279F">
        <w:rPr>
          <w:rFonts w:ascii="Calibri" w:hAnsi="Calibri" w:cs="Calibri"/>
          <w:color w:val="auto"/>
        </w:rPr>
        <w:t>From the survey responses that was collected, the customer satisfaction scores have been broken down into 3 groups for the analysis that was done, these groups are:</w:t>
      </w:r>
    </w:p>
    <w:p w14:paraId="63391EE0" w14:textId="77777777" w:rsidR="00A71C1D" w:rsidRPr="0035279F" w:rsidRDefault="00A71C1D" w:rsidP="00A71C1D">
      <w:pPr>
        <w:pStyle w:val="ListParagraph"/>
        <w:numPr>
          <w:ilvl w:val="0"/>
          <w:numId w:val="18"/>
        </w:numPr>
        <w:spacing w:before="0" w:after="160" w:line="259" w:lineRule="auto"/>
        <w:rPr>
          <w:rFonts w:ascii="Calibri" w:hAnsi="Calibri" w:cs="Calibri"/>
          <w:color w:val="auto"/>
        </w:rPr>
      </w:pPr>
      <w:r w:rsidRPr="0035279F">
        <w:rPr>
          <w:rFonts w:ascii="Calibri" w:hAnsi="Calibri" w:cs="Calibri"/>
          <w:color w:val="auto"/>
        </w:rPr>
        <w:t>High Satisfaction – Scored between 8-10</w:t>
      </w:r>
    </w:p>
    <w:p w14:paraId="21626D77" w14:textId="77777777" w:rsidR="00A71C1D" w:rsidRPr="0035279F" w:rsidRDefault="00A71C1D" w:rsidP="00A71C1D">
      <w:pPr>
        <w:pStyle w:val="ListParagraph"/>
        <w:numPr>
          <w:ilvl w:val="0"/>
          <w:numId w:val="18"/>
        </w:numPr>
        <w:spacing w:before="0" w:after="160" w:line="259" w:lineRule="auto"/>
        <w:rPr>
          <w:rFonts w:ascii="Calibri" w:hAnsi="Calibri" w:cs="Calibri"/>
          <w:color w:val="auto"/>
        </w:rPr>
      </w:pPr>
      <w:r w:rsidRPr="0035279F">
        <w:rPr>
          <w:rFonts w:ascii="Calibri" w:hAnsi="Calibri" w:cs="Calibri"/>
          <w:color w:val="auto"/>
        </w:rPr>
        <w:t>Medium Satisfaction – Scored between 5-7</w:t>
      </w:r>
    </w:p>
    <w:p w14:paraId="580E2BE5" w14:textId="77777777" w:rsidR="00A71C1D" w:rsidRPr="0035279F" w:rsidRDefault="00A71C1D" w:rsidP="00A71C1D">
      <w:pPr>
        <w:pStyle w:val="ListParagraph"/>
        <w:numPr>
          <w:ilvl w:val="0"/>
          <w:numId w:val="18"/>
        </w:numPr>
        <w:spacing w:before="0" w:after="160" w:line="259" w:lineRule="auto"/>
        <w:rPr>
          <w:rFonts w:ascii="Calibri" w:hAnsi="Calibri" w:cs="Calibri"/>
          <w:color w:val="auto"/>
        </w:rPr>
      </w:pPr>
      <w:r w:rsidRPr="0035279F">
        <w:rPr>
          <w:rFonts w:ascii="Calibri" w:hAnsi="Calibri" w:cs="Calibri"/>
          <w:color w:val="auto"/>
        </w:rPr>
        <w:t>Low Satisfaction – Scored between 0-4</w:t>
      </w:r>
    </w:p>
    <w:p w14:paraId="35122E07" w14:textId="41E2F3F2" w:rsidR="00A320C2" w:rsidRDefault="00A71C1D" w:rsidP="00A71C1D">
      <w:pPr>
        <w:rPr>
          <w:rFonts w:ascii="Calibri" w:hAnsi="Calibri" w:cs="Calibri"/>
          <w:color w:val="auto"/>
        </w:rPr>
      </w:pPr>
      <w:r w:rsidRPr="0035279F">
        <w:rPr>
          <w:rFonts w:ascii="Calibri" w:hAnsi="Calibri" w:cs="Calibri"/>
          <w:color w:val="auto"/>
        </w:rPr>
        <w:t>Looking at the survey responses, it is clear that the bank is doing well in keeping the customers highly satisfied, with 66% of the respondents giving the bank a score of more than 8. A mere 9% of the respondents scored the bank a score of 4 or</w:t>
      </w:r>
      <w:r w:rsidR="007D35EA" w:rsidRPr="0035279F">
        <w:rPr>
          <w:rFonts w:ascii="Calibri" w:hAnsi="Calibri" w:cs="Calibri"/>
          <w:color w:val="auto"/>
        </w:rPr>
        <w:t xml:space="preserve"> less.</w:t>
      </w:r>
      <w:r w:rsidR="00670844">
        <w:rPr>
          <w:rFonts w:ascii="Calibri" w:hAnsi="Calibri" w:cs="Calibri"/>
          <w:color w:val="auto"/>
        </w:rPr>
        <w:t xml:space="preserve"> The overall average score that the bank received is 7.54</w:t>
      </w:r>
      <w:r w:rsidR="007D35EA" w:rsidRPr="0035279F">
        <w:rPr>
          <w:rFonts w:ascii="Calibri" w:hAnsi="Calibri" w:cs="Calibri"/>
          <w:color w:val="auto"/>
        </w:rPr>
        <w:t xml:space="preserve"> (Table 1, G</w:t>
      </w:r>
      <w:r w:rsidRPr="0035279F">
        <w:rPr>
          <w:rFonts w:ascii="Calibri" w:hAnsi="Calibri" w:cs="Calibri"/>
          <w:color w:val="auto"/>
        </w:rPr>
        <w:t>raph 1)</w:t>
      </w:r>
    </w:p>
    <w:p w14:paraId="2C42E61E" w14:textId="15D2E6F9" w:rsidR="00A71C1D" w:rsidRPr="0035279F" w:rsidRDefault="00A71C1D" w:rsidP="00A71C1D">
      <w:pPr>
        <w:rPr>
          <w:rFonts w:ascii="Calibri" w:hAnsi="Calibri" w:cs="Calibri"/>
          <w:color w:val="auto"/>
        </w:rPr>
      </w:pPr>
      <w:r w:rsidRPr="0035279F">
        <w:rPr>
          <w:rFonts w:ascii="Calibri" w:hAnsi="Calibri" w:cs="Calibri"/>
          <w:color w:val="auto"/>
        </w:rPr>
        <w:t xml:space="preserve">One would assume that with these high satisfaction scores, the bank would receive similar scores with the intention to recommend scores. </w:t>
      </w:r>
      <w:r w:rsidR="00304192" w:rsidRPr="0035279F">
        <w:rPr>
          <w:rFonts w:ascii="Calibri" w:hAnsi="Calibri" w:cs="Calibri"/>
          <w:color w:val="auto"/>
        </w:rPr>
        <w:t>However,</w:t>
      </w:r>
      <w:r w:rsidRPr="0035279F">
        <w:rPr>
          <w:rFonts w:ascii="Calibri" w:hAnsi="Calibri" w:cs="Calibri"/>
          <w:color w:val="auto"/>
        </w:rPr>
        <w:t xml:space="preserve"> this is not the case, as the intention to recommend scores paint a totally different </w:t>
      </w:r>
      <w:r w:rsidR="00670844">
        <w:rPr>
          <w:rFonts w:ascii="Calibri" w:hAnsi="Calibri" w:cs="Calibri"/>
          <w:color w:val="auto"/>
        </w:rPr>
        <w:t xml:space="preserve">picture. </w:t>
      </w:r>
      <w:r w:rsidRPr="0035279F">
        <w:rPr>
          <w:rFonts w:ascii="Calibri" w:hAnsi="Calibri" w:cs="Calibri"/>
          <w:color w:val="auto"/>
        </w:rPr>
        <w:t>The intention to recommend scores were broken down in to 3 group as per the Net Promoter Score (NPS) classification to calculate the bank’s overall NPS score, and these groups are:</w:t>
      </w:r>
    </w:p>
    <w:p w14:paraId="1D82E7B7" w14:textId="77777777" w:rsidR="00A71C1D" w:rsidRPr="0035279F" w:rsidRDefault="00A71C1D" w:rsidP="00A71C1D">
      <w:pPr>
        <w:pStyle w:val="ListParagraph"/>
        <w:numPr>
          <w:ilvl w:val="0"/>
          <w:numId w:val="19"/>
        </w:numPr>
        <w:spacing w:before="0" w:after="160" w:line="259" w:lineRule="auto"/>
        <w:rPr>
          <w:rFonts w:ascii="Calibri" w:hAnsi="Calibri" w:cs="Calibri"/>
          <w:color w:val="auto"/>
        </w:rPr>
      </w:pPr>
      <w:r w:rsidRPr="0035279F">
        <w:rPr>
          <w:rFonts w:ascii="Calibri" w:hAnsi="Calibri" w:cs="Calibri"/>
          <w:color w:val="auto"/>
        </w:rPr>
        <w:t xml:space="preserve">Promoters – Scored between 9-10 </w:t>
      </w:r>
    </w:p>
    <w:p w14:paraId="420010A7" w14:textId="77777777" w:rsidR="00A71C1D" w:rsidRPr="0035279F" w:rsidRDefault="00A71C1D" w:rsidP="00A71C1D">
      <w:pPr>
        <w:pStyle w:val="ListParagraph"/>
        <w:numPr>
          <w:ilvl w:val="0"/>
          <w:numId w:val="19"/>
        </w:numPr>
        <w:spacing w:before="0" w:after="160" w:line="259" w:lineRule="auto"/>
        <w:rPr>
          <w:rFonts w:ascii="Calibri" w:hAnsi="Calibri" w:cs="Calibri"/>
          <w:color w:val="auto"/>
        </w:rPr>
      </w:pPr>
      <w:r w:rsidRPr="0035279F">
        <w:rPr>
          <w:rFonts w:ascii="Calibri" w:hAnsi="Calibri" w:cs="Calibri"/>
          <w:color w:val="auto"/>
        </w:rPr>
        <w:t>Passives – Scored between 7-8</w:t>
      </w:r>
    </w:p>
    <w:p w14:paraId="178BA0DA" w14:textId="77777777" w:rsidR="00A71C1D" w:rsidRPr="0035279F" w:rsidRDefault="00A71C1D" w:rsidP="00A71C1D">
      <w:pPr>
        <w:pStyle w:val="ListParagraph"/>
        <w:numPr>
          <w:ilvl w:val="0"/>
          <w:numId w:val="19"/>
        </w:numPr>
        <w:spacing w:before="0" w:after="160" w:line="259" w:lineRule="auto"/>
        <w:rPr>
          <w:rFonts w:ascii="Calibri" w:hAnsi="Calibri" w:cs="Calibri"/>
          <w:color w:val="auto"/>
        </w:rPr>
      </w:pPr>
      <w:r w:rsidRPr="0035279F">
        <w:rPr>
          <w:rFonts w:ascii="Calibri" w:hAnsi="Calibri" w:cs="Calibri"/>
          <w:color w:val="auto"/>
        </w:rPr>
        <w:t>Detractors – Scored between 0-6</w:t>
      </w:r>
    </w:p>
    <w:p w14:paraId="62A677ED" w14:textId="77777777" w:rsidR="00A71C1D" w:rsidRPr="0035279F" w:rsidRDefault="00A71C1D" w:rsidP="00A71C1D">
      <w:pPr>
        <w:rPr>
          <w:rFonts w:ascii="Calibri" w:hAnsi="Calibri" w:cs="Calibri"/>
          <w:color w:val="auto"/>
        </w:rPr>
      </w:pPr>
      <w:r w:rsidRPr="0035279F">
        <w:rPr>
          <w:rFonts w:ascii="Calibri" w:hAnsi="Calibri" w:cs="Calibri"/>
          <w:color w:val="auto"/>
        </w:rPr>
        <w:t>NPS scores can help the bank identify its high risk customers of switching banks and also help the bank predict future growth. A high score would translate that the bank’s customers are highly engaged and loyal to bank and would then speak highly of the bank to their peers.</w:t>
      </w:r>
    </w:p>
    <w:p w14:paraId="2532AF8D" w14:textId="70CEE556" w:rsidR="00F92967" w:rsidRDefault="00A71C1D" w:rsidP="00A71C1D">
      <w:pPr>
        <w:rPr>
          <w:rFonts w:ascii="Calibri" w:hAnsi="Calibri" w:cs="Calibri"/>
          <w:color w:val="auto"/>
        </w:rPr>
      </w:pPr>
      <w:r w:rsidRPr="0035279F">
        <w:rPr>
          <w:rFonts w:ascii="Calibri" w:hAnsi="Calibri" w:cs="Calibri"/>
          <w:color w:val="auto"/>
        </w:rPr>
        <w:t>The bank scored a low NPS score of only 2.6%, and the group that the most respondents fall into is the pas</w:t>
      </w:r>
      <w:r w:rsidR="007D35EA" w:rsidRPr="0035279F">
        <w:rPr>
          <w:rFonts w:ascii="Calibri" w:hAnsi="Calibri" w:cs="Calibri"/>
          <w:color w:val="auto"/>
        </w:rPr>
        <w:t>sives group with 40% (Table 2, G</w:t>
      </w:r>
      <w:r w:rsidRPr="0035279F">
        <w:rPr>
          <w:rFonts w:ascii="Calibri" w:hAnsi="Calibri" w:cs="Calibri"/>
          <w:color w:val="auto"/>
        </w:rPr>
        <w:t>raph 2). So it is clear that even though the bank’s customers are highly satisfied with their services, they are not satisfied enough to recommend the bank to their peers.</w:t>
      </w:r>
    </w:p>
    <w:p w14:paraId="43EA5819" w14:textId="6F8A85AC" w:rsidR="00F92967" w:rsidRPr="0035279F" w:rsidRDefault="00A71C1D" w:rsidP="00A71C1D">
      <w:pPr>
        <w:rPr>
          <w:rFonts w:ascii="Calibri" w:hAnsi="Calibri" w:cs="Calibri"/>
          <w:color w:val="auto"/>
        </w:rPr>
      </w:pPr>
      <w:r w:rsidRPr="0035279F">
        <w:rPr>
          <w:rFonts w:ascii="Calibri" w:hAnsi="Calibri" w:cs="Calibri"/>
          <w:color w:val="auto"/>
        </w:rPr>
        <w:t>When analysing the relationship between the customer satisfaction scores and intention to recommend scores, only 30% of the respondents who fall in the high satisfaction group is also classified as a “promoter” who are the loyal c</w:t>
      </w:r>
      <w:r w:rsidR="007D35EA" w:rsidRPr="0035279F">
        <w:rPr>
          <w:rFonts w:ascii="Calibri" w:hAnsi="Calibri" w:cs="Calibri"/>
          <w:color w:val="auto"/>
        </w:rPr>
        <w:t>ustomers of the bank (Table 3, G</w:t>
      </w:r>
      <w:r w:rsidRPr="0035279F">
        <w:rPr>
          <w:rFonts w:ascii="Calibri" w:hAnsi="Calibri" w:cs="Calibri"/>
          <w:color w:val="auto"/>
        </w:rPr>
        <w:t>raph 3). There is also about 5% of respondents who gave the bank a high satisfaction score, but has fallen into the detractor group where they are at risk of switching banks and will not recommend the bank. So it is quite clear that a high satisfaction score does not mean that the c</w:t>
      </w:r>
      <w:r w:rsidR="00F92967">
        <w:rPr>
          <w:rFonts w:ascii="Calibri" w:hAnsi="Calibri" w:cs="Calibri"/>
          <w:color w:val="auto"/>
        </w:rPr>
        <w:t>ustomer will recommend the bank.</w:t>
      </w:r>
    </w:p>
    <w:p w14:paraId="2553E2B6" w14:textId="3F796C76" w:rsidR="00A71C1D" w:rsidRDefault="00A71C1D" w:rsidP="00A71C1D">
      <w:pPr>
        <w:rPr>
          <w:rFonts w:ascii="Calibri" w:hAnsi="Calibri" w:cs="Calibri"/>
          <w:color w:val="auto"/>
        </w:rPr>
      </w:pPr>
      <w:r w:rsidRPr="0035279F">
        <w:rPr>
          <w:rFonts w:ascii="Calibri" w:hAnsi="Calibri" w:cs="Calibri"/>
          <w:color w:val="auto"/>
        </w:rPr>
        <w:t>Even though there is a positive correlat</w:t>
      </w:r>
      <w:r w:rsidR="007D35EA" w:rsidRPr="0035279F">
        <w:rPr>
          <w:rFonts w:ascii="Calibri" w:hAnsi="Calibri" w:cs="Calibri"/>
          <w:color w:val="auto"/>
        </w:rPr>
        <w:t>ion relationship of 86% (Graph 4</w:t>
      </w:r>
      <w:r w:rsidRPr="0035279F">
        <w:rPr>
          <w:rFonts w:ascii="Calibri" w:hAnsi="Calibri" w:cs="Calibri"/>
          <w:color w:val="auto"/>
        </w:rPr>
        <w:t>) between the 2 survey questions, it’s quite evident that the customer satisfaction scores is not the best indicator of</w:t>
      </w:r>
      <w:r w:rsidR="00F92967">
        <w:rPr>
          <w:rFonts w:ascii="Calibri" w:hAnsi="Calibri" w:cs="Calibri"/>
          <w:color w:val="auto"/>
        </w:rPr>
        <w:t xml:space="preserve"> </w:t>
      </w:r>
      <w:r w:rsidRPr="0035279F">
        <w:rPr>
          <w:rFonts w:ascii="Calibri" w:hAnsi="Calibri" w:cs="Calibri"/>
          <w:color w:val="auto"/>
        </w:rPr>
        <w:t>customer loyalty. To su</w:t>
      </w:r>
      <w:r w:rsidR="0035279F" w:rsidRPr="0035279F">
        <w:rPr>
          <w:rFonts w:ascii="Calibri" w:hAnsi="Calibri" w:cs="Calibri"/>
          <w:color w:val="auto"/>
        </w:rPr>
        <w:t>pport this, we drilled down</w:t>
      </w:r>
      <w:r w:rsidRPr="0035279F">
        <w:rPr>
          <w:rFonts w:ascii="Calibri" w:hAnsi="Calibri" w:cs="Calibri"/>
          <w:color w:val="auto"/>
        </w:rPr>
        <w:t xml:space="preserve"> further to look at the relationship between </w:t>
      </w:r>
      <w:r w:rsidRPr="0035279F">
        <w:rPr>
          <w:rFonts w:ascii="Calibri" w:hAnsi="Calibri" w:cs="Calibri"/>
          <w:color w:val="auto"/>
        </w:rPr>
        <w:lastRenderedPageBreak/>
        <w:t xml:space="preserve">customer satisfaction and intention to recommend with the responses of the likelihood to change bank indicator. Only 88% </w:t>
      </w:r>
      <w:r w:rsidR="009032DE" w:rsidRPr="0035279F">
        <w:rPr>
          <w:rFonts w:ascii="Calibri" w:hAnsi="Calibri" w:cs="Calibri"/>
          <w:color w:val="auto"/>
        </w:rPr>
        <w:t xml:space="preserve">(Table 5, Graph 5) </w:t>
      </w:r>
      <w:r w:rsidRPr="0035279F">
        <w:rPr>
          <w:rFonts w:ascii="Calibri" w:hAnsi="Calibri" w:cs="Calibri"/>
          <w:color w:val="auto"/>
        </w:rPr>
        <w:t xml:space="preserve">of the respondents who fall into the high satisfaction group has indicated that they will stay with the bank, compared to 92% </w:t>
      </w:r>
      <w:r w:rsidR="009032DE" w:rsidRPr="0035279F">
        <w:rPr>
          <w:rFonts w:ascii="Calibri" w:hAnsi="Calibri" w:cs="Calibri"/>
          <w:color w:val="auto"/>
        </w:rPr>
        <w:t xml:space="preserve">(Table 6, Graph 6) </w:t>
      </w:r>
      <w:r w:rsidRPr="0035279F">
        <w:rPr>
          <w:rFonts w:ascii="Calibri" w:hAnsi="Calibri" w:cs="Calibri"/>
          <w:color w:val="auto"/>
        </w:rPr>
        <w:t xml:space="preserve">of respondents who are classified as promoters who responded that they will stay with the bank. </w:t>
      </w:r>
      <w:r w:rsidR="00751EAB" w:rsidRPr="0035279F">
        <w:rPr>
          <w:rFonts w:ascii="Calibri" w:hAnsi="Calibri" w:cs="Calibri"/>
          <w:color w:val="auto"/>
        </w:rPr>
        <w:t xml:space="preserve">Thus this proves that the intention to recommend is the better metric </w:t>
      </w:r>
      <w:r w:rsidR="009032DE" w:rsidRPr="0035279F">
        <w:rPr>
          <w:rFonts w:ascii="Calibri" w:hAnsi="Calibri" w:cs="Calibri"/>
          <w:color w:val="auto"/>
        </w:rPr>
        <w:t>to use to predict future growth.</w:t>
      </w:r>
    </w:p>
    <w:p w14:paraId="1E5BCE85" w14:textId="3D18A43F" w:rsidR="00A71C1D" w:rsidRPr="0035279F" w:rsidRDefault="00A71C1D" w:rsidP="00A71C1D">
      <w:pPr>
        <w:pStyle w:val="Heading1"/>
        <w:rPr>
          <w:rFonts w:ascii="Calibri" w:hAnsi="Calibri" w:cs="Calibri"/>
          <w:b/>
          <w:u w:val="single"/>
        </w:rPr>
      </w:pPr>
      <w:r w:rsidRPr="0035279F">
        <w:rPr>
          <w:rFonts w:ascii="Calibri" w:hAnsi="Calibri" w:cs="Calibri"/>
          <w:b/>
          <w:u w:val="single"/>
        </w:rPr>
        <w:t>Next S</w:t>
      </w:r>
      <w:r w:rsidR="00751EAB" w:rsidRPr="0035279F">
        <w:rPr>
          <w:rFonts w:ascii="Calibri" w:hAnsi="Calibri" w:cs="Calibri"/>
          <w:b/>
          <w:u w:val="single"/>
        </w:rPr>
        <w:t>tep</w:t>
      </w:r>
      <w:r w:rsidRPr="0035279F">
        <w:rPr>
          <w:rFonts w:ascii="Calibri" w:hAnsi="Calibri" w:cs="Calibri"/>
          <w:b/>
          <w:u w:val="single"/>
        </w:rPr>
        <w:t xml:space="preserve"> Recommendations</w:t>
      </w:r>
    </w:p>
    <w:p w14:paraId="6497E54B" w14:textId="77777777" w:rsidR="00A71C1D" w:rsidRPr="0035279F" w:rsidRDefault="00A71C1D" w:rsidP="00A71C1D">
      <w:pPr>
        <w:rPr>
          <w:rFonts w:ascii="Calibri" w:hAnsi="Calibri" w:cs="Calibri"/>
          <w:color w:val="auto"/>
        </w:rPr>
      </w:pPr>
      <w:r w:rsidRPr="0035279F">
        <w:rPr>
          <w:rFonts w:ascii="Calibri" w:hAnsi="Calibri" w:cs="Calibri"/>
          <w:color w:val="auto"/>
        </w:rPr>
        <w:t xml:space="preserve">Based on the analysis conducted, it appears that even though the customers are highly satisfied, they are not satisfied enough to recommend the bank – the bank needs to investigate further to understand why this is the case. </w:t>
      </w:r>
    </w:p>
    <w:p w14:paraId="32446695" w14:textId="77777777" w:rsidR="00A71C1D" w:rsidRPr="0035279F" w:rsidRDefault="00A71C1D" w:rsidP="00A71C1D">
      <w:pPr>
        <w:rPr>
          <w:rFonts w:ascii="Calibri" w:hAnsi="Calibri" w:cs="Calibri"/>
          <w:color w:val="auto"/>
          <w:lang w:val="en-US"/>
        </w:rPr>
      </w:pPr>
      <w:r w:rsidRPr="0035279F">
        <w:rPr>
          <w:rFonts w:ascii="Calibri" w:hAnsi="Calibri" w:cs="Calibri"/>
          <w:color w:val="auto"/>
        </w:rPr>
        <w:t xml:space="preserve">Given that the bank is considered an instrumental service and its client base will be using the bank as a service to get the job done, perhaps the bank should consider measuring the Customer Effort Scores (CES) alongside the Net Promoter Scores (NPS) instead of customer satisfaction as an indicator of customer loyalty. In an article by Matthew Dixon, Karen Freeman and Nicolas Toman titled ‘Stop Trying to Delight Your Customers’ (2010:116-122) </w:t>
      </w:r>
      <w:r w:rsidRPr="0035279F">
        <w:rPr>
          <w:rFonts w:ascii="Calibri" w:hAnsi="Calibri" w:cs="Calibri"/>
          <w:color w:val="auto"/>
          <w:lang w:val="en-US"/>
        </w:rPr>
        <w:t xml:space="preserve">they argue that in order to keep customers loyal, business’ need to make it easy for the customers to use the service, and start using CES scores as an indicator of how well the business is performing in keeping the customers loyal. </w:t>
      </w:r>
    </w:p>
    <w:p w14:paraId="05203108" w14:textId="01D79C3D" w:rsidR="00A71C1D" w:rsidRPr="0035279F" w:rsidRDefault="00A71C1D" w:rsidP="00A71C1D">
      <w:pPr>
        <w:rPr>
          <w:rFonts w:ascii="Calibri" w:hAnsi="Calibri" w:cs="Calibri"/>
          <w:color w:val="auto"/>
          <w:lang w:val="en-US"/>
        </w:rPr>
      </w:pPr>
      <w:r w:rsidRPr="0035279F">
        <w:rPr>
          <w:rFonts w:ascii="Calibri" w:hAnsi="Calibri" w:cs="Calibri"/>
          <w:color w:val="auto"/>
          <w:lang w:val="en-US"/>
        </w:rPr>
        <w:t>I would recommend the bank to place emphasis on its frontline staff to respond to all enquiries in a manner that requires minimal follow up from the customer</w:t>
      </w:r>
      <w:r w:rsidR="00751EAB" w:rsidRPr="0035279F">
        <w:rPr>
          <w:rFonts w:ascii="Calibri" w:hAnsi="Calibri" w:cs="Calibri"/>
          <w:color w:val="auto"/>
          <w:lang w:val="en-US"/>
        </w:rPr>
        <w:t>’</w:t>
      </w:r>
      <w:r w:rsidRPr="0035279F">
        <w:rPr>
          <w:rFonts w:ascii="Calibri" w:hAnsi="Calibri" w:cs="Calibri"/>
          <w:color w:val="auto"/>
          <w:lang w:val="en-US"/>
        </w:rPr>
        <w:t xml:space="preserve">s end. If the bank is still measuring agent success by how long the calls are, they should stop using this metric as it forces the agent to wrap up the call quickly before resolving any further issues that could be linked to the initial issue. The bank should also investigate how effective its customer service channels are operating as perhaps the high satisfaction scores the bank has received, but low intention to recommend scores could be tied to the fact that its customers are needing to use more than 1 channel to use the service or resolve any issues </w:t>
      </w:r>
      <w:r w:rsidRPr="0035279F">
        <w:rPr>
          <w:rFonts w:ascii="Calibri" w:hAnsi="Calibri" w:cs="Calibri"/>
          <w:color w:val="auto"/>
        </w:rPr>
        <w:t>Dixon et al (2010:118).</w:t>
      </w:r>
    </w:p>
    <w:p w14:paraId="3F05BDA6" w14:textId="5F2FE599" w:rsidR="00A71C1D" w:rsidRPr="0035279F" w:rsidRDefault="00A71C1D" w:rsidP="00A71C1D">
      <w:pPr>
        <w:rPr>
          <w:rFonts w:ascii="Calibri" w:hAnsi="Calibri" w:cs="Calibri"/>
          <w:color w:val="auto"/>
          <w:lang w:val="en-US"/>
        </w:rPr>
      </w:pPr>
      <w:r w:rsidRPr="0035279F">
        <w:rPr>
          <w:rFonts w:ascii="Calibri" w:hAnsi="Calibri" w:cs="Calibri"/>
          <w:color w:val="auto"/>
          <w:lang w:val="en-US"/>
        </w:rPr>
        <w:t>The bank should also review its customer experience journey and adopt the smooth journey model as outlined in Siebert et al (2020:45). The smooth journey model outlines that some support is required from the bank as part of the decision making process in the initial stage, and once the customer passes this stage, they are then included into “loyalty loop”. The bank should focus on keeping the subsequent phases of the loyalty loop a</w:t>
      </w:r>
      <w:r w:rsidR="00751EAB" w:rsidRPr="0035279F">
        <w:rPr>
          <w:rFonts w:ascii="Calibri" w:hAnsi="Calibri" w:cs="Calibri"/>
          <w:color w:val="auto"/>
          <w:lang w:val="en-US"/>
        </w:rPr>
        <w:t>s a</w:t>
      </w:r>
      <w:r w:rsidRPr="0035279F">
        <w:rPr>
          <w:rFonts w:ascii="Calibri" w:hAnsi="Calibri" w:cs="Calibri"/>
          <w:color w:val="auto"/>
          <w:lang w:val="en-US"/>
        </w:rPr>
        <w:t xml:space="preserve"> streamlined and easy journey for its customers. The bank should also consider triggering an adjacent loyalty loop against the existing loyalty loop or including a brief period of spiraling logic for its long term customers to further build its existing customers loyalty. To trigger an adjacent loyalty loop, the bank could offer special deals on significant dates such as the customer’s birthday or anniversary banking with the bank. The bank could also consider offering short term rewards to its long term customers such as bonus credit card points for a month on every dollar spent (Siebert et al 2020:59).</w:t>
      </w:r>
    </w:p>
    <w:p w14:paraId="6802440E" w14:textId="15F88B15" w:rsidR="00751EAB" w:rsidRPr="0035279F" w:rsidRDefault="00751EAB" w:rsidP="00751EAB">
      <w:pPr>
        <w:pStyle w:val="Heading1"/>
        <w:rPr>
          <w:rFonts w:ascii="Calibri" w:hAnsi="Calibri" w:cs="Calibri"/>
          <w:b/>
          <w:u w:val="single"/>
        </w:rPr>
      </w:pPr>
      <w:r w:rsidRPr="0035279F">
        <w:rPr>
          <w:rFonts w:ascii="Calibri" w:hAnsi="Calibri" w:cs="Calibri"/>
          <w:b/>
          <w:u w:val="single"/>
        </w:rPr>
        <w:lastRenderedPageBreak/>
        <w:t>Appendix</w:t>
      </w:r>
    </w:p>
    <w:p w14:paraId="7AFC5926" w14:textId="0DF5B9AC" w:rsidR="00751EAB" w:rsidRPr="0035279F" w:rsidRDefault="00751EAB" w:rsidP="00751EAB">
      <w:pPr>
        <w:rPr>
          <w:rFonts w:ascii="Calibri" w:hAnsi="Calibri" w:cs="Calibri"/>
          <w:b/>
          <w:color w:val="auto"/>
        </w:rPr>
      </w:pPr>
      <w:r w:rsidRPr="0035279F">
        <w:rPr>
          <w:rFonts w:ascii="Calibri" w:hAnsi="Calibri" w:cs="Calibri"/>
          <w:b/>
          <w:color w:val="auto"/>
        </w:rPr>
        <w:t>Table 1:</w:t>
      </w:r>
    </w:p>
    <w:tbl>
      <w:tblPr>
        <w:tblW w:w="8280" w:type="dxa"/>
        <w:tblInd w:w="-10" w:type="dxa"/>
        <w:tblLook w:val="04A0" w:firstRow="1" w:lastRow="0" w:firstColumn="1" w:lastColumn="0" w:noHBand="0" w:noVBand="1"/>
      </w:tblPr>
      <w:tblGrid>
        <w:gridCol w:w="3360"/>
        <w:gridCol w:w="2760"/>
        <w:gridCol w:w="2160"/>
      </w:tblGrid>
      <w:tr w:rsidR="00751EAB" w:rsidRPr="00751EAB" w14:paraId="445F210F" w14:textId="77777777" w:rsidTr="0035279F">
        <w:trPr>
          <w:trHeight w:val="300"/>
        </w:trPr>
        <w:tc>
          <w:tcPr>
            <w:tcW w:w="3360" w:type="dxa"/>
            <w:tcBorders>
              <w:top w:val="single" w:sz="8" w:space="0" w:color="auto"/>
              <w:left w:val="single" w:sz="8" w:space="0" w:color="auto"/>
              <w:bottom w:val="single" w:sz="8" w:space="0" w:color="auto"/>
              <w:right w:val="single" w:sz="8" w:space="0" w:color="auto"/>
            </w:tcBorders>
            <w:shd w:val="clear" w:color="auto" w:fill="C7D0E9" w:themeFill="accent5" w:themeFillTint="66"/>
            <w:noWrap/>
            <w:vAlign w:val="bottom"/>
            <w:hideMark/>
          </w:tcPr>
          <w:p w14:paraId="56E187E5" w14:textId="77777777" w:rsidR="00751EAB" w:rsidRPr="00751EAB" w:rsidRDefault="00751EAB" w:rsidP="000800CA">
            <w:pPr>
              <w:spacing w:before="0" w:after="0" w:line="240" w:lineRule="auto"/>
              <w:jc w:val="center"/>
              <w:rPr>
                <w:rFonts w:ascii="Calibri" w:eastAsia="Times New Roman" w:hAnsi="Calibri" w:cs="Calibri"/>
                <w:b/>
                <w:bCs/>
                <w:color w:val="000000"/>
                <w:u w:val="single"/>
                <w:lang w:eastAsia="en-AU"/>
              </w:rPr>
            </w:pPr>
            <w:r w:rsidRPr="00751EAB">
              <w:rPr>
                <w:rFonts w:ascii="Calibri" w:eastAsia="Times New Roman" w:hAnsi="Calibri" w:cs="Calibri"/>
                <w:b/>
                <w:bCs/>
                <w:color w:val="000000"/>
                <w:u w:val="single"/>
                <w:lang w:eastAsia="en-AU"/>
              </w:rPr>
              <w:t>Customer Satisfaction Break Down</w:t>
            </w:r>
          </w:p>
        </w:tc>
        <w:tc>
          <w:tcPr>
            <w:tcW w:w="2760" w:type="dxa"/>
            <w:tcBorders>
              <w:top w:val="single" w:sz="8" w:space="0" w:color="auto"/>
              <w:left w:val="nil"/>
              <w:bottom w:val="single" w:sz="8" w:space="0" w:color="auto"/>
              <w:right w:val="nil"/>
            </w:tcBorders>
            <w:shd w:val="clear" w:color="auto" w:fill="C7D0E9" w:themeFill="accent5" w:themeFillTint="66"/>
            <w:noWrap/>
            <w:vAlign w:val="bottom"/>
            <w:hideMark/>
          </w:tcPr>
          <w:p w14:paraId="252752E1" w14:textId="77777777" w:rsidR="00751EAB" w:rsidRPr="00751EAB" w:rsidRDefault="00751EAB" w:rsidP="000800CA">
            <w:pPr>
              <w:spacing w:before="0" w:after="0" w:line="240" w:lineRule="auto"/>
              <w:jc w:val="center"/>
              <w:rPr>
                <w:rFonts w:ascii="Calibri" w:eastAsia="Times New Roman" w:hAnsi="Calibri" w:cs="Calibri"/>
                <w:b/>
                <w:bCs/>
                <w:color w:val="000000"/>
                <w:u w:val="single"/>
                <w:lang w:eastAsia="en-AU"/>
              </w:rPr>
            </w:pPr>
            <w:r w:rsidRPr="00751EAB">
              <w:rPr>
                <w:rFonts w:ascii="Calibri" w:eastAsia="Times New Roman" w:hAnsi="Calibri" w:cs="Calibri"/>
                <w:b/>
                <w:bCs/>
                <w:color w:val="000000"/>
                <w:u w:val="single"/>
                <w:lang w:eastAsia="en-AU"/>
              </w:rPr>
              <w:t>Number of Respondents</w:t>
            </w:r>
          </w:p>
        </w:tc>
        <w:tc>
          <w:tcPr>
            <w:tcW w:w="2160" w:type="dxa"/>
            <w:tcBorders>
              <w:top w:val="single" w:sz="8" w:space="0" w:color="auto"/>
              <w:left w:val="single" w:sz="8" w:space="0" w:color="auto"/>
              <w:bottom w:val="single" w:sz="8" w:space="0" w:color="auto"/>
              <w:right w:val="single" w:sz="8" w:space="0" w:color="auto"/>
            </w:tcBorders>
            <w:shd w:val="clear" w:color="auto" w:fill="C7D0E9" w:themeFill="accent5" w:themeFillTint="66"/>
            <w:noWrap/>
            <w:vAlign w:val="bottom"/>
            <w:hideMark/>
          </w:tcPr>
          <w:p w14:paraId="70A350C9" w14:textId="77777777" w:rsidR="00751EAB" w:rsidRPr="00751EAB" w:rsidRDefault="00751EAB" w:rsidP="000800CA">
            <w:pPr>
              <w:spacing w:before="0" w:after="0" w:line="240" w:lineRule="auto"/>
              <w:jc w:val="center"/>
              <w:rPr>
                <w:rFonts w:ascii="Calibri" w:eastAsia="Times New Roman" w:hAnsi="Calibri" w:cs="Calibri"/>
                <w:b/>
                <w:bCs/>
                <w:color w:val="000000"/>
                <w:u w:val="single"/>
                <w:lang w:eastAsia="en-AU"/>
              </w:rPr>
            </w:pPr>
            <w:r w:rsidRPr="00751EAB">
              <w:rPr>
                <w:rFonts w:ascii="Calibri" w:eastAsia="Times New Roman" w:hAnsi="Calibri" w:cs="Calibri"/>
                <w:b/>
                <w:bCs/>
                <w:color w:val="000000"/>
                <w:u w:val="single"/>
                <w:lang w:eastAsia="en-AU"/>
              </w:rPr>
              <w:t>%</w:t>
            </w:r>
          </w:p>
        </w:tc>
      </w:tr>
      <w:tr w:rsidR="00751EAB" w:rsidRPr="00751EAB" w14:paraId="3B836AE6" w14:textId="77777777" w:rsidTr="00751EAB">
        <w:trPr>
          <w:trHeight w:val="300"/>
        </w:trPr>
        <w:tc>
          <w:tcPr>
            <w:tcW w:w="3360" w:type="dxa"/>
            <w:tcBorders>
              <w:top w:val="nil"/>
              <w:left w:val="single" w:sz="8" w:space="0" w:color="auto"/>
              <w:bottom w:val="single" w:sz="4" w:space="0" w:color="auto"/>
              <w:right w:val="single" w:sz="4" w:space="0" w:color="auto"/>
            </w:tcBorders>
            <w:shd w:val="clear" w:color="auto" w:fill="auto"/>
            <w:noWrap/>
            <w:vAlign w:val="bottom"/>
            <w:hideMark/>
          </w:tcPr>
          <w:p w14:paraId="108427F9"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High S (8-10)</w:t>
            </w:r>
          </w:p>
        </w:tc>
        <w:tc>
          <w:tcPr>
            <w:tcW w:w="2760" w:type="dxa"/>
            <w:tcBorders>
              <w:top w:val="nil"/>
              <w:left w:val="nil"/>
              <w:bottom w:val="single" w:sz="4" w:space="0" w:color="auto"/>
              <w:right w:val="nil"/>
            </w:tcBorders>
            <w:shd w:val="clear" w:color="auto" w:fill="auto"/>
            <w:noWrap/>
            <w:vAlign w:val="bottom"/>
            <w:hideMark/>
          </w:tcPr>
          <w:p w14:paraId="38FE4809"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127</w:t>
            </w:r>
          </w:p>
        </w:tc>
        <w:tc>
          <w:tcPr>
            <w:tcW w:w="2160" w:type="dxa"/>
            <w:tcBorders>
              <w:top w:val="nil"/>
              <w:left w:val="single" w:sz="4" w:space="0" w:color="auto"/>
              <w:bottom w:val="single" w:sz="4" w:space="0" w:color="auto"/>
              <w:right w:val="single" w:sz="8" w:space="0" w:color="auto"/>
            </w:tcBorders>
            <w:shd w:val="clear" w:color="auto" w:fill="auto"/>
            <w:noWrap/>
            <w:vAlign w:val="bottom"/>
            <w:hideMark/>
          </w:tcPr>
          <w:p w14:paraId="0E1E4D2D"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66%</w:t>
            </w:r>
          </w:p>
        </w:tc>
      </w:tr>
      <w:tr w:rsidR="00751EAB" w:rsidRPr="00751EAB" w14:paraId="291A4155" w14:textId="77777777" w:rsidTr="00751EAB">
        <w:trPr>
          <w:trHeight w:val="300"/>
        </w:trPr>
        <w:tc>
          <w:tcPr>
            <w:tcW w:w="3360" w:type="dxa"/>
            <w:tcBorders>
              <w:top w:val="nil"/>
              <w:left w:val="single" w:sz="8" w:space="0" w:color="auto"/>
              <w:bottom w:val="single" w:sz="4" w:space="0" w:color="auto"/>
              <w:right w:val="single" w:sz="4" w:space="0" w:color="auto"/>
            </w:tcBorders>
            <w:shd w:val="clear" w:color="auto" w:fill="auto"/>
            <w:noWrap/>
            <w:vAlign w:val="bottom"/>
            <w:hideMark/>
          </w:tcPr>
          <w:p w14:paraId="3BA8D232"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Med S (5-7)</w:t>
            </w:r>
          </w:p>
        </w:tc>
        <w:tc>
          <w:tcPr>
            <w:tcW w:w="2760" w:type="dxa"/>
            <w:tcBorders>
              <w:top w:val="nil"/>
              <w:left w:val="nil"/>
              <w:bottom w:val="single" w:sz="4" w:space="0" w:color="auto"/>
              <w:right w:val="nil"/>
            </w:tcBorders>
            <w:shd w:val="clear" w:color="auto" w:fill="auto"/>
            <w:noWrap/>
            <w:vAlign w:val="bottom"/>
            <w:hideMark/>
          </w:tcPr>
          <w:p w14:paraId="56949D6E"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46</w:t>
            </w:r>
          </w:p>
        </w:tc>
        <w:tc>
          <w:tcPr>
            <w:tcW w:w="2160" w:type="dxa"/>
            <w:tcBorders>
              <w:top w:val="nil"/>
              <w:left w:val="single" w:sz="4" w:space="0" w:color="auto"/>
              <w:bottom w:val="single" w:sz="4" w:space="0" w:color="auto"/>
              <w:right w:val="single" w:sz="8" w:space="0" w:color="auto"/>
            </w:tcBorders>
            <w:shd w:val="clear" w:color="auto" w:fill="auto"/>
            <w:noWrap/>
            <w:vAlign w:val="bottom"/>
            <w:hideMark/>
          </w:tcPr>
          <w:p w14:paraId="1E6879ED"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24%</w:t>
            </w:r>
          </w:p>
        </w:tc>
      </w:tr>
      <w:tr w:rsidR="00751EAB" w:rsidRPr="00751EAB" w14:paraId="0690A0AB" w14:textId="77777777" w:rsidTr="00751EAB">
        <w:trPr>
          <w:trHeight w:val="300"/>
        </w:trPr>
        <w:tc>
          <w:tcPr>
            <w:tcW w:w="3360" w:type="dxa"/>
            <w:tcBorders>
              <w:top w:val="nil"/>
              <w:left w:val="single" w:sz="8" w:space="0" w:color="auto"/>
              <w:bottom w:val="single" w:sz="8" w:space="0" w:color="auto"/>
              <w:right w:val="single" w:sz="4" w:space="0" w:color="auto"/>
            </w:tcBorders>
            <w:shd w:val="clear" w:color="auto" w:fill="auto"/>
            <w:noWrap/>
            <w:vAlign w:val="bottom"/>
            <w:hideMark/>
          </w:tcPr>
          <w:p w14:paraId="6F491140"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Low S (0-4)</w:t>
            </w:r>
          </w:p>
        </w:tc>
        <w:tc>
          <w:tcPr>
            <w:tcW w:w="2760" w:type="dxa"/>
            <w:tcBorders>
              <w:top w:val="nil"/>
              <w:left w:val="nil"/>
              <w:bottom w:val="single" w:sz="8" w:space="0" w:color="auto"/>
              <w:right w:val="nil"/>
            </w:tcBorders>
            <w:shd w:val="clear" w:color="auto" w:fill="auto"/>
            <w:noWrap/>
            <w:vAlign w:val="bottom"/>
            <w:hideMark/>
          </w:tcPr>
          <w:p w14:paraId="6127A701"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18</w:t>
            </w:r>
          </w:p>
        </w:tc>
        <w:tc>
          <w:tcPr>
            <w:tcW w:w="2160" w:type="dxa"/>
            <w:tcBorders>
              <w:top w:val="nil"/>
              <w:left w:val="single" w:sz="4" w:space="0" w:color="auto"/>
              <w:bottom w:val="single" w:sz="8" w:space="0" w:color="auto"/>
              <w:right w:val="single" w:sz="8" w:space="0" w:color="auto"/>
            </w:tcBorders>
            <w:shd w:val="clear" w:color="auto" w:fill="auto"/>
            <w:noWrap/>
            <w:vAlign w:val="bottom"/>
            <w:hideMark/>
          </w:tcPr>
          <w:p w14:paraId="493EBACA"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9%</w:t>
            </w:r>
          </w:p>
        </w:tc>
      </w:tr>
    </w:tbl>
    <w:p w14:paraId="56BEA98B" w14:textId="07498948" w:rsidR="00751EAB" w:rsidRPr="0035279F" w:rsidRDefault="00751EAB" w:rsidP="00751EAB">
      <w:pPr>
        <w:rPr>
          <w:rFonts w:ascii="Calibri" w:hAnsi="Calibri" w:cs="Calibri"/>
          <w:b/>
          <w:color w:val="auto"/>
        </w:rPr>
      </w:pPr>
      <w:r w:rsidRPr="0035279F">
        <w:rPr>
          <w:rFonts w:ascii="Calibri" w:hAnsi="Calibri" w:cs="Calibri"/>
          <w:b/>
          <w:color w:val="auto"/>
        </w:rPr>
        <w:t xml:space="preserve">  Graph 1:</w:t>
      </w:r>
    </w:p>
    <w:p w14:paraId="2B2447E1" w14:textId="581EE4D2" w:rsidR="00751EAB" w:rsidRPr="0035279F" w:rsidRDefault="00751EAB" w:rsidP="00751EAB">
      <w:pPr>
        <w:rPr>
          <w:rFonts w:ascii="Calibri" w:hAnsi="Calibri" w:cs="Calibri"/>
        </w:rPr>
      </w:pPr>
      <w:r w:rsidRPr="0035279F">
        <w:rPr>
          <w:rFonts w:ascii="Calibri" w:hAnsi="Calibri" w:cs="Calibri"/>
          <w:noProof/>
          <w:lang w:eastAsia="en-AU"/>
        </w:rPr>
        <w:drawing>
          <wp:inline distT="0" distB="0" distL="0" distR="0" wp14:anchorId="343D26E1" wp14:editId="6E0A3C7A">
            <wp:extent cx="5324475" cy="27146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8F2102" w14:textId="77777777" w:rsidR="007D35EA" w:rsidRPr="0035279F" w:rsidRDefault="007D35EA" w:rsidP="00A71C1D">
      <w:pPr>
        <w:rPr>
          <w:rFonts w:ascii="Calibri" w:hAnsi="Calibri" w:cs="Calibri"/>
          <w:b/>
        </w:rPr>
      </w:pPr>
    </w:p>
    <w:p w14:paraId="3A0EAE81" w14:textId="77777777" w:rsidR="007D35EA" w:rsidRPr="0035279F" w:rsidRDefault="007D35EA" w:rsidP="00A71C1D">
      <w:pPr>
        <w:rPr>
          <w:rFonts w:ascii="Calibri" w:hAnsi="Calibri" w:cs="Calibri"/>
          <w:b/>
        </w:rPr>
      </w:pPr>
    </w:p>
    <w:p w14:paraId="0650AB04" w14:textId="77777777" w:rsidR="007D35EA" w:rsidRPr="0035279F" w:rsidRDefault="007D35EA" w:rsidP="00A71C1D">
      <w:pPr>
        <w:rPr>
          <w:rFonts w:ascii="Calibri" w:hAnsi="Calibri" w:cs="Calibri"/>
          <w:b/>
        </w:rPr>
      </w:pPr>
    </w:p>
    <w:p w14:paraId="4B718F1D" w14:textId="77777777" w:rsidR="007D35EA" w:rsidRPr="0035279F" w:rsidRDefault="007D35EA" w:rsidP="00A71C1D">
      <w:pPr>
        <w:rPr>
          <w:rFonts w:ascii="Calibri" w:hAnsi="Calibri" w:cs="Calibri"/>
          <w:b/>
        </w:rPr>
      </w:pPr>
    </w:p>
    <w:p w14:paraId="30182CFC" w14:textId="77777777" w:rsidR="007D35EA" w:rsidRPr="0035279F" w:rsidRDefault="007D35EA" w:rsidP="00A71C1D">
      <w:pPr>
        <w:rPr>
          <w:rFonts w:ascii="Calibri" w:hAnsi="Calibri" w:cs="Calibri"/>
          <w:b/>
        </w:rPr>
      </w:pPr>
    </w:p>
    <w:p w14:paraId="5CBBDE03" w14:textId="77777777" w:rsidR="007D35EA" w:rsidRPr="0035279F" w:rsidRDefault="007D35EA" w:rsidP="00A71C1D">
      <w:pPr>
        <w:rPr>
          <w:rFonts w:ascii="Calibri" w:hAnsi="Calibri" w:cs="Calibri"/>
          <w:b/>
        </w:rPr>
      </w:pPr>
    </w:p>
    <w:p w14:paraId="46D632A5" w14:textId="77777777" w:rsidR="007D35EA" w:rsidRPr="0035279F" w:rsidRDefault="007D35EA" w:rsidP="00A71C1D">
      <w:pPr>
        <w:rPr>
          <w:rFonts w:ascii="Calibri" w:hAnsi="Calibri" w:cs="Calibri"/>
          <w:b/>
        </w:rPr>
      </w:pPr>
    </w:p>
    <w:p w14:paraId="6AB60C79" w14:textId="77777777" w:rsidR="007D35EA" w:rsidRPr="0035279F" w:rsidRDefault="007D35EA" w:rsidP="00A71C1D">
      <w:pPr>
        <w:rPr>
          <w:rFonts w:ascii="Calibri" w:hAnsi="Calibri" w:cs="Calibri"/>
          <w:b/>
        </w:rPr>
      </w:pPr>
    </w:p>
    <w:p w14:paraId="02808406" w14:textId="77777777" w:rsidR="007D35EA" w:rsidRPr="0035279F" w:rsidRDefault="007D35EA" w:rsidP="00A71C1D">
      <w:pPr>
        <w:rPr>
          <w:rFonts w:ascii="Calibri" w:hAnsi="Calibri" w:cs="Calibri"/>
          <w:b/>
        </w:rPr>
      </w:pPr>
    </w:p>
    <w:p w14:paraId="30AB701D" w14:textId="77777777" w:rsidR="007D35EA" w:rsidRPr="0035279F" w:rsidRDefault="007D35EA" w:rsidP="00A71C1D">
      <w:pPr>
        <w:rPr>
          <w:rFonts w:ascii="Calibri" w:hAnsi="Calibri" w:cs="Calibri"/>
          <w:b/>
        </w:rPr>
      </w:pPr>
    </w:p>
    <w:p w14:paraId="5E0D7E97" w14:textId="1217A897" w:rsidR="00A71C1D" w:rsidRPr="0035279F" w:rsidRDefault="00751EAB" w:rsidP="00A71C1D">
      <w:pPr>
        <w:rPr>
          <w:rFonts w:ascii="Calibri" w:hAnsi="Calibri" w:cs="Calibri"/>
          <w:b/>
          <w:color w:val="auto"/>
        </w:rPr>
      </w:pPr>
      <w:r w:rsidRPr="0035279F">
        <w:rPr>
          <w:rFonts w:ascii="Calibri" w:hAnsi="Calibri" w:cs="Calibri"/>
          <w:b/>
          <w:color w:val="auto"/>
        </w:rPr>
        <w:lastRenderedPageBreak/>
        <w:t>Table 2:</w:t>
      </w:r>
    </w:p>
    <w:tbl>
      <w:tblPr>
        <w:tblW w:w="8280" w:type="dxa"/>
        <w:tblInd w:w="-10" w:type="dxa"/>
        <w:tblLook w:val="04A0" w:firstRow="1" w:lastRow="0" w:firstColumn="1" w:lastColumn="0" w:noHBand="0" w:noVBand="1"/>
      </w:tblPr>
      <w:tblGrid>
        <w:gridCol w:w="3360"/>
        <w:gridCol w:w="2760"/>
        <w:gridCol w:w="2160"/>
      </w:tblGrid>
      <w:tr w:rsidR="00751EAB" w:rsidRPr="00751EAB" w14:paraId="0A739D26" w14:textId="77777777" w:rsidTr="0035279F">
        <w:trPr>
          <w:trHeight w:val="300"/>
        </w:trPr>
        <w:tc>
          <w:tcPr>
            <w:tcW w:w="3360" w:type="dxa"/>
            <w:tcBorders>
              <w:top w:val="single" w:sz="8" w:space="0" w:color="auto"/>
              <w:left w:val="single" w:sz="8" w:space="0" w:color="auto"/>
              <w:bottom w:val="single" w:sz="8" w:space="0" w:color="auto"/>
              <w:right w:val="single" w:sz="8" w:space="0" w:color="auto"/>
            </w:tcBorders>
            <w:shd w:val="clear" w:color="auto" w:fill="C7D0E9" w:themeFill="accent5" w:themeFillTint="66"/>
            <w:noWrap/>
            <w:vAlign w:val="bottom"/>
            <w:hideMark/>
          </w:tcPr>
          <w:p w14:paraId="595F392F" w14:textId="77777777" w:rsidR="00751EAB" w:rsidRPr="00751EAB" w:rsidRDefault="00751EAB" w:rsidP="000800CA">
            <w:pPr>
              <w:spacing w:before="0" w:after="0" w:line="240" w:lineRule="auto"/>
              <w:jc w:val="center"/>
              <w:rPr>
                <w:rFonts w:ascii="Calibri" w:eastAsia="Times New Roman" w:hAnsi="Calibri" w:cs="Calibri"/>
                <w:b/>
                <w:bCs/>
                <w:color w:val="000000"/>
                <w:u w:val="single"/>
                <w:lang w:eastAsia="en-AU"/>
              </w:rPr>
            </w:pPr>
            <w:r w:rsidRPr="00751EAB">
              <w:rPr>
                <w:rFonts w:ascii="Calibri" w:eastAsia="Times New Roman" w:hAnsi="Calibri" w:cs="Calibri"/>
                <w:b/>
                <w:bCs/>
                <w:color w:val="000000"/>
                <w:u w:val="single"/>
                <w:lang w:eastAsia="en-AU"/>
              </w:rPr>
              <w:t>NPS Classification</w:t>
            </w:r>
          </w:p>
        </w:tc>
        <w:tc>
          <w:tcPr>
            <w:tcW w:w="2760" w:type="dxa"/>
            <w:tcBorders>
              <w:top w:val="single" w:sz="8" w:space="0" w:color="auto"/>
              <w:left w:val="nil"/>
              <w:bottom w:val="nil"/>
              <w:right w:val="single" w:sz="8" w:space="0" w:color="auto"/>
            </w:tcBorders>
            <w:shd w:val="clear" w:color="auto" w:fill="C7D0E9" w:themeFill="accent5" w:themeFillTint="66"/>
            <w:noWrap/>
            <w:vAlign w:val="bottom"/>
            <w:hideMark/>
          </w:tcPr>
          <w:p w14:paraId="352194BF" w14:textId="77777777" w:rsidR="00751EAB" w:rsidRPr="00751EAB" w:rsidRDefault="00751EAB" w:rsidP="000800CA">
            <w:pPr>
              <w:spacing w:before="0" w:after="0" w:line="240" w:lineRule="auto"/>
              <w:jc w:val="center"/>
              <w:rPr>
                <w:rFonts w:ascii="Calibri" w:eastAsia="Times New Roman" w:hAnsi="Calibri" w:cs="Calibri"/>
                <w:b/>
                <w:bCs/>
                <w:color w:val="000000"/>
                <w:u w:val="single"/>
                <w:lang w:eastAsia="en-AU"/>
              </w:rPr>
            </w:pPr>
            <w:r w:rsidRPr="00751EAB">
              <w:rPr>
                <w:rFonts w:ascii="Calibri" w:eastAsia="Times New Roman" w:hAnsi="Calibri" w:cs="Calibri"/>
                <w:b/>
                <w:bCs/>
                <w:color w:val="000000"/>
                <w:u w:val="single"/>
                <w:lang w:eastAsia="en-AU"/>
              </w:rPr>
              <w:t>Number of Respondents</w:t>
            </w:r>
          </w:p>
        </w:tc>
        <w:tc>
          <w:tcPr>
            <w:tcW w:w="2160" w:type="dxa"/>
            <w:tcBorders>
              <w:top w:val="single" w:sz="8" w:space="0" w:color="auto"/>
              <w:left w:val="nil"/>
              <w:bottom w:val="single" w:sz="8" w:space="0" w:color="auto"/>
              <w:right w:val="single" w:sz="8" w:space="0" w:color="auto"/>
            </w:tcBorders>
            <w:shd w:val="clear" w:color="auto" w:fill="C7D0E9" w:themeFill="accent5" w:themeFillTint="66"/>
            <w:noWrap/>
            <w:vAlign w:val="bottom"/>
            <w:hideMark/>
          </w:tcPr>
          <w:p w14:paraId="6454209A" w14:textId="77777777" w:rsidR="00751EAB" w:rsidRPr="00751EAB" w:rsidRDefault="00751EAB" w:rsidP="000800CA">
            <w:pPr>
              <w:spacing w:before="0" w:after="0" w:line="240" w:lineRule="auto"/>
              <w:jc w:val="center"/>
              <w:rPr>
                <w:rFonts w:ascii="Calibri" w:eastAsia="Times New Roman" w:hAnsi="Calibri" w:cs="Calibri"/>
                <w:b/>
                <w:bCs/>
                <w:color w:val="000000"/>
                <w:u w:val="single"/>
                <w:lang w:eastAsia="en-AU"/>
              </w:rPr>
            </w:pPr>
            <w:r w:rsidRPr="00751EAB">
              <w:rPr>
                <w:rFonts w:ascii="Calibri" w:eastAsia="Times New Roman" w:hAnsi="Calibri" w:cs="Calibri"/>
                <w:b/>
                <w:bCs/>
                <w:color w:val="000000"/>
                <w:u w:val="single"/>
                <w:lang w:eastAsia="en-AU"/>
              </w:rPr>
              <w:t>%</w:t>
            </w:r>
          </w:p>
        </w:tc>
      </w:tr>
      <w:tr w:rsidR="00751EAB" w:rsidRPr="00751EAB" w14:paraId="6B236570" w14:textId="77777777" w:rsidTr="00751EAB">
        <w:trPr>
          <w:trHeight w:val="300"/>
        </w:trPr>
        <w:tc>
          <w:tcPr>
            <w:tcW w:w="3360" w:type="dxa"/>
            <w:tcBorders>
              <w:top w:val="nil"/>
              <w:left w:val="single" w:sz="8" w:space="0" w:color="auto"/>
              <w:bottom w:val="single" w:sz="4" w:space="0" w:color="auto"/>
              <w:right w:val="single" w:sz="4" w:space="0" w:color="auto"/>
            </w:tcBorders>
            <w:shd w:val="clear" w:color="auto" w:fill="auto"/>
            <w:noWrap/>
            <w:vAlign w:val="bottom"/>
            <w:hideMark/>
          </w:tcPr>
          <w:p w14:paraId="10606F2F"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Passives</w:t>
            </w:r>
          </w:p>
        </w:tc>
        <w:tc>
          <w:tcPr>
            <w:tcW w:w="2760" w:type="dxa"/>
            <w:tcBorders>
              <w:top w:val="single" w:sz="8" w:space="0" w:color="auto"/>
              <w:left w:val="nil"/>
              <w:bottom w:val="single" w:sz="4" w:space="0" w:color="auto"/>
              <w:right w:val="single" w:sz="8" w:space="0" w:color="auto"/>
            </w:tcBorders>
            <w:shd w:val="clear" w:color="auto" w:fill="auto"/>
            <w:noWrap/>
            <w:vAlign w:val="bottom"/>
            <w:hideMark/>
          </w:tcPr>
          <w:p w14:paraId="5E961046"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76</w:t>
            </w:r>
          </w:p>
        </w:tc>
        <w:tc>
          <w:tcPr>
            <w:tcW w:w="2160" w:type="dxa"/>
            <w:tcBorders>
              <w:top w:val="nil"/>
              <w:left w:val="single" w:sz="4" w:space="0" w:color="auto"/>
              <w:bottom w:val="single" w:sz="4" w:space="0" w:color="auto"/>
              <w:right w:val="single" w:sz="8" w:space="0" w:color="auto"/>
            </w:tcBorders>
            <w:shd w:val="clear" w:color="auto" w:fill="auto"/>
            <w:noWrap/>
            <w:vAlign w:val="bottom"/>
            <w:hideMark/>
          </w:tcPr>
          <w:p w14:paraId="3DFB4218"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40%</w:t>
            </w:r>
          </w:p>
        </w:tc>
      </w:tr>
      <w:tr w:rsidR="00751EAB" w:rsidRPr="00751EAB" w14:paraId="12E3F66F" w14:textId="77777777" w:rsidTr="00751EAB">
        <w:trPr>
          <w:trHeight w:val="300"/>
        </w:trPr>
        <w:tc>
          <w:tcPr>
            <w:tcW w:w="3360" w:type="dxa"/>
            <w:tcBorders>
              <w:top w:val="nil"/>
              <w:left w:val="single" w:sz="8" w:space="0" w:color="auto"/>
              <w:bottom w:val="single" w:sz="4" w:space="0" w:color="auto"/>
              <w:right w:val="single" w:sz="4" w:space="0" w:color="auto"/>
            </w:tcBorders>
            <w:shd w:val="clear" w:color="auto" w:fill="auto"/>
            <w:noWrap/>
            <w:vAlign w:val="bottom"/>
            <w:hideMark/>
          </w:tcPr>
          <w:p w14:paraId="47F767E8"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Promoters</w:t>
            </w:r>
          </w:p>
        </w:tc>
        <w:tc>
          <w:tcPr>
            <w:tcW w:w="2760" w:type="dxa"/>
            <w:tcBorders>
              <w:top w:val="nil"/>
              <w:left w:val="nil"/>
              <w:bottom w:val="single" w:sz="4" w:space="0" w:color="auto"/>
              <w:right w:val="single" w:sz="8" w:space="0" w:color="auto"/>
            </w:tcBorders>
            <w:shd w:val="clear" w:color="auto" w:fill="auto"/>
            <w:noWrap/>
            <w:vAlign w:val="bottom"/>
            <w:hideMark/>
          </w:tcPr>
          <w:p w14:paraId="795A109C"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60</w:t>
            </w:r>
          </w:p>
        </w:tc>
        <w:tc>
          <w:tcPr>
            <w:tcW w:w="2160" w:type="dxa"/>
            <w:tcBorders>
              <w:top w:val="nil"/>
              <w:left w:val="single" w:sz="4" w:space="0" w:color="auto"/>
              <w:bottom w:val="single" w:sz="4" w:space="0" w:color="auto"/>
              <w:right w:val="single" w:sz="8" w:space="0" w:color="auto"/>
            </w:tcBorders>
            <w:shd w:val="clear" w:color="auto" w:fill="auto"/>
            <w:noWrap/>
            <w:vAlign w:val="bottom"/>
            <w:hideMark/>
          </w:tcPr>
          <w:p w14:paraId="0F3C2F01"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31%</w:t>
            </w:r>
          </w:p>
        </w:tc>
      </w:tr>
      <w:tr w:rsidR="00751EAB" w:rsidRPr="00751EAB" w14:paraId="3F7EDA75" w14:textId="77777777" w:rsidTr="00751EAB">
        <w:trPr>
          <w:trHeight w:val="300"/>
        </w:trPr>
        <w:tc>
          <w:tcPr>
            <w:tcW w:w="3360" w:type="dxa"/>
            <w:tcBorders>
              <w:top w:val="nil"/>
              <w:left w:val="single" w:sz="8" w:space="0" w:color="auto"/>
              <w:bottom w:val="single" w:sz="8" w:space="0" w:color="auto"/>
              <w:right w:val="single" w:sz="4" w:space="0" w:color="auto"/>
            </w:tcBorders>
            <w:shd w:val="clear" w:color="auto" w:fill="auto"/>
            <w:noWrap/>
            <w:vAlign w:val="bottom"/>
            <w:hideMark/>
          </w:tcPr>
          <w:p w14:paraId="4E71B539"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Detractors</w:t>
            </w:r>
          </w:p>
        </w:tc>
        <w:tc>
          <w:tcPr>
            <w:tcW w:w="2760" w:type="dxa"/>
            <w:tcBorders>
              <w:top w:val="nil"/>
              <w:left w:val="nil"/>
              <w:bottom w:val="single" w:sz="8" w:space="0" w:color="auto"/>
              <w:right w:val="single" w:sz="8" w:space="0" w:color="auto"/>
            </w:tcBorders>
            <w:shd w:val="clear" w:color="auto" w:fill="auto"/>
            <w:noWrap/>
            <w:vAlign w:val="bottom"/>
            <w:hideMark/>
          </w:tcPr>
          <w:p w14:paraId="7B422EAF"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55</w:t>
            </w:r>
          </w:p>
        </w:tc>
        <w:tc>
          <w:tcPr>
            <w:tcW w:w="2160" w:type="dxa"/>
            <w:tcBorders>
              <w:top w:val="nil"/>
              <w:left w:val="single" w:sz="4" w:space="0" w:color="auto"/>
              <w:bottom w:val="single" w:sz="8" w:space="0" w:color="auto"/>
              <w:right w:val="single" w:sz="8" w:space="0" w:color="auto"/>
            </w:tcBorders>
            <w:shd w:val="clear" w:color="auto" w:fill="auto"/>
            <w:noWrap/>
            <w:vAlign w:val="bottom"/>
            <w:hideMark/>
          </w:tcPr>
          <w:p w14:paraId="3505EDC1" w14:textId="77777777" w:rsidR="00751EAB" w:rsidRPr="00751EAB" w:rsidRDefault="00751EAB" w:rsidP="000800CA">
            <w:pPr>
              <w:spacing w:before="0" w:after="0" w:line="240" w:lineRule="auto"/>
              <w:jc w:val="center"/>
              <w:rPr>
                <w:rFonts w:ascii="Calibri" w:eastAsia="Times New Roman" w:hAnsi="Calibri" w:cs="Calibri"/>
                <w:color w:val="000000"/>
                <w:lang w:eastAsia="en-AU"/>
              </w:rPr>
            </w:pPr>
            <w:r w:rsidRPr="00751EAB">
              <w:rPr>
                <w:rFonts w:ascii="Calibri" w:eastAsia="Times New Roman" w:hAnsi="Calibri" w:cs="Calibri"/>
                <w:color w:val="000000"/>
                <w:lang w:eastAsia="en-AU"/>
              </w:rPr>
              <w:t>29%</w:t>
            </w:r>
          </w:p>
        </w:tc>
      </w:tr>
    </w:tbl>
    <w:p w14:paraId="6295F577" w14:textId="78F47E79" w:rsidR="00D65ADB" w:rsidRPr="0035279F" w:rsidRDefault="00D65ADB" w:rsidP="000800CA">
      <w:pPr>
        <w:jc w:val="center"/>
        <w:rPr>
          <w:rFonts w:ascii="Calibri" w:hAnsi="Calibri" w:cs="Calibri"/>
          <w:b/>
          <w:color w:val="auto"/>
        </w:rPr>
      </w:pPr>
    </w:p>
    <w:p w14:paraId="65E6B1EF" w14:textId="49FDD26E" w:rsidR="00751EAB" w:rsidRPr="0035279F" w:rsidRDefault="00751EAB" w:rsidP="00A71C1D">
      <w:pPr>
        <w:rPr>
          <w:rFonts w:ascii="Calibri" w:hAnsi="Calibri" w:cs="Calibri"/>
          <w:b/>
          <w:color w:val="auto"/>
        </w:rPr>
      </w:pPr>
      <w:r w:rsidRPr="0035279F">
        <w:rPr>
          <w:rFonts w:ascii="Calibri" w:hAnsi="Calibri" w:cs="Calibri"/>
          <w:b/>
          <w:color w:val="auto"/>
        </w:rPr>
        <w:t>Graph 2:</w:t>
      </w:r>
    </w:p>
    <w:p w14:paraId="297E9EAE" w14:textId="60EF385C" w:rsidR="00D65ADB" w:rsidRPr="0035279F" w:rsidRDefault="00D65ADB" w:rsidP="00A71C1D">
      <w:pPr>
        <w:rPr>
          <w:rFonts w:ascii="Calibri" w:hAnsi="Calibri" w:cs="Calibri"/>
          <w:b/>
        </w:rPr>
      </w:pPr>
      <w:r w:rsidRPr="0035279F">
        <w:rPr>
          <w:rFonts w:ascii="Calibri" w:hAnsi="Calibri" w:cs="Calibri"/>
          <w:noProof/>
          <w:lang w:eastAsia="en-AU"/>
        </w:rPr>
        <w:drawing>
          <wp:inline distT="0" distB="0" distL="0" distR="0" wp14:anchorId="54521EC7" wp14:editId="5A58D9DC">
            <wp:extent cx="5391150" cy="29337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FA4F7D" w14:textId="77777777" w:rsidR="007D35EA" w:rsidRPr="0035279F" w:rsidRDefault="007D35EA" w:rsidP="00A71C1D">
      <w:pPr>
        <w:rPr>
          <w:rFonts w:ascii="Calibri" w:hAnsi="Calibri" w:cs="Calibri"/>
          <w:b/>
        </w:rPr>
      </w:pPr>
    </w:p>
    <w:p w14:paraId="4111AAFE" w14:textId="77777777" w:rsidR="007D35EA" w:rsidRPr="0035279F" w:rsidRDefault="007D35EA" w:rsidP="00A71C1D">
      <w:pPr>
        <w:rPr>
          <w:rFonts w:ascii="Calibri" w:hAnsi="Calibri" w:cs="Calibri"/>
          <w:b/>
        </w:rPr>
      </w:pPr>
    </w:p>
    <w:p w14:paraId="1163736D" w14:textId="77777777" w:rsidR="007D35EA" w:rsidRPr="0035279F" w:rsidRDefault="007D35EA" w:rsidP="00A71C1D">
      <w:pPr>
        <w:rPr>
          <w:rFonts w:ascii="Calibri" w:hAnsi="Calibri" w:cs="Calibri"/>
          <w:b/>
        </w:rPr>
      </w:pPr>
    </w:p>
    <w:p w14:paraId="0D2A7F13" w14:textId="77777777" w:rsidR="007D35EA" w:rsidRPr="0035279F" w:rsidRDefault="007D35EA" w:rsidP="00A71C1D">
      <w:pPr>
        <w:rPr>
          <w:rFonts w:ascii="Calibri" w:hAnsi="Calibri" w:cs="Calibri"/>
          <w:b/>
        </w:rPr>
      </w:pPr>
    </w:p>
    <w:p w14:paraId="3D583F84" w14:textId="77777777" w:rsidR="007D35EA" w:rsidRPr="0035279F" w:rsidRDefault="007D35EA" w:rsidP="00A71C1D">
      <w:pPr>
        <w:rPr>
          <w:rFonts w:ascii="Calibri" w:hAnsi="Calibri" w:cs="Calibri"/>
          <w:b/>
        </w:rPr>
      </w:pPr>
    </w:p>
    <w:p w14:paraId="3191F88B" w14:textId="77777777" w:rsidR="007D35EA" w:rsidRPr="0035279F" w:rsidRDefault="007D35EA" w:rsidP="00A71C1D">
      <w:pPr>
        <w:rPr>
          <w:rFonts w:ascii="Calibri" w:hAnsi="Calibri" w:cs="Calibri"/>
          <w:b/>
        </w:rPr>
      </w:pPr>
    </w:p>
    <w:p w14:paraId="1C73C0AB" w14:textId="77777777" w:rsidR="007D35EA" w:rsidRPr="0035279F" w:rsidRDefault="007D35EA" w:rsidP="00A71C1D">
      <w:pPr>
        <w:rPr>
          <w:rFonts w:ascii="Calibri" w:hAnsi="Calibri" w:cs="Calibri"/>
          <w:b/>
        </w:rPr>
      </w:pPr>
    </w:p>
    <w:p w14:paraId="6E0B6B50" w14:textId="53398B9E" w:rsidR="007D35EA" w:rsidRPr="0035279F" w:rsidRDefault="007D35EA" w:rsidP="00A71C1D">
      <w:pPr>
        <w:rPr>
          <w:rFonts w:ascii="Calibri" w:hAnsi="Calibri" w:cs="Calibri"/>
          <w:b/>
        </w:rPr>
      </w:pPr>
    </w:p>
    <w:p w14:paraId="2C67A409" w14:textId="77777777" w:rsidR="007D35EA" w:rsidRPr="0035279F" w:rsidRDefault="007D35EA" w:rsidP="00A71C1D">
      <w:pPr>
        <w:rPr>
          <w:rFonts w:ascii="Calibri" w:hAnsi="Calibri" w:cs="Calibri"/>
          <w:b/>
        </w:rPr>
      </w:pPr>
    </w:p>
    <w:p w14:paraId="29E711FB" w14:textId="77777777" w:rsidR="007D35EA" w:rsidRPr="0035279F" w:rsidRDefault="007D35EA" w:rsidP="00A71C1D">
      <w:pPr>
        <w:rPr>
          <w:rFonts w:ascii="Calibri" w:hAnsi="Calibri" w:cs="Calibri"/>
          <w:b/>
        </w:rPr>
      </w:pPr>
    </w:p>
    <w:p w14:paraId="5B0F6A40" w14:textId="104B0AB9" w:rsidR="00751EAB" w:rsidRPr="0035279F" w:rsidRDefault="00D65ADB" w:rsidP="00A71C1D">
      <w:pPr>
        <w:rPr>
          <w:rFonts w:ascii="Calibri" w:hAnsi="Calibri" w:cs="Calibri"/>
          <w:b/>
          <w:color w:val="auto"/>
        </w:rPr>
      </w:pPr>
      <w:r w:rsidRPr="0035279F">
        <w:rPr>
          <w:rFonts w:ascii="Calibri" w:hAnsi="Calibri" w:cs="Calibri"/>
          <w:b/>
          <w:color w:val="auto"/>
        </w:rPr>
        <w:lastRenderedPageBreak/>
        <w:t>Table 3:</w:t>
      </w:r>
    </w:p>
    <w:tbl>
      <w:tblPr>
        <w:tblW w:w="7797" w:type="dxa"/>
        <w:tblInd w:w="-10" w:type="dxa"/>
        <w:tblLook w:val="04A0" w:firstRow="1" w:lastRow="0" w:firstColumn="1" w:lastColumn="0" w:noHBand="0" w:noVBand="1"/>
      </w:tblPr>
      <w:tblGrid>
        <w:gridCol w:w="1360"/>
        <w:gridCol w:w="1475"/>
        <w:gridCol w:w="1418"/>
        <w:gridCol w:w="974"/>
        <w:gridCol w:w="2570"/>
      </w:tblGrid>
      <w:tr w:rsidR="00D65ADB" w:rsidRPr="00D65ADB" w14:paraId="314A4034" w14:textId="77777777" w:rsidTr="0035279F">
        <w:trPr>
          <w:trHeight w:val="223"/>
        </w:trPr>
        <w:tc>
          <w:tcPr>
            <w:tcW w:w="7797" w:type="dxa"/>
            <w:gridSpan w:val="5"/>
            <w:tcBorders>
              <w:top w:val="single" w:sz="8" w:space="0" w:color="auto"/>
              <w:left w:val="single" w:sz="8" w:space="0" w:color="auto"/>
              <w:bottom w:val="single" w:sz="8" w:space="0" w:color="auto"/>
              <w:right w:val="single" w:sz="8" w:space="0" w:color="000000"/>
            </w:tcBorders>
            <w:shd w:val="clear" w:color="auto" w:fill="C7D0E9" w:themeFill="accent5" w:themeFillTint="66"/>
            <w:vAlign w:val="bottom"/>
            <w:hideMark/>
          </w:tcPr>
          <w:p w14:paraId="1E795F50" w14:textId="77777777" w:rsidR="00D65ADB" w:rsidRPr="00D65ADB" w:rsidRDefault="00D65ADB" w:rsidP="000800CA">
            <w:pPr>
              <w:spacing w:before="0" w:after="0" w:line="240" w:lineRule="auto"/>
              <w:jc w:val="center"/>
              <w:rPr>
                <w:rFonts w:ascii="Calibri" w:eastAsia="Times New Roman" w:hAnsi="Calibri" w:cs="Calibri"/>
                <w:b/>
                <w:bCs/>
                <w:color w:val="000000"/>
                <w:lang w:eastAsia="en-AU"/>
              </w:rPr>
            </w:pPr>
            <w:r w:rsidRPr="00D65ADB">
              <w:rPr>
                <w:rFonts w:ascii="Calibri" w:eastAsia="Times New Roman" w:hAnsi="Calibri" w:cs="Calibri"/>
                <w:b/>
                <w:bCs/>
                <w:color w:val="000000"/>
                <w:lang w:eastAsia="en-AU"/>
              </w:rPr>
              <w:t>Relationship between Satisfaction Scores &amp; Intention to Recommend by Overall Responses</w:t>
            </w:r>
          </w:p>
        </w:tc>
      </w:tr>
      <w:tr w:rsidR="00D65ADB" w:rsidRPr="0035279F" w14:paraId="5A352EF3" w14:textId="77777777" w:rsidTr="0035279F">
        <w:trPr>
          <w:trHeight w:val="223"/>
        </w:trPr>
        <w:tc>
          <w:tcPr>
            <w:tcW w:w="2835" w:type="dxa"/>
            <w:gridSpan w:val="2"/>
            <w:tcBorders>
              <w:top w:val="single" w:sz="8" w:space="0" w:color="auto"/>
              <w:left w:val="single" w:sz="8" w:space="0" w:color="auto"/>
              <w:bottom w:val="single" w:sz="8" w:space="0" w:color="auto"/>
              <w:right w:val="nil"/>
            </w:tcBorders>
            <w:shd w:val="clear" w:color="auto" w:fill="E3E7F4" w:themeFill="accent5" w:themeFillTint="33"/>
            <w:noWrap/>
            <w:vAlign w:val="bottom"/>
            <w:hideMark/>
          </w:tcPr>
          <w:p w14:paraId="088DD0F4" w14:textId="77777777" w:rsidR="00D65ADB" w:rsidRPr="00D65ADB" w:rsidRDefault="00D65ADB" w:rsidP="000800CA">
            <w:pPr>
              <w:spacing w:before="0" w:after="0" w:line="240" w:lineRule="auto"/>
              <w:rPr>
                <w:rFonts w:ascii="Calibri" w:eastAsia="Times New Roman" w:hAnsi="Calibri" w:cs="Calibri"/>
                <w:b/>
                <w:bCs/>
                <w:color w:val="000000"/>
                <w:u w:val="single"/>
                <w:lang w:eastAsia="en-AU"/>
              </w:rPr>
            </w:pPr>
            <w:r w:rsidRPr="00D65ADB">
              <w:rPr>
                <w:rFonts w:ascii="Calibri" w:eastAsia="Times New Roman" w:hAnsi="Calibri" w:cs="Calibri"/>
                <w:b/>
                <w:bCs/>
                <w:color w:val="000000"/>
                <w:u w:val="single"/>
                <w:lang w:eastAsia="en-AU"/>
              </w:rPr>
              <w:t>Customer Satisfaction Break Down</w:t>
            </w:r>
          </w:p>
        </w:tc>
        <w:tc>
          <w:tcPr>
            <w:tcW w:w="1418" w:type="dxa"/>
            <w:tcBorders>
              <w:top w:val="nil"/>
              <w:left w:val="single" w:sz="8" w:space="0" w:color="auto"/>
              <w:bottom w:val="single" w:sz="8" w:space="0" w:color="auto"/>
              <w:right w:val="single" w:sz="4" w:space="0" w:color="auto"/>
            </w:tcBorders>
            <w:shd w:val="clear" w:color="auto" w:fill="E3E7F4" w:themeFill="accent5" w:themeFillTint="33"/>
            <w:noWrap/>
            <w:vAlign w:val="bottom"/>
            <w:hideMark/>
          </w:tcPr>
          <w:p w14:paraId="4395CDBF" w14:textId="77777777" w:rsidR="00D65ADB" w:rsidRPr="00D65ADB" w:rsidRDefault="00D65ADB" w:rsidP="000800CA">
            <w:pPr>
              <w:spacing w:before="0" w:after="0" w:line="240" w:lineRule="auto"/>
              <w:jc w:val="center"/>
              <w:rPr>
                <w:rFonts w:ascii="Calibri" w:eastAsia="Times New Roman" w:hAnsi="Calibri" w:cs="Calibri"/>
                <w:b/>
                <w:bCs/>
                <w:color w:val="000000"/>
                <w:u w:val="single"/>
                <w:lang w:eastAsia="en-AU"/>
              </w:rPr>
            </w:pPr>
            <w:r w:rsidRPr="00D65ADB">
              <w:rPr>
                <w:rFonts w:ascii="Calibri" w:eastAsia="Times New Roman" w:hAnsi="Calibri" w:cs="Calibri"/>
                <w:b/>
                <w:bCs/>
                <w:color w:val="000000"/>
                <w:u w:val="single"/>
                <w:lang w:eastAsia="en-AU"/>
              </w:rPr>
              <w:t>Promoters</w:t>
            </w:r>
          </w:p>
        </w:tc>
        <w:tc>
          <w:tcPr>
            <w:tcW w:w="974" w:type="dxa"/>
            <w:tcBorders>
              <w:top w:val="nil"/>
              <w:left w:val="nil"/>
              <w:bottom w:val="single" w:sz="8" w:space="0" w:color="auto"/>
              <w:right w:val="single" w:sz="4" w:space="0" w:color="auto"/>
            </w:tcBorders>
            <w:shd w:val="clear" w:color="auto" w:fill="E3E7F4" w:themeFill="accent5" w:themeFillTint="33"/>
            <w:noWrap/>
            <w:vAlign w:val="bottom"/>
            <w:hideMark/>
          </w:tcPr>
          <w:p w14:paraId="6502FF90" w14:textId="77777777" w:rsidR="00D65ADB" w:rsidRPr="00D65ADB" w:rsidRDefault="00D65ADB" w:rsidP="000800CA">
            <w:pPr>
              <w:spacing w:before="0" w:after="0" w:line="240" w:lineRule="auto"/>
              <w:jc w:val="center"/>
              <w:rPr>
                <w:rFonts w:ascii="Calibri" w:eastAsia="Times New Roman" w:hAnsi="Calibri" w:cs="Calibri"/>
                <w:b/>
                <w:bCs/>
                <w:color w:val="000000"/>
                <w:u w:val="single"/>
                <w:lang w:eastAsia="en-AU"/>
              </w:rPr>
            </w:pPr>
            <w:r w:rsidRPr="00D65ADB">
              <w:rPr>
                <w:rFonts w:ascii="Calibri" w:eastAsia="Times New Roman" w:hAnsi="Calibri" w:cs="Calibri"/>
                <w:b/>
                <w:bCs/>
                <w:color w:val="000000"/>
                <w:u w:val="single"/>
                <w:lang w:eastAsia="en-AU"/>
              </w:rPr>
              <w:t>Passives</w:t>
            </w:r>
          </w:p>
        </w:tc>
        <w:tc>
          <w:tcPr>
            <w:tcW w:w="2570" w:type="dxa"/>
            <w:tcBorders>
              <w:top w:val="nil"/>
              <w:left w:val="nil"/>
              <w:bottom w:val="single" w:sz="8" w:space="0" w:color="auto"/>
              <w:right w:val="single" w:sz="8" w:space="0" w:color="auto"/>
            </w:tcBorders>
            <w:shd w:val="clear" w:color="auto" w:fill="E3E7F4" w:themeFill="accent5" w:themeFillTint="33"/>
            <w:noWrap/>
            <w:vAlign w:val="bottom"/>
            <w:hideMark/>
          </w:tcPr>
          <w:p w14:paraId="3F1315B9" w14:textId="42D7C2F9" w:rsidR="00D65ADB" w:rsidRPr="00D65ADB" w:rsidRDefault="00D65ADB" w:rsidP="000800CA">
            <w:pPr>
              <w:spacing w:before="0" w:after="0" w:line="240" w:lineRule="auto"/>
              <w:jc w:val="center"/>
              <w:rPr>
                <w:rFonts w:ascii="Calibri" w:eastAsia="Times New Roman" w:hAnsi="Calibri" w:cs="Calibri"/>
                <w:b/>
                <w:bCs/>
                <w:color w:val="000000"/>
                <w:u w:val="single"/>
                <w:lang w:eastAsia="en-AU"/>
              </w:rPr>
            </w:pPr>
            <w:r w:rsidRPr="00D65ADB">
              <w:rPr>
                <w:rFonts w:ascii="Calibri" w:eastAsia="Times New Roman" w:hAnsi="Calibri" w:cs="Calibri"/>
                <w:b/>
                <w:bCs/>
                <w:color w:val="000000"/>
                <w:u w:val="single"/>
                <w:lang w:eastAsia="en-AU"/>
              </w:rPr>
              <w:t>Detractor</w:t>
            </w:r>
            <w:r w:rsidR="00C06F61" w:rsidRPr="0035279F">
              <w:rPr>
                <w:rFonts w:ascii="Calibri" w:eastAsia="Times New Roman" w:hAnsi="Calibri" w:cs="Calibri"/>
                <w:b/>
                <w:bCs/>
                <w:color w:val="000000"/>
                <w:u w:val="single"/>
                <w:lang w:eastAsia="en-AU"/>
              </w:rPr>
              <w:t>s</w:t>
            </w:r>
          </w:p>
        </w:tc>
      </w:tr>
      <w:tr w:rsidR="00D65ADB" w:rsidRPr="0035279F" w14:paraId="1E07D2EB" w14:textId="77777777" w:rsidTr="00D65ADB">
        <w:trPr>
          <w:trHeight w:val="223"/>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45570AD3"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Low S (0-4)</w:t>
            </w:r>
          </w:p>
        </w:tc>
        <w:tc>
          <w:tcPr>
            <w:tcW w:w="1475" w:type="dxa"/>
            <w:tcBorders>
              <w:top w:val="nil"/>
              <w:left w:val="nil"/>
              <w:bottom w:val="single" w:sz="4" w:space="0" w:color="auto"/>
              <w:right w:val="nil"/>
            </w:tcBorders>
            <w:shd w:val="clear" w:color="auto" w:fill="auto"/>
            <w:noWrap/>
            <w:vAlign w:val="bottom"/>
            <w:hideMark/>
          </w:tcPr>
          <w:p w14:paraId="374725BB"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18</w:t>
            </w:r>
          </w:p>
        </w:tc>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3F7F520C"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0%</w:t>
            </w:r>
          </w:p>
        </w:tc>
        <w:tc>
          <w:tcPr>
            <w:tcW w:w="974" w:type="dxa"/>
            <w:tcBorders>
              <w:top w:val="nil"/>
              <w:left w:val="single" w:sz="8" w:space="0" w:color="auto"/>
              <w:bottom w:val="single" w:sz="4" w:space="0" w:color="auto"/>
              <w:right w:val="single" w:sz="4" w:space="0" w:color="auto"/>
            </w:tcBorders>
            <w:shd w:val="clear" w:color="auto" w:fill="auto"/>
            <w:noWrap/>
            <w:vAlign w:val="bottom"/>
            <w:hideMark/>
          </w:tcPr>
          <w:p w14:paraId="127B6B68"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0%</w:t>
            </w:r>
          </w:p>
        </w:tc>
        <w:tc>
          <w:tcPr>
            <w:tcW w:w="2570" w:type="dxa"/>
            <w:tcBorders>
              <w:top w:val="nil"/>
              <w:left w:val="single" w:sz="8" w:space="0" w:color="auto"/>
              <w:bottom w:val="single" w:sz="4" w:space="0" w:color="auto"/>
              <w:right w:val="single" w:sz="8" w:space="0" w:color="auto"/>
            </w:tcBorders>
            <w:shd w:val="clear" w:color="auto" w:fill="auto"/>
            <w:noWrap/>
            <w:vAlign w:val="bottom"/>
            <w:hideMark/>
          </w:tcPr>
          <w:p w14:paraId="23D42E7A"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9%</w:t>
            </w:r>
          </w:p>
        </w:tc>
      </w:tr>
      <w:tr w:rsidR="00D65ADB" w:rsidRPr="0035279F" w14:paraId="4BD8E970" w14:textId="77777777" w:rsidTr="00D65ADB">
        <w:trPr>
          <w:trHeight w:val="223"/>
        </w:trPr>
        <w:tc>
          <w:tcPr>
            <w:tcW w:w="1360" w:type="dxa"/>
            <w:tcBorders>
              <w:top w:val="nil"/>
              <w:left w:val="single" w:sz="8" w:space="0" w:color="auto"/>
              <w:bottom w:val="single" w:sz="4" w:space="0" w:color="auto"/>
              <w:right w:val="single" w:sz="4" w:space="0" w:color="auto"/>
            </w:tcBorders>
            <w:shd w:val="clear" w:color="auto" w:fill="auto"/>
            <w:noWrap/>
            <w:vAlign w:val="bottom"/>
            <w:hideMark/>
          </w:tcPr>
          <w:p w14:paraId="2D33379F"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Med S (5-7)</w:t>
            </w:r>
          </w:p>
        </w:tc>
        <w:tc>
          <w:tcPr>
            <w:tcW w:w="1475" w:type="dxa"/>
            <w:tcBorders>
              <w:top w:val="nil"/>
              <w:left w:val="nil"/>
              <w:bottom w:val="single" w:sz="4" w:space="0" w:color="auto"/>
              <w:right w:val="nil"/>
            </w:tcBorders>
            <w:shd w:val="clear" w:color="auto" w:fill="auto"/>
            <w:noWrap/>
            <w:vAlign w:val="bottom"/>
            <w:hideMark/>
          </w:tcPr>
          <w:p w14:paraId="20E995B9"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46</w:t>
            </w:r>
          </w:p>
        </w:tc>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3C218E35"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0.52%</w:t>
            </w:r>
          </w:p>
        </w:tc>
        <w:tc>
          <w:tcPr>
            <w:tcW w:w="974" w:type="dxa"/>
            <w:tcBorders>
              <w:top w:val="nil"/>
              <w:left w:val="single" w:sz="8" w:space="0" w:color="auto"/>
              <w:bottom w:val="single" w:sz="4" w:space="0" w:color="auto"/>
              <w:right w:val="single" w:sz="4" w:space="0" w:color="auto"/>
            </w:tcBorders>
            <w:shd w:val="clear" w:color="auto" w:fill="auto"/>
            <w:noWrap/>
            <w:vAlign w:val="bottom"/>
            <w:hideMark/>
          </w:tcPr>
          <w:p w14:paraId="6E596357"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9.42%</w:t>
            </w:r>
          </w:p>
        </w:tc>
        <w:tc>
          <w:tcPr>
            <w:tcW w:w="2570" w:type="dxa"/>
            <w:tcBorders>
              <w:top w:val="nil"/>
              <w:left w:val="single" w:sz="8" w:space="0" w:color="auto"/>
              <w:bottom w:val="single" w:sz="4" w:space="0" w:color="auto"/>
              <w:right w:val="single" w:sz="8" w:space="0" w:color="auto"/>
            </w:tcBorders>
            <w:shd w:val="clear" w:color="auto" w:fill="auto"/>
            <w:noWrap/>
            <w:vAlign w:val="bottom"/>
            <w:hideMark/>
          </w:tcPr>
          <w:p w14:paraId="7644E382"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14.14%</w:t>
            </w:r>
          </w:p>
        </w:tc>
      </w:tr>
      <w:tr w:rsidR="00D65ADB" w:rsidRPr="0035279F" w14:paraId="0ACE455D" w14:textId="77777777" w:rsidTr="00D65ADB">
        <w:trPr>
          <w:trHeight w:val="223"/>
        </w:trPr>
        <w:tc>
          <w:tcPr>
            <w:tcW w:w="1360" w:type="dxa"/>
            <w:tcBorders>
              <w:top w:val="nil"/>
              <w:left w:val="single" w:sz="8" w:space="0" w:color="auto"/>
              <w:bottom w:val="single" w:sz="8" w:space="0" w:color="auto"/>
              <w:right w:val="single" w:sz="4" w:space="0" w:color="auto"/>
            </w:tcBorders>
            <w:shd w:val="clear" w:color="auto" w:fill="auto"/>
            <w:noWrap/>
            <w:vAlign w:val="bottom"/>
            <w:hideMark/>
          </w:tcPr>
          <w:p w14:paraId="5B80473A"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High S (8-10)</w:t>
            </w:r>
          </w:p>
        </w:tc>
        <w:tc>
          <w:tcPr>
            <w:tcW w:w="1475" w:type="dxa"/>
            <w:tcBorders>
              <w:top w:val="nil"/>
              <w:left w:val="nil"/>
              <w:bottom w:val="single" w:sz="8" w:space="0" w:color="auto"/>
              <w:right w:val="nil"/>
            </w:tcBorders>
            <w:shd w:val="clear" w:color="auto" w:fill="auto"/>
            <w:noWrap/>
            <w:vAlign w:val="bottom"/>
            <w:hideMark/>
          </w:tcPr>
          <w:p w14:paraId="6339583B"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127</w:t>
            </w:r>
          </w:p>
        </w:tc>
        <w:tc>
          <w:tcPr>
            <w:tcW w:w="1418" w:type="dxa"/>
            <w:tcBorders>
              <w:top w:val="nil"/>
              <w:left w:val="single" w:sz="8" w:space="0" w:color="auto"/>
              <w:bottom w:val="single" w:sz="8" w:space="0" w:color="auto"/>
              <w:right w:val="single" w:sz="4" w:space="0" w:color="auto"/>
            </w:tcBorders>
            <w:shd w:val="clear" w:color="auto" w:fill="auto"/>
            <w:noWrap/>
            <w:vAlign w:val="bottom"/>
            <w:hideMark/>
          </w:tcPr>
          <w:p w14:paraId="29FAB94F"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30.89%</w:t>
            </w:r>
          </w:p>
        </w:tc>
        <w:tc>
          <w:tcPr>
            <w:tcW w:w="974" w:type="dxa"/>
            <w:tcBorders>
              <w:top w:val="nil"/>
              <w:left w:val="single" w:sz="8" w:space="0" w:color="auto"/>
              <w:bottom w:val="single" w:sz="8" w:space="0" w:color="auto"/>
              <w:right w:val="single" w:sz="4" w:space="0" w:color="auto"/>
            </w:tcBorders>
            <w:shd w:val="clear" w:color="auto" w:fill="auto"/>
            <w:noWrap/>
            <w:vAlign w:val="bottom"/>
            <w:hideMark/>
          </w:tcPr>
          <w:p w14:paraId="12A3D86E"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30.37%</w:t>
            </w:r>
          </w:p>
        </w:tc>
        <w:tc>
          <w:tcPr>
            <w:tcW w:w="2570" w:type="dxa"/>
            <w:tcBorders>
              <w:top w:val="nil"/>
              <w:left w:val="single" w:sz="8" w:space="0" w:color="auto"/>
              <w:bottom w:val="single" w:sz="8" w:space="0" w:color="auto"/>
              <w:right w:val="single" w:sz="8" w:space="0" w:color="auto"/>
            </w:tcBorders>
            <w:shd w:val="clear" w:color="auto" w:fill="auto"/>
            <w:noWrap/>
            <w:vAlign w:val="bottom"/>
            <w:hideMark/>
          </w:tcPr>
          <w:p w14:paraId="32B2A770" w14:textId="77777777" w:rsidR="00D65ADB" w:rsidRPr="00D65ADB" w:rsidRDefault="00D65ADB" w:rsidP="000800CA">
            <w:pPr>
              <w:spacing w:before="0" w:after="0" w:line="240" w:lineRule="auto"/>
              <w:jc w:val="center"/>
              <w:rPr>
                <w:rFonts w:ascii="Calibri" w:eastAsia="Times New Roman" w:hAnsi="Calibri" w:cs="Calibri"/>
                <w:color w:val="000000"/>
                <w:lang w:eastAsia="en-AU"/>
              </w:rPr>
            </w:pPr>
            <w:r w:rsidRPr="00D65ADB">
              <w:rPr>
                <w:rFonts w:ascii="Calibri" w:eastAsia="Times New Roman" w:hAnsi="Calibri" w:cs="Calibri"/>
                <w:color w:val="000000"/>
                <w:lang w:eastAsia="en-AU"/>
              </w:rPr>
              <w:t>5.24%</w:t>
            </w:r>
          </w:p>
        </w:tc>
      </w:tr>
    </w:tbl>
    <w:p w14:paraId="108620D7" w14:textId="2E374413" w:rsidR="00D65ADB" w:rsidRPr="0035279F" w:rsidRDefault="00D65ADB" w:rsidP="00A71C1D">
      <w:pPr>
        <w:rPr>
          <w:rFonts w:ascii="Calibri" w:hAnsi="Calibri" w:cs="Calibri"/>
          <w:b/>
        </w:rPr>
      </w:pPr>
    </w:p>
    <w:p w14:paraId="193B68FE" w14:textId="24FE0E8C" w:rsidR="00D65ADB" w:rsidRPr="0035279F" w:rsidRDefault="00D65ADB" w:rsidP="00A71C1D">
      <w:pPr>
        <w:rPr>
          <w:rFonts w:ascii="Calibri" w:hAnsi="Calibri" w:cs="Calibri"/>
          <w:b/>
          <w:color w:val="auto"/>
        </w:rPr>
      </w:pPr>
      <w:r w:rsidRPr="0035279F">
        <w:rPr>
          <w:rFonts w:ascii="Calibri" w:hAnsi="Calibri" w:cs="Calibri"/>
          <w:b/>
          <w:color w:val="auto"/>
        </w:rPr>
        <w:t>Graph 3:</w:t>
      </w:r>
    </w:p>
    <w:p w14:paraId="4180C5AF" w14:textId="3F1B54BC" w:rsidR="00D65ADB" w:rsidRPr="0035279F" w:rsidRDefault="007D35EA" w:rsidP="007D35EA">
      <w:pPr>
        <w:ind w:left="-142"/>
        <w:rPr>
          <w:rFonts w:ascii="Calibri" w:hAnsi="Calibri" w:cs="Calibri"/>
          <w:b/>
        </w:rPr>
      </w:pPr>
      <w:r w:rsidRPr="0035279F">
        <w:rPr>
          <w:rFonts w:ascii="Calibri" w:hAnsi="Calibri" w:cs="Calibri"/>
          <w:noProof/>
          <w:lang w:eastAsia="en-AU"/>
        </w:rPr>
        <w:drawing>
          <wp:inline distT="0" distB="0" distL="0" distR="0" wp14:anchorId="182CC3EF" wp14:editId="345D6754">
            <wp:extent cx="6181725" cy="34766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8E827F" w14:textId="5C631CC9" w:rsidR="007D35EA" w:rsidRPr="0035279F" w:rsidRDefault="007D35EA" w:rsidP="007D35EA">
      <w:pPr>
        <w:ind w:left="-142"/>
        <w:rPr>
          <w:rFonts w:ascii="Calibri" w:hAnsi="Calibri" w:cs="Calibri"/>
          <w:b/>
        </w:rPr>
      </w:pPr>
    </w:p>
    <w:p w14:paraId="61543710" w14:textId="65ED26F1" w:rsidR="007D35EA" w:rsidRPr="0035279F" w:rsidRDefault="007D35EA" w:rsidP="007D35EA">
      <w:pPr>
        <w:ind w:left="-142"/>
        <w:rPr>
          <w:rFonts w:ascii="Calibri" w:hAnsi="Calibri" w:cs="Calibri"/>
          <w:b/>
        </w:rPr>
      </w:pPr>
    </w:p>
    <w:p w14:paraId="55FBC743" w14:textId="7C5BAB3E" w:rsidR="007D35EA" w:rsidRPr="0035279F" w:rsidRDefault="007D35EA" w:rsidP="007D35EA">
      <w:pPr>
        <w:ind w:left="-142"/>
        <w:rPr>
          <w:rFonts w:ascii="Calibri" w:hAnsi="Calibri" w:cs="Calibri"/>
          <w:b/>
        </w:rPr>
      </w:pPr>
    </w:p>
    <w:p w14:paraId="63C552DF" w14:textId="169B667A" w:rsidR="007D35EA" w:rsidRPr="0035279F" w:rsidRDefault="007D35EA" w:rsidP="007D35EA">
      <w:pPr>
        <w:ind w:left="-142"/>
        <w:rPr>
          <w:rFonts w:ascii="Calibri" w:hAnsi="Calibri" w:cs="Calibri"/>
          <w:b/>
        </w:rPr>
      </w:pPr>
    </w:p>
    <w:p w14:paraId="1410F954" w14:textId="3CA0F578" w:rsidR="007D35EA" w:rsidRPr="0035279F" w:rsidRDefault="007D35EA" w:rsidP="006C5031">
      <w:pPr>
        <w:rPr>
          <w:rFonts w:ascii="Calibri" w:hAnsi="Calibri" w:cs="Calibri"/>
          <w:b/>
        </w:rPr>
      </w:pPr>
    </w:p>
    <w:p w14:paraId="05F5C8A6" w14:textId="77777777" w:rsidR="006C5031" w:rsidRPr="0035279F" w:rsidRDefault="006C5031" w:rsidP="006C5031">
      <w:pPr>
        <w:rPr>
          <w:rFonts w:ascii="Calibri" w:hAnsi="Calibri" w:cs="Calibri"/>
          <w:b/>
        </w:rPr>
      </w:pPr>
    </w:p>
    <w:p w14:paraId="0B85874E" w14:textId="2DAC0C87" w:rsidR="007D35EA" w:rsidRPr="0035279F" w:rsidRDefault="007D35EA" w:rsidP="007D35EA">
      <w:pPr>
        <w:ind w:left="-142"/>
        <w:rPr>
          <w:rFonts w:ascii="Calibri" w:hAnsi="Calibri" w:cs="Calibri"/>
          <w:b/>
        </w:rPr>
      </w:pPr>
    </w:p>
    <w:p w14:paraId="3C695070" w14:textId="410BC730" w:rsidR="007D35EA" w:rsidRPr="0035279F" w:rsidRDefault="007D35EA" w:rsidP="007D35EA">
      <w:pPr>
        <w:ind w:left="-142"/>
        <w:rPr>
          <w:rFonts w:ascii="Calibri" w:hAnsi="Calibri" w:cs="Calibri"/>
          <w:b/>
          <w:color w:val="auto"/>
        </w:rPr>
      </w:pPr>
      <w:r w:rsidRPr="0035279F">
        <w:rPr>
          <w:rFonts w:ascii="Calibri" w:hAnsi="Calibri" w:cs="Calibri"/>
          <w:b/>
          <w:color w:val="auto"/>
        </w:rPr>
        <w:lastRenderedPageBreak/>
        <w:t>Graph 4:</w:t>
      </w:r>
    </w:p>
    <w:p w14:paraId="7BE5414B" w14:textId="220E0169" w:rsidR="007D35EA" w:rsidRPr="0035279F" w:rsidRDefault="00C06F61" w:rsidP="007D35EA">
      <w:pPr>
        <w:ind w:left="-142"/>
        <w:rPr>
          <w:rFonts w:ascii="Calibri" w:hAnsi="Calibri" w:cs="Calibri"/>
          <w:b/>
        </w:rPr>
      </w:pPr>
      <w:r w:rsidRPr="0035279F">
        <w:rPr>
          <w:rFonts w:ascii="Calibri" w:hAnsi="Calibri" w:cs="Calibri"/>
          <w:noProof/>
          <w:lang w:eastAsia="en-AU"/>
        </w:rPr>
        <w:drawing>
          <wp:inline distT="0" distB="0" distL="0" distR="0" wp14:anchorId="0E58DD8F" wp14:editId="0B21E841">
            <wp:extent cx="5486400" cy="2869565"/>
            <wp:effectExtent l="0" t="0" r="0" b="69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4697CE" w14:textId="35C4BB90" w:rsidR="006C5031" w:rsidRPr="0035279F" w:rsidRDefault="006C5031" w:rsidP="007D35EA">
      <w:pPr>
        <w:ind w:left="-142"/>
        <w:rPr>
          <w:rFonts w:ascii="Calibri" w:hAnsi="Calibri" w:cs="Calibri"/>
          <w:b/>
        </w:rPr>
      </w:pPr>
    </w:p>
    <w:p w14:paraId="575C6637" w14:textId="109E7010" w:rsidR="006C5031" w:rsidRPr="0035279F" w:rsidRDefault="006C5031" w:rsidP="007D35EA">
      <w:pPr>
        <w:ind w:left="-142"/>
        <w:rPr>
          <w:rFonts w:ascii="Calibri" w:hAnsi="Calibri" w:cs="Calibri"/>
          <w:b/>
          <w:color w:val="auto"/>
        </w:rPr>
      </w:pPr>
      <w:r w:rsidRPr="0035279F">
        <w:rPr>
          <w:rFonts w:ascii="Calibri" w:hAnsi="Calibri" w:cs="Calibri"/>
          <w:b/>
          <w:color w:val="auto"/>
        </w:rPr>
        <w:t xml:space="preserve">Table 5: </w:t>
      </w:r>
    </w:p>
    <w:tbl>
      <w:tblPr>
        <w:tblW w:w="8223" w:type="dxa"/>
        <w:tblInd w:w="-10" w:type="dxa"/>
        <w:tblLook w:val="04A0" w:firstRow="1" w:lastRow="0" w:firstColumn="1" w:lastColumn="0" w:noHBand="0" w:noVBand="1"/>
      </w:tblPr>
      <w:tblGrid>
        <w:gridCol w:w="3969"/>
        <w:gridCol w:w="1701"/>
        <w:gridCol w:w="1276"/>
        <w:gridCol w:w="1277"/>
      </w:tblGrid>
      <w:tr w:rsidR="0035279F" w:rsidRPr="0035279F" w14:paraId="374D49B3" w14:textId="77777777" w:rsidTr="0035279F">
        <w:trPr>
          <w:trHeight w:val="194"/>
        </w:trPr>
        <w:tc>
          <w:tcPr>
            <w:tcW w:w="8223" w:type="dxa"/>
            <w:gridSpan w:val="4"/>
            <w:tcBorders>
              <w:top w:val="single" w:sz="8" w:space="0" w:color="auto"/>
              <w:left w:val="single" w:sz="8" w:space="0" w:color="auto"/>
              <w:bottom w:val="single" w:sz="8" w:space="0" w:color="auto"/>
              <w:right w:val="single" w:sz="8" w:space="0" w:color="000000"/>
            </w:tcBorders>
            <w:shd w:val="clear" w:color="auto" w:fill="C7D0E9" w:themeFill="accent5" w:themeFillTint="66"/>
            <w:noWrap/>
            <w:vAlign w:val="bottom"/>
            <w:hideMark/>
          </w:tcPr>
          <w:p w14:paraId="2F7F0771" w14:textId="77777777" w:rsidR="0035279F" w:rsidRPr="0035279F" w:rsidRDefault="0035279F" w:rsidP="0035279F">
            <w:pPr>
              <w:spacing w:before="0" w:after="0" w:line="240" w:lineRule="auto"/>
              <w:jc w:val="center"/>
              <w:rPr>
                <w:rFonts w:ascii="Calibri" w:eastAsia="Times New Roman" w:hAnsi="Calibri" w:cs="Calibri"/>
                <w:b/>
                <w:bCs/>
                <w:color w:val="000000"/>
                <w:lang w:eastAsia="en-AU"/>
              </w:rPr>
            </w:pPr>
            <w:r w:rsidRPr="0035279F">
              <w:rPr>
                <w:rFonts w:ascii="Calibri" w:eastAsia="Times New Roman" w:hAnsi="Calibri" w:cs="Calibri"/>
                <w:b/>
                <w:bCs/>
                <w:color w:val="000000"/>
                <w:lang w:eastAsia="en-AU"/>
              </w:rPr>
              <w:t>Customer Satisfaction by Bank Change Responses</w:t>
            </w:r>
          </w:p>
        </w:tc>
      </w:tr>
      <w:tr w:rsidR="0035279F" w:rsidRPr="0035279F" w14:paraId="2C441DA8" w14:textId="77777777" w:rsidTr="0035279F">
        <w:trPr>
          <w:trHeight w:val="194"/>
        </w:trPr>
        <w:tc>
          <w:tcPr>
            <w:tcW w:w="5670" w:type="dxa"/>
            <w:gridSpan w:val="2"/>
            <w:tcBorders>
              <w:top w:val="single" w:sz="8" w:space="0" w:color="auto"/>
              <w:left w:val="single" w:sz="8" w:space="0" w:color="auto"/>
              <w:bottom w:val="single" w:sz="8" w:space="0" w:color="auto"/>
              <w:right w:val="nil"/>
            </w:tcBorders>
            <w:shd w:val="clear" w:color="auto" w:fill="E3E7F4" w:themeFill="accent5" w:themeFillTint="33"/>
            <w:noWrap/>
            <w:vAlign w:val="bottom"/>
            <w:hideMark/>
          </w:tcPr>
          <w:p w14:paraId="2B113517" w14:textId="77777777" w:rsidR="0035279F" w:rsidRPr="0035279F" w:rsidRDefault="0035279F" w:rsidP="0035279F">
            <w:pPr>
              <w:spacing w:before="0" w:after="0" w:line="240" w:lineRule="auto"/>
              <w:jc w:val="center"/>
              <w:rPr>
                <w:rFonts w:ascii="Calibri" w:eastAsia="Times New Roman" w:hAnsi="Calibri" w:cs="Calibri"/>
                <w:b/>
                <w:bCs/>
                <w:color w:val="000000"/>
                <w:u w:val="single"/>
                <w:lang w:eastAsia="en-AU"/>
              </w:rPr>
            </w:pPr>
            <w:r w:rsidRPr="0035279F">
              <w:rPr>
                <w:rFonts w:ascii="Calibri" w:eastAsia="Times New Roman" w:hAnsi="Calibri" w:cs="Calibri"/>
                <w:b/>
                <w:bCs/>
                <w:color w:val="000000"/>
                <w:u w:val="single"/>
                <w:lang w:eastAsia="en-AU"/>
              </w:rPr>
              <w:t>Customer Satisfaction Break Down</w:t>
            </w:r>
          </w:p>
        </w:tc>
        <w:tc>
          <w:tcPr>
            <w:tcW w:w="1276" w:type="dxa"/>
            <w:tcBorders>
              <w:top w:val="nil"/>
              <w:left w:val="single" w:sz="8" w:space="0" w:color="auto"/>
              <w:bottom w:val="single" w:sz="4" w:space="0" w:color="auto"/>
              <w:right w:val="single" w:sz="4" w:space="0" w:color="auto"/>
            </w:tcBorders>
            <w:shd w:val="clear" w:color="auto" w:fill="E3E7F4" w:themeFill="accent5" w:themeFillTint="33"/>
            <w:noWrap/>
            <w:vAlign w:val="bottom"/>
            <w:hideMark/>
          </w:tcPr>
          <w:p w14:paraId="4E2E7DC2" w14:textId="77777777" w:rsidR="0035279F" w:rsidRPr="0035279F" w:rsidRDefault="0035279F" w:rsidP="0035279F">
            <w:pPr>
              <w:spacing w:before="0" w:after="0" w:line="240" w:lineRule="auto"/>
              <w:rPr>
                <w:rFonts w:ascii="Calibri" w:eastAsia="Times New Roman" w:hAnsi="Calibri" w:cs="Calibri"/>
                <w:b/>
                <w:bCs/>
                <w:color w:val="000000"/>
                <w:u w:val="single"/>
                <w:lang w:eastAsia="en-AU"/>
              </w:rPr>
            </w:pPr>
            <w:r w:rsidRPr="0035279F">
              <w:rPr>
                <w:rFonts w:ascii="Calibri" w:eastAsia="Times New Roman" w:hAnsi="Calibri" w:cs="Calibri"/>
                <w:b/>
                <w:bCs/>
                <w:color w:val="000000"/>
                <w:u w:val="single"/>
                <w:lang w:eastAsia="en-AU"/>
              </w:rPr>
              <w:t>Change Bank</w:t>
            </w:r>
          </w:p>
        </w:tc>
        <w:tc>
          <w:tcPr>
            <w:tcW w:w="1277" w:type="dxa"/>
            <w:tcBorders>
              <w:top w:val="nil"/>
              <w:left w:val="nil"/>
              <w:bottom w:val="single" w:sz="4" w:space="0" w:color="auto"/>
              <w:right w:val="single" w:sz="8" w:space="0" w:color="auto"/>
            </w:tcBorders>
            <w:shd w:val="clear" w:color="auto" w:fill="E3E7F4" w:themeFill="accent5" w:themeFillTint="33"/>
            <w:noWrap/>
            <w:vAlign w:val="bottom"/>
            <w:hideMark/>
          </w:tcPr>
          <w:p w14:paraId="689B637A" w14:textId="77777777" w:rsidR="0035279F" w:rsidRPr="0035279F" w:rsidRDefault="0035279F" w:rsidP="0035279F">
            <w:pPr>
              <w:spacing w:before="0" w:after="0" w:line="240" w:lineRule="auto"/>
              <w:rPr>
                <w:rFonts w:ascii="Calibri" w:eastAsia="Times New Roman" w:hAnsi="Calibri" w:cs="Calibri"/>
                <w:b/>
                <w:bCs/>
                <w:color w:val="000000"/>
                <w:u w:val="single"/>
                <w:lang w:eastAsia="en-AU"/>
              </w:rPr>
            </w:pPr>
            <w:r w:rsidRPr="0035279F">
              <w:rPr>
                <w:rFonts w:ascii="Calibri" w:eastAsia="Times New Roman" w:hAnsi="Calibri" w:cs="Calibri"/>
                <w:b/>
                <w:bCs/>
                <w:color w:val="000000"/>
                <w:u w:val="single"/>
                <w:lang w:eastAsia="en-AU"/>
              </w:rPr>
              <w:t>Stay With Bank</w:t>
            </w:r>
          </w:p>
        </w:tc>
      </w:tr>
      <w:tr w:rsidR="0035279F" w:rsidRPr="0035279F" w14:paraId="55B70A59" w14:textId="77777777" w:rsidTr="0035279F">
        <w:trPr>
          <w:trHeight w:val="194"/>
        </w:trPr>
        <w:tc>
          <w:tcPr>
            <w:tcW w:w="3969" w:type="dxa"/>
            <w:tcBorders>
              <w:top w:val="nil"/>
              <w:left w:val="single" w:sz="8" w:space="0" w:color="auto"/>
              <w:bottom w:val="single" w:sz="4" w:space="0" w:color="auto"/>
              <w:right w:val="single" w:sz="4" w:space="0" w:color="auto"/>
            </w:tcBorders>
            <w:shd w:val="clear" w:color="auto" w:fill="auto"/>
            <w:noWrap/>
            <w:vAlign w:val="bottom"/>
            <w:hideMark/>
          </w:tcPr>
          <w:p w14:paraId="4C3283CE"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High S (8-10)</w:t>
            </w:r>
          </w:p>
        </w:tc>
        <w:tc>
          <w:tcPr>
            <w:tcW w:w="1701" w:type="dxa"/>
            <w:tcBorders>
              <w:top w:val="nil"/>
              <w:left w:val="nil"/>
              <w:bottom w:val="single" w:sz="4" w:space="0" w:color="auto"/>
              <w:right w:val="nil"/>
            </w:tcBorders>
            <w:shd w:val="clear" w:color="auto" w:fill="auto"/>
            <w:noWrap/>
            <w:vAlign w:val="bottom"/>
            <w:hideMark/>
          </w:tcPr>
          <w:p w14:paraId="48F76481"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127</w:t>
            </w:r>
          </w:p>
        </w:tc>
        <w:tc>
          <w:tcPr>
            <w:tcW w:w="1276" w:type="dxa"/>
            <w:tcBorders>
              <w:top w:val="single" w:sz="8" w:space="0" w:color="auto"/>
              <w:left w:val="single" w:sz="8" w:space="0" w:color="auto"/>
              <w:bottom w:val="single" w:sz="4" w:space="0" w:color="auto"/>
              <w:right w:val="nil"/>
            </w:tcBorders>
            <w:shd w:val="clear" w:color="auto" w:fill="auto"/>
            <w:noWrap/>
            <w:vAlign w:val="bottom"/>
            <w:hideMark/>
          </w:tcPr>
          <w:p w14:paraId="55D78D91"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12%</w:t>
            </w:r>
          </w:p>
        </w:tc>
        <w:tc>
          <w:tcPr>
            <w:tcW w:w="1277"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95ED24F"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88%</w:t>
            </w:r>
          </w:p>
        </w:tc>
      </w:tr>
      <w:tr w:rsidR="0035279F" w:rsidRPr="0035279F" w14:paraId="17D46406" w14:textId="77777777" w:rsidTr="0035279F">
        <w:trPr>
          <w:trHeight w:val="194"/>
        </w:trPr>
        <w:tc>
          <w:tcPr>
            <w:tcW w:w="3969" w:type="dxa"/>
            <w:tcBorders>
              <w:top w:val="nil"/>
              <w:left w:val="single" w:sz="8" w:space="0" w:color="auto"/>
              <w:bottom w:val="single" w:sz="4" w:space="0" w:color="auto"/>
              <w:right w:val="single" w:sz="4" w:space="0" w:color="auto"/>
            </w:tcBorders>
            <w:shd w:val="clear" w:color="auto" w:fill="auto"/>
            <w:noWrap/>
            <w:vAlign w:val="bottom"/>
            <w:hideMark/>
          </w:tcPr>
          <w:p w14:paraId="6A14D684"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Med S (5-7)</w:t>
            </w:r>
          </w:p>
        </w:tc>
        <w:tc>
          <w:tcPr>
            <w:tcW w:w="1701" w:type="dxa"/>
            <w:tcBorders>
              <w:top w:val="nil"/>
              <w:left w:val="nil"/>
              <w:bottom w:val="single" w:sz="4" w:space="0" w:color="auto"/>
              <w:right w:val="nil"/>
            </w:tcBorders>
            <w:shd w:val="clear" w:color="auto" w:fill="auto"/>
            <w:noWrap/>
            <w:vAlign w:val="bottom"/>
            <w:hideMark/>
          </w:tcPr>
          <w:p w14:paraId="3C766C28"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46</w:t>
            </w:r>
          </w:p>
        </w:tc>
        <w:tc>
          <w:tcPr>
            <w:tcW w:w="1276" w:type="dxa"/>
            <w:tcBorders>
              <w:top w:val="nil"/>
              <w:left w:val="single" w:sz="8" w:space="0" w:color="auto"/>
              <w:bottom w:val="single" w:sz="4" w:space="0" w:color="auto"/>
              <w:right w:val="nil"/>
            </w:tcBorders>
            <w:shd w:val="clear" w:color="auto" w:fill="auto"/>
            <w:noWrap/>
            <w:vAlign w:val="bottom"/>
            <w:hideMark/>
          </w:tcPr>
          <w:p w14:paraId="26200B15"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46%</w:t>
            </w:r>
          </w:p>
        </w:tc>
        <w:tc>
          <w:tcPr>
            <w:tcW w:w="1277" w:type="dxa"/>
            <w:tcBorders>
              <w:top w:val="nil"/>
              <w:left w:val="single" w:sz="4" w:space="0" w:color="auto"/>
              <w:bottom w:val="single" w:sz="4" w:space="0" w:color="auto"/>
              <w:right w:val="single" w:sz="8" w:space="0" w:color="auto"/>
            </w:tcBorders>
            <w:shd w:val="clear" w:color="auto" w:fill="auto"/>
            <w:noWrap/>
            <w:vAlign w:val="bottom"/>
            <w:hideMark/>
          </w:tcPr>
          <w:p w14:paraId="3655E239"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54%</w:t>
            </w:r>
          </w:p>
        </w:tc>
      </w:tr>
      <w:tr w:rsidR="0035279F" w:rsidRPr="0035279F" w14:paraId="6BC367BB" w14:textId="77777777" w:rsidTr="0035279F">
        <w:trPr>
          <w:trHeight w:val="194"/>
        </w:trPr>
        <w:tc>
          <w:tcPr>
            <w:tcW w:w="3969" w:type="dxa"/>
            <w:tcBorders>
              <w:top w:val="nil"/>
              <w:left w:val="single" w:sz="8" w:space="0" w:color="auto"/>
              <w:bottom w:val="single" w:sz="8" w:space="0" w:color="auto"/>
              <w:right w:val="single" w:sz="4" w:space="0" w:color="auto"/>
            </w:tcBorders>
            <w:shd w:val="clear" w:color="auto" w:fill="auto"/>
            <w:noWrap/>
            <w:vAlign w:val="bottom"/>
            <w:hideMark/>
          </w:tcPr>
          <w:p w14:paraId="4A0E0050"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Low S (0-4)</w:t>
            </w:r>
          </w:p>
        </w:tc>
        <w:tc>
          <w:tcPr>
            <w:tcW w:w="1701" w:type="dxa"/>
            <w:tcBorders>
              <w:top w:val="nil"/>
              <w:left w:val="nil"/>
              <w:bottom w:val="single" w:sz="8" w:space="0" w:color="auto"/>
              <w:right w:val="nil"/>
            </w:tcBorders>
            <w:shd w:val="clear" w:color="auto" w:fill="auto"/>
            <w:noWrap/>
            <w:vAlign w:val="bottom"/>
            <w:hideMark/>
          </w:tcPr>
          <w:p w14:paraId="162ED781"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18</w:t>
            </w:r>
          </w:p>
        </w:tc>
        <w:tc>
          <w:tcPr>
            <w:tcW w:w="1276" w:type="dxa"/>
            <w:tcBorders>
              <w:top w:val="nil"/>
              <w:left w:val="single" w:sz="8" w:space="0" w:color="auto"/>
              <w:bottom w:val="single" w:sz="8" w:space="0" w:color="auto"/>
              <w:right w:val="nil"/>
            </w:tcBorders>
            <w:shd w:val="clear" w:color="auto" w:fill="auto"/>
            <w:noWrap/>
            <w:vAlign w:val="bottom"/>
            <w:hideMark/>
          </w:tcPr>
          <w:p w14:paraId="1E0E2C8F"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13%</w:t>
            </w:r>
          </w:p>
        </w:tc>
        <w:tc>
          <w:tcPr>
            <w:tcW w:w="1277" w:type="dxa"/>
            <w:tcBorders>
              <w:top w:val="nil"/>
              <w:left w:val="single" w:sz="4" w:space="0" w:color="auto"/>
              <w:bottom w:val="single" w:sz="8" w:space="0" w:color="auto"/>
              <w:right w:val="single" w:sz="8" w:space="0" w:color="auto"/>
            </w:tcBorders>
            <w:shd w:val="clear" w:color="auto" w:fill="auto"/>
            <w:noWrap/>
            <w:vAlign w:val="bottom"/>
            <w:hideMark/>
          </w:tcPr>
          <w:p w14:paraId="20D0225F"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2%</w:t>
            </w:r>
          </w:p>
        </w:tc>
      </w:tr>
    </w:tbl>
    <w:p w14:paraId="293DC8FE" w14:textId="42C13463" w:rsidR="006C5031" w:rsidRPr="0035279F" w:rsidRDefault="006C5031" w:rsidP="007D35EA">
      <w:pPr>
        <w:ind w:left="-142"/>
        <w:rPr>
          <w:rFonts w:ascii="Calibri" w:hAnsi="Calibri" w:cs="Calibri"/>
        </w:rPr>
      </w:pPr>
    </w:p>
    <w:p w14:paraId="09039408" w14:textId="6DFA4550" w:rsidR="00C06F61" w:rsidRPr="0035279F" w:rsidRDefault="00C06F61" w:rsidP="007D35EA">
      <w:pPr>
        <w:ind w:left="-142"/>
        <w:rPr>
          <w:rFonts w:ascii="Calibri" w:hAnsi="Calibri" w:cs="Calibri"/>
        </w:rPr>
      </w:pPr>
      <w:r w:rsidRPr="0035279F">
        <w:rPr>
          <w:rFonts w:ascii="Calibri" w:hAnsi="Calibri" w:cs="Calibri"/>
          <w:b/>
          <w:color w:val="auto"/>
        </w:rPr>
        <w:t>Graph 5:</w:t>
      </w:r>
      <w:r w:rsidRPr="0035279F">
        <w:rPr>
          <w:rFonts w:ascii="Calibri" w:hAnsi="Calibri" w:cs="Calibri"/>
          <w:color w:val="auto"/>
        </w:rPr>
        <w:t xml:space="preserve"> </w:t>
      </w:r>
      <w:r w:rsidRPr="0035279F">
        <w:rPr>
          <w:rFonts w:ascii="Calibri" w:hAnsi="Calibri" w:cs="Calibri"/>
          <w:noProof/>
          <w:lang w:eastAsia="en-AU"/>
        </w:rPr>
        <w:drawing>
          <wp:inline distT="0" distB="0" distL="0" distR="0" wp14:anchorId="7BE71AB7" wp14:editId="3ABB898B">
            <wp:extent cx="5486400" cy="2110740"/>
            <wp:effectExtent l="0" t="0" r="0" b="38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420F64" w14:textId="4ABBE97D" w:rsidR="00C06F61" w:rsidRPr="0035279F" w:rsidRDefault="0035279F" w:rsidP="007D35EA">
      <w:pPr>
        <w:ind w:left="-142"/>
        <w:rPr>
          <w:rFonts w:ascii="Calibri" w:hAnsi="Calibri" w:cs="Calibri"/>
          <w:b/>
          <w:color w:val="auto"/>
        </w:rPr>
      </w:pPr>
      <w:r w:rsidRPr="0035279F">
        <w:rPr>
          <w:rFonts w:ascii="Calibri" w:hAnsi="Calibri" w:cs="Calibri"/>
          <w:b/>
          <w:color w:val="auto"/>
        </w:rPr>
        <w:lastRenderedPageBreak/>
        <w:t>Table 6:</w:t>
      </w:r>
    </w:p>
    <w:tbl>
      <w:tblPr>
        <w:tblW w:w="7660" w:type="dxa"/>
        <w:tblInd w:w="-10" w:type="dxa"/>
        <w:tblLook w:val="04A0" w:firstRow="1" w:lastRow="0" w:firstColumn="1" w:lastColumn="0" w:noHBand="0" w:noVBand="1"/>
      </w:tblPr>
      <w:tblGrid>
        <w:gridCol w:w="2977"/>
        <w:gridCol w:w="1134"/>
        <w:gridCol w:w="1843"/>
        <w:gridCol w:w="1706"/>
      </w:tblGrid>
      <w:tr w:rsidR="0035279F" w:rsidRPr="0035279F" w14:paraId="3C33A254" w14:textId="77777777" w:rsidTr="0035279F">
        <w:trPr>
          <w:trHeight w:val="200"/>
        </w:trPr>
        <w:tc>
          <w:tcPr>
            <w:tcW w:w="7660" w:type="dxa"/>
            <w:gridSpan w:val="4"/>
            <w:tcBorders>
              <w:top w:val="single" w:sz="8" w:space="0" w:color="auto"/>
              <w:left w:val="single" w:sz="8" w:space="0" w:color="auto"/>
              <w:bottom w:val="single" w:sz="8" w:space="0" w:color="auto"/>
              <w:right w:val="single" w:sz="8" w:space="0" w:color="000000"/>
            </w:tcBorders>
            <w:shd w:val="clear" w:color="auto" w:fill="C7D0E9" w:themeFill="accent5" w:themeFillTint="66"/>
            <w:noWrap/>
            <w:vAlign w:val="bottom"/>
            <w:hideMark/>
          </w:tcPr>
          <w:p w14:paraId="02DEE63F" w14:textId="77777777" w:rsidR="0035279F" w:rsidRPr="0035279F" w:rsidRDefault="0035279F" w:rsidP="0035279F">
            <w:pPr>
              <w:spacing w:before="0" w:after="0" w:line="240" w:lineRule="auto"/>
              <w:jc w:val="center"/>
              <w:rPr>
                <w:rFonts w:ascii="Calibri" w:eastAsia="Times New Roman" w:hAnsi="Calibri" w:cs="Calibri"/>
                <w:b/>
                <w:bCs/>
                <w:color w:val="000000"/>
                <w:lang w:eastAsia="en-AU"/>
              </w:rPr>
            </w:pPr>
            <w:r w:rsidRPr="0035279F">
              <w:rPr>
                <w:rFonts w:ascii="Calibri" w:eastAsia="Times New Roman" w:hAnsi="Calibri" w:cs="Calibri"/>
                <w:b/>
                <w:bCs/>
                <w:color w:val="000000"/>
                <w:lang w:eastAsia="en-AU"/>
              </w:rPr>
              <w:t>NPS by Bank Change Responses</w:t>
            </w:r>
          </w:p>
        </w:tc>
      </w:tr>
      <w:tr w:rsidR="0035279F" w:rsidRPr="0035279F" w14:paraId="79694B2A" w14:textId="77777777" w:rsidTr="0035279F">
        <w:trPr>
          <w:trHeight w:val="200"/>
        </w:trPr>
        <w:tc>
          <w:tcPr>
            <w:tcW w:w="4111" w:type="dxa"/>
            <w:gridSpan w:val="2"/>
            <w:tcBorders>
              <w:top w:val="single" w:sz="8" w:space="0" w:color="auto"/>
              <w:left w:val="single" w:sz="8" w:space="0" w:color="auto"/>
              <w:bottom w:val="nil"/>
              <w:right w:val="single" w:sz="8" w:space="0" w:color="000000"/>
            </w:tcBorders>
            <w:shd w:val="clear" w:color="auto" w:fill="E3E7F4" w:themeFill="accent5" w:themeFillTint="33"/>
            <w:noWrap/>
            <w:vAlign w:val="bottom"/>
            <w:hideMark/>
          </w:tcPr>
          <w:p w14:paraId="23E74723" w14:textId="77777777" w:rsidR="0035279F" w:rsidRPr="0035279F" w:rsidRDefault="0035279F" w:rsidP="0035279F">
            <w:pPr>
              <w:spacing w:before="0" w:after="0" w:line="240" w:lineRule="auto"/>
              <w:jc w:val="center"/>
              <w:rPr>
                <w:rFonts w:ascii="Calibri" w:eastAsia="Times New Roman" w:hAnsi="Calibri" w:cs="Calibri"/>
                <w:b/>
                <w:bCs/>
                <w:color w:val="000000"/>
                <w:u w:val="single"/>
                <w:lang w:eastAsia="en-AU"/>
              </w:rPr>
            </w:pPr>
            <w:r w:rsidRPr="0035279F">
              <w:rPr>
                <w:rFonts w:ascii="Calibri" w:eastAsia="Times New Roman" w:hAnsi="Calibri" w:cs="Calibri"/>
                <w:b/>
                <w:bCs/>
                <w:color w:val="000000"/>
                <w:u w:val="single"/>
                <w:lang w:eastAsia="en-AU"/>
              </w:rPr>
              <w:t>NPS Breakdown</w:t>
            </w:r>
          </w:p>
        </w:tc>
        <w:tc>
          <w:tcPr>
            <w:tcW w:w="1843" w:type="dxa"/>
            <w:tcBorders>
              <w:top w:val="nil"/>
              <w:left w:val="nil"/>
              <w:bottom w:val="single" w:sz="4" w:space="0" w:color="auto"/>
              <w:right w:val="single" w:sz="4" w:space="0" w:color="auto"/>
            </w:tcBorders>
            <w:shd w:val="clear" w:color="auto" w:fill="E3E7F4" w:themeFill="accent5" w:themeFillTint="33"/>
            <w:noWrap/>
            <w:vAlign w:val="bottom"/>
            <w:hideMark/>
          </w:tcPr>
          <w:p w14:paraId="7AA0D34B" w14:textId="77777777" w:rsidR="0035279F" w:rsidRPr="0035279F" w:rsidRDefault="0035279F" w:rsidP="0035279F">
            <w:pPr>
              <w:spacing w:before="0" w:after="0" w:line="240" w:lineRule="auto"/>
              <w:jc w:val="center"/>
              <w:rPr>
                <w:rFonts w:ascii="Calibri" w:eastAsia="Times New Roman" w:hAnsi="Calibri" w:cs="Calibri"/>
                <w:b/>
                <w:bCs/>
                <w:color w:val="000000"/>
                <w:u w:val="single"/>
                <w:lang w:eastAsia="en-AU"/>
              </w:rPr>
            </w:pPr>
            <w:r w:rsidRPr="0035279F">
              <w:rPr>
                <w:rFonts w:ascii="Calibri" w:eastAsia="Times New Roman" w:hAnsi="Calibri" w:cs="Calibri"/>
                <w:b/>
                <w:bCs/>
                <w:color w:val="000000"/>
                <w:u w:val="single"/>
                <w:lang w:eastAsia="en-AU"/>
              </w:rPr>
              <w:t>Change Bank</w:t>
            </w:r>
          </w:p>
        </w:tc>
        <w:tc>
          <w:tcPr>
            <w:tcW w:w="1706" w:type="dxa"/>
            <w:tcBorders>
              <w:top w:val="nil"/>
              <w:left w:val="nil"/>
              <w:bottom w:val="single" w:sz="4" w:space="0" w:color="auto"/>
              <w:right w:val="single" w:sz="8" w:space="0" w:color="auto"/>
            </w:tcBorders>
            <w:shd w:val="clear" w:color="auto" w:fill="E3E7F4" w:themeFill="accent5" w:themeFillTint="33"/>
            <w:noWrap/>
            <w:vAlign w:val="bottom"/>
            <w:hideMark/>
          </w:tcPr>
          <w:p w14:paraId="06D6CC53" w14:textId="77777777" w:rsidR="0035279F" w:rsidRPr="0035279F" w:rsidRDefault="0035279F" w:rsidP="0035279F">
            <w:pPr>
              <w:spacing w:before="0" w:after="0" w:line="240" w:lineRule="auto"/>
              <w:jc w:val="center"/>
              <w:rPr>
                <w:rFonts w:ascii="Calibri" w:eastAsia="Times New Roman" w:hAnsi="Calibri" w:cs="Calibri"/>
                <w:b/>
                <w:bCs/>
                <w:color w:val="000000"/>
                <w:u w:val="single"/>
                <w:lang w:eastAsia="en-AU"/>
              </w:rPr>
            </w:pPr>
            <w:r w:rsidRPr="0035279F">
              <w:rPr>
                <w:rFonts w:ascii="Calibri" w:eastAsia="Times New Roman" w:hAnsi="Calibri" w:cs="Calibri"/>
                <w:b/>
                <w:bCs/>
                <w:color w:val="000000"/>
                <w:u w:val="single"/>
                <w:lang w:eastAsia="en-AU"/>
              </w:rPr>
              <w:t>Stay With Bank</w:t>
            </w:r>
          </w:p>
        </w:tc>
      </w:tr>
      <w:tr w:rsidR="0035279F" w:rsidRPr="0035279F" w14:paraId="3C7858A6" w14:textId="77777777" w:rsidTr="0035279F">
        <w:trPr>
          <w:trHeight w:val="200"/>
        </w:trPr>
        <w:tc>
          <w:tcPr>
            <w:tcW w:w="297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775813E"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Promoters</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14:paraId="51EC1272"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60</w:t>
            </w:r>
          </w:p>
        </w:tc>
        <w:tc>
          <w:tcPr>
            <w:tcW w:w="1843"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88C80F8"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8%</w:t>
            </w:r>
          </w:p>
        </w:tc>
        <w:tc>
          <w:tcPr>
            <w:tcW w:w="170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713C96F6"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92%</w:t>
            </w:r>
          </w:p>
        </w:tc>
      </w:tr>
      <w:tr w:rsidR="0035279F" w:rsidRPr="0035279F" w14:paraId="603C9599" w14:textId="77777777" w:rsidTr="0035279F">
        <w:trPr>
          <w:trHeight w:val="200"/>
        </w:trPr>
        <w:tc>
          <w:tcPr>
            <w:tcW w:w="2977" w:type="dxa"/>
            <w:tcBorders>
              <w:top w:val="nil"/>
              <w:left w:val="single" w:sz="8" w:space="0" w:color="auto"/>
              <w:bottom w:val="single" w:sz="4" w:space="0" w:color="auto"/>
              <w:right w:val="single" w:sz="4" w:space="0" w:color="auto"/>
            </w:tcBorders>
            <w:shd w:val="clear" w:color="auto" w:fill="auto"/>
            <w:noWrap/>
            <w:vAlign w:val="bottom"/>
            <w:hideMark/>
          </w:tcPr>
          <w:p w14:paraId="6FEDA6C1"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Passives</w:t>
            </w:r>
          </w:p>
        </w:tc>
        <w:tc>
          <w:tcPr>
            <w:tcW w:w="1134" w:type="dxa"/>
            <w:tcBorders>
              <w:top w:val="nil"/>
              <w:left w:val="nil"/>
              <w:bottom w:val="single" w:sz="4" w:space="0" w:color="auto"/>
              <w:right w:val="single" w:sz="8" w:space="0" w:color="auto"/>
            </w:tcBorders>
            <w:shd w:val="clear" w:color="auto" w:fill="auto"/>
            <w:noWrap/>
            <w:vAlign w:val="bottom"/>
            <w:hideMark/>
          </w:tcPr>
          <w:p w14:paraId="0B231AC6"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76</w:t>
            </w:r>
          </w:p>
        </w:tc>
        <w:tc>
          <w:tcPr>
            <w:tcW w:w="1843" w:type="dxa"/>
            <w:tcBorders>
              <w:top w:val="nil"/>
              <w:left w:val="single" w:sz="4" w:space="0" w:color="auto"/>
              <w:bottom w:val="single" w:sz="4" w:space="0" w:color="auto"/>
              <w:right w:val="single" w:sz="8" w:space="0" w:color="auto"/>
            </w:tcBorders>
            <w:shd w:val="clear" w:color="auto" w:fill="auto"/>
            <w:noWrap/>
            <w:vAlign w:val="bottom"/>
            <w:hideMark/>
          </w:tcPr>
          <w:p w14:paraId="5CC6DDB1"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21%</w:t>
            </w:r>
          </w:p>
        </w:tc>
        <w:tc>
          <w:tcPr>
            <w:tcW w:w="1706" w:type="dxa"/>
            <w:tcBorders>
              <w:top w:val="nil"/>
              <w:left w:val="single" w:sz="4" w:space="0" w:color="auto"/>
              <w:bottom w:val="single" w:sz="4" w:space="0" w:color="auto"/>
              <w:right w:val="single" w:sz="8" w:space="0" w:color="auto"/>
            </w:tcBorders>
            <w:shd w:val="clear" w:color="auto" w:fill="auto"/>
            <w:noWrap/>
            <w:vAlign w:val="bottom"/>
            <w:hideMark/>
          </w:tcPr>
          <w:p w14:paraId="5433BF3E"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79%</w:t>
            </w:r>
          </w:p>
        </w:tc>
      </w:tr>
      <w:tr w:rsidR="0035279F" w:rsidRPr="0035279F" w14:paraId="42E93A54" w14:textId="77777777" w:rsidTr="0035279F">
        <w:trPr>
          <w:trHeight w:val="200"/>
        </w:trPr>
        <w:tc>
          <w:tcPr>
            <w:tcW w:w="2977" w:type="dxa"/>
            <w:tcBorders>
              <w:top w:val="nil"/>
              <w:left w:val="single" w:sz="8" w:space="0" w:color="auto"/>
              <w:bottom w:val="single" w:sz="8" w:space="0" w:color="auto"/>
              <w:right w:val="single" w:sz="4" w:space="0" w:color="auto"/>
            </w:tcBorders>
            <w:shd w:val="clear" w:color="auto" w:fill="auto"/>
            <w:noWrap/>
            <w:vAlign w:val="bottom"/>
            <w:hideMark/>
          </w:tcPr>
          <w:p w14:paraId="0F43F3E3"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Detractors</w:t>
            </w:r>
          </w:p>
        </w:tc>
        <w:tc>
          <w:tcPr>
            <w:tcW w:w="1134" w:type="dxa"/>
            <w:tcBorders>
              <w:top w:val="nil"/>
              <w:left w:val="nil"/>
              <w:bottom w:val="single" w:sz="8" w:space="0" w:color="auto"/>
              <w:right w:val="single" w:sz="8" w:space="0" w:color="auto"/>
            </w:tcBorders>
            <w:shd w:val="clear" w:color="auto" w:fill="auto"/>
            <w:noWrap/>
            <w:vAlign w:val="bottom"/>
            <w:hideMark/>
          </w:tcPr>
          <w:p w14:paraId="3CF0151F"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55</w:t>
            </w:r>
          </w:p>
        </w:tc>
        <w:tc>
          <w:tcPr>
            <w:tcW w:w="1843" w:type="dxa"/>
            <w:tcBorders>
              <w:top w:val="nil"/>
              <w:left w:val="single" w:sz="4" w:space="0" w:color="auto"/>
              <w:bottom w:val="single" w:sz="8" w:space="0" w:color="auto"/>
              <w:right w:val="single" w:sz="8" w:space="0" w:color="auto"/>
            </w:tcBorders>
            <w:shd w:val="clear" w:color="auto" w:fill="auto"/>
            <w:noWrap/>
            <w:vAlign w:val="bottom"/>
            <w:hideMark/>
          </w:tcPr>
          <w:p w14:paraId="61670EF1"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56%</w:t>
            </w:r>
          </w:p>
        </w:tc>
        <w:tc>
          <w:tcPr>
            <w:tcW w:w="1706" w:type="dxa"/>
            <w:tcBorders>
              <w:top w:val="nil"/>
              <w:left w:val="single" w:sz="4" w:space="0" w:color="auto"/>
              <w:bottom w:val="single" w:sz="8" w:space="0" w:color="auto"/>
              <w:right w:val="single" w:sz="8" w:space="0" w:color="auto"/>
            </w:tcBorders>
            <w:shd w:val="clear" w:color="auto" w:fill="auto"/>
            <w:noWrap/>
            <w:vAlign w:val="bottom"/>
            <w:hideMark/>
          </w:tcPr>
          <w:p w14:paraId="49B514BC" w14:textId="77777777" w:rsidR="0035279F" w:rsidRPr="0035279F" w:rsidRDefault="0035279F" w:rsidP="0035279F">
            <w:pPr>
              <w:spacing w:before="0" w:after="0" w:line="240" w:lineRule="auto"/>
              <w:jc w:val="center"/>
              <w:rPr>
                <w:rFonts w:ascii="Calibri" w:eastAsia="Times New Roman" w:hAnsi="Calibri" w:cs="Calibri"/>
                <w:color w:val="000000"/>
                <w:lang w:eastAsia="en-AU"/>
              </w:rPr>
            </w:pPr>
            <w:r w:rsidRPr="0035279F">
              <w:rPr>
                <w:rFonts w:ascii="Calibri" w:eastAsia="Times New Roman" w:hAnsi="Calibri" w:cs="Calibri"/>
                <w:color w:val="000000"/>
                <w:lang w:eastAsia="en-AU"/>
              </w:rPr>
              <w:t>44%</w:t>
            </w:r>
          </w:p>
        </w:tc>
      </w:tr>
    </w:tbl>
    <w:p w14:paraId="25F93F32" w14:textId="2734501C" w:rsidR="0035279F" w:rsidRPr="0035279F" w:rsidRDefault="0035279F" w:rsidP="007D35EA">
      <w:pPr>
        <w:ind w:left="-142"/>
        <w:rPr>
          <w:rFonts w:ascii="Calibri" w:hAnsi="Calibri" w:cs="Calibri"/>
        </w:rPr>
      </w:pPr>
    </w:p>
    <w:p w14:paraId="1CF2180B" w14:textId="4CC2F6AB" w:rsidR="0035279F" w:rsidRPr="0035279F" w:rsidRDefault="0035279F" w:rsidP="007D35EA">
      <w:pPr>
        <w:ind w:left="-142"/>
        <w:rPr>
          <w:rFonts w:ascii="Calibri" w:hAnsi="Calibri" w:cs="Calibri"/>
          <w:b/>
          <w:color w:val="auto"/>
        </w:rPr>
      </w:pPr>
      <w:r w:rsidRPr="0035279F">
        <w:rPr>
          <w:rFonts w:ascii="Calibri" w:hAnsi="Calibri" w:cs="Calibri"/>
          <w:b/>
          <w:color w:val="auto"/>
        </w:rPr>
        <w:t>Graph 6:</w:t>
      </w:r>
    </w:p>
    <w:p w14:paraId="6E7DCDB1" w14:textId="1D8471E5" w:rsidR="0035279F" w:rsidRDefault="0035279F" w:rsidP="007D35EA">
      <w:pPr>
        <w:ind w:left="-142"/>
        <w:rPr>
          <w:rFonts w:ascii="Calibri" w:hAnsi="Calibri" w:cs="Calibri"/>
        </w:rPr>
      </w:pPr>
      <w:r>
        <w:rPr>
          <w:noProof/>
          <w:lang w:eastAsia="en-AU"/>
        </w:rPr>
        <w:drawing>
          <wp:inline distT="0" distB="0" distL="0" distR="0" wp14:anchorId="36CAF550" wp14:editId="0C6D4010">
            <wp:extent cx="5486400" cy="24003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1218DB" w14:textId="5C9F8FC2" w:rsidR="000800CA" w:rsidRDefault="000800CA" w:rsidP="007D35EA">
      <w:pPr>
        <w:ind w:left="-142"/>
        <w:rPr>
          <w:rFonts w:ascii="Calibri" w:hAnsi="Calibri" w:cs="Calibri"/>
        </w:rPr>
      </w:pPr>
    </w:p>
    <w:p w14:paraId="705AFE1C" w14:textId="254A53A3" w:rsidR="000800CA" w:rsidRDefault="000800CA" w:rsidP="007D35EA">
      <w:pPr>
        <w:ind w:left="-142"/>
        <w:rPr>
          <w:rFonts w:ascii="Calibri" w:hAnsi="Calibri" w:cs="Calibri"/>
        </w:rPr>
      </w:pPr>
    </w:p>
    <w:p w14:paraId="2F774E36" w14:textId="2D7E0CE1" w:rsidR="000800CA" w:rsidRDefault="000800CA" w:rsidP="007D35EA">
      <w:pPr>
        <w:ind w:left="-142"/>
        <w:rPr>
          <w:rFonts w:ascii="Calibri" w:hAnsi="Calibri" w:cs="Calibri"/>
        </w:rPr>
      </w:pPr>
    </w:p>
    <w:p w14:paraId="57C0E5B5" w14:textId="261725D9" w:rsidR="000800CA" w:rsidRDefault="000800CA" w:rsidP="007D35EA">
      <w:pPr>
        <w:ind w:left="-142"/>
        <w:rPr>
          <w:rFonts w:ascii="Calibri" w:hAnsi="Calibri" w:cs="Calibri"/>
        </w:rPr>
      </w:pPr>
    </w:p>
    <w:p w14:paraId="6113AB7B" w14:textId="03302B4E" w:rsidR="000800CA" w:rsidRDefault="000800CA" w:rsidP="007D35EA">
      <w:pPr>
        <w:ind w:left="-142"/>
        <w:rPr>
          <w:rFonts w:ascii="Calibri" w:hAnsi="Calibri" w:cs="Calibri"/>
        </w:rPr>
      </w:pPr>
    </w:p>
    <w:p w14:paraId="69F9EF54" w14:textId="39E98A4B" w:rsidR="000800CA" w:rsidRDefault="000800CA" w:rsidP="007D35EA">
      <w:pPr>
        <w:ind w:left="-142"/>
        <w:rPr>
          <w:rFonts w:ascii="Calibri" w:hAnsi="Calibri" w:cs="Calibri"/>
        </w:rPr>
      </w:pPr>
    </w:p>
    <w:p w14:paraId="4F6B2C6C" w14:textId="2F1E82B7" w:rsidR="000800CA" w:rsidRDefault="000800CA" w:rsidP="007D35EA">
      <w:pPr>
        <w:ind w:left="-142"/>
        <w:rPr>
          <w:rFonts w:ascii="Calibri" w:hAnsi="Calibri" w:cs="Calibri"/>
        </w:rPr>
      </w:pPr>
    </w:p>
    <w:p w14:paraId="40897DEC" w14:textId="021E05CF" w:rsidR="000800CA" w:rsidRDefault="000800CA" w:rsidP="007D35EA">
      <w:pPr>
        <w:ind w:left="-142"/>
        <w:rPr>
          <w:rFonts w:ascii="Calibri" w:hAnsi="Calibri" w:cs="Calibri"/>
        </w:rPr>
      </w:pPr>
    </w:p>
    <w:p w14:paraId="54D17B83" w14:textId="460E3F19" w:rsidR="000800CA" w:rsidRDefault="000800CA" w:rsidP="007D35EA">
      <w:pPr>
        <w:ind w:left="-142"/>
        <w:rPr>
          <w:rFonts w:ascii="Calibri" w:hAnsi="Calibri" w:cs="Calibri"/>
        </w:rPr>
      </w:pPr>
    </w:p>
    <w:p w14:paraId="2B97733B" w14:textId="3DF5F71B" w:rsidR="000800CA" w:rsidRDefault="000800CA" w:rsidP="007D35EA">
      <w:pPr>
        <w:ind w:left="-142"/>
        <w:rPr>
          <w:rFonts w:ascii="Calibri" w:hAnsi="Calibri" w:cs="Calibri"/>
        </w:rPr>
      </w:pPr>
    </w:p>
    <w:p w14:paraId="20158A79" w14:textId="5B3082E2" w:rsidR="000800CA" w:rsidRDefault="000800CA" w:rsidP="007D35EA">
      <w:pPr>
        <w:ind w:left="-142"/>
        <w:rPr>
          <w:rFonts w:ascii="Calibri" w:hAnsi="Calibri" w:cs="Calibri"/>
        </w:rPr>
      </w:pPr>
    </w:p>
    <w:p w14:paraId="4D08C906" w14:textId="1AFD8DF7" w:rsidR="000800CA" w:rsidRPr="00ED4963" w:rsidRDefault="000800CA" w:rsidP="00ED4963">
      <w:pPr>
        <w:pStyle w:val="Heading1"/>
        <w:ind w:firstLine="360"/>
        <w:rPr>
          <w:rFonts w:ascii="Calibri" w:hAnsi="Calibri" w:cs="Calibri"/>
          <w:sz w:val="40"/>
          <w:szCs w:val="40"/>
          <w:u w:val="single"/>
        </w:rPr>
      </w:pPr>
      <w:r w:rsidRPr="00ED4963">
        <w:rPr>
          <w:rFonts w:ascii="Calibri" w:hAnsi="Calibri" w:cs="Calibri"/>
          <w:sz w:val="40"/>
          <w:szCs w:val="40"/>
          <w:u w:val="single"/>
        </w:rPr>
        <w:lastRenderedPageBreak/>
        <w:t>References</w:t>
      </w:r>
    </w:p>
    <w:p w14:paraId="6F1A0340" w14:textId="48C2E6AA" w:rsidR="000800CA" w:rsidRDefault="000800CA" w:rsidP="007D35EA">
      <w:pPr>
        <w:ind w:left="-142"/>
        <w:rPr>
          <w:rFonts w:ascii="Calibri" w:hAnsi="Calibri" w:cs="Calibri"/>
        </w:rPr>
      </w:pPr>
    </w:p>
    <w:p w14:paraId="43E1F41A" w14:textId="340DD029" w:rsidR="00ED4963" w:rsidRPr="00ED4963" w:rsidRDefault="00ED4963" w:rsidP="00ED4963">
      <w:pPr>
        <w:pStyle w:val="ListParagraph"/>
        <w:numPr>
          <w:ilvl w:val="0"/>
          <w:numId w:val="20"/>
        </w:numPr>
        <w:spacing w:line="276" w:lineRule="auto"/>
        <w:rPr>
          <w:rFonts w:ascii="Calibri" w:hAnsi="Calibri" w:cs="Calibri"/>
          <w:color w:val="auto"/>
          <w:sz w:val="24"/>
          <w:szCs w:val="24"/>
        </w:rPr>
      </w:pPr>
      <w:r>
        <w:rPr>
          <w:rFonts w:ascii="Calibri" w:hAnsi="Calibri" w:cs="Calibri"/>
          <w:color w:val="auto"/>
          <w:sz w:val="24"/>
          <w:szCs w:val="24"/>
        </w:rPr>
        <w:t>Dix</w:t>
      </w:r>
      <w:r w:rsidRPr="00ED4963">
        <w:rPr>
          <w:rFonts w:ascii="Calibri" w:hAnsi="Calibri" w:cs="Calibri"/>
          <w:color w:val="auto"/>
          <w:sz w:val="24"/>
          <w:szCs w:val="24"/>
        </w:rPr>
        <w:t xml:space="preserve">on, M, Freeman, K, Toman, N 2010, ‘Stop Trying to Delight your Customers’, </w:t>
      </w:r>
      <w:r w:rsidRPr="00ED4963">
        <w:rPr>
          <w:rFonts w:ascii="Calibri" w:hAnsi="Calibri" w:cs="Calibri"/>
          <w:i/>
          <w:color w:val="auto"/>
          <w:sz w:val="24"/>
          <w:szCs w:val="24"/>
        </w:rPr>
        <w:t>Harvard Business Review</w:t>
      </w:r>
      <w:r w:rsidRPr="00ED4963">
        <w:rPr>
          <w:rFonts w:ascii="Calibri" w:hAnsi="Calibri" w:cs="Calibri"/>
          <w:color w:val="auto"/>
          <w:sz w:val="24"/>
          <w:szCs w:val="24"/>
        </w:rPr>
        <w:t>, 88 (Jul/Aug), pp. 116-122.</w:t>
      </w:r>
    </w:p>
    <w:p w14:paraId="4A624409" w14:textId="77777777" w:rsidR="00ED4963" w:rsidRPr="0035279F" w:rsidRDefault="00ED4963" w:rsidP="00ED4963">
      <w:pPr>
        <w:pStyle w:val="ListParagraph"/>
        <w:rPr>
          <w:rFonts w:ascii="Calibri" w:hAnsi="Calibri" w:cs="Calibri"/>
          <w:color w:val="auto"/>
          <w:sz w:val="28"/>
          <w:szCs w:val="28"/>
        </w:rPr>
      </w:pPr>
    </w:p>
    <w:p w14:paraId="179817D6" w14:textId="7E3F8FCE" w:rsidR="00ED4963" w:rsidRPr="00ED4963" w:rsidRDefault="00ED4963" w:rsidP="00ED4963">
      <w:pPr>
        <w:pStyle w:val="ListParagraph"/>
        <w:numPr>
          <w:ilvl w:val="0"/>
          <w:numId w:val="20"/>
        </w:numPr>
        <w:spacing w:line="276" w:lineRule="auto"/>
        <w:rPr>
          <w:rFonts w:ascii="Calibri" w:hAnsi="Calibri" w:cs="Calibri"/>
          <w:color w:val="auto"/>
          <w:sz w:val="24"/>
          <w:szCs w:val="24"/>
        </w:rPr>
      </w:pPr>
      <w:r>
        <w:rPr>
          <w:rFonts w:ascii="Calibri" w:hAnsi="Calibri" w:cs="Calibri"/>
          <w:color w:val="auto"/>
          <w:sz w:val="24"/>
          <w:szCs w:val="24"/>
        </w:rPr>
        <w:t>For</w:t>
      </w:r>
      <w:r w:rsidRPr="00ED4963">
        <w:rPr>
          <w:rFonts w:ascii="Calibri" w:hAnsi="Calibri" w:cs="Calibri"/>
          <w:color w:val="auto"/>
          <w:sz w:val="24"/>
          <w:szCs w:val="24"/>
        </w:rPr>
        <w:t xml:space="preserve">nell, C, Rust, RT &amp; Dekimpe, MG, 2010, ‘The Effect of Customer Satisfaction on Consumer Spending Growth’, </w:t>
      </w:r>
      <w:r w:rsidRPr="00ED4963">
        <w:rPr>
          <w:rFonts w:ascii="Calibri" w:hAnsi="Calibri" w:cs="Calibri"/>
          <w:i/>
          <w:color w:val="auto"/>
          <w:sz w:val="24"/>
          <w:szCs w:val="24"/>
        </w:rPr>
        <w:t>Journal of Marketing Research,</w:t>
      </w:r>
      <w:r w:rsidRPr="00ED4963">
        <w:rPr>
          <w:rFonts w:ascii="Calibri" w:hAnsi="Calibri" w:cs="Calibri"/>
          <w:color w:val="auto"/>
          <w:sz w:val="24"/>
          <w:szCs w:val="24"/>
        </w:rPr>
        <w:t xml:space="preserve"> 47 (February), pp. 28-35.</w:t>
      </w:r>
    </w:p>
    <w:p w14:paraId="3C65D4FB" w14:textId="77777777" w:rsidR="00ED4963" w:rsidRPr="0035279F" w:rsidRDefault="00ED4963" w:rsidP="00ED4963">
      <w:pPr>
        <w:pStyle w:val="ListParagraph"/>
        <w:rPr>
          <w:rFonts w:ascii="Calibri" w:hAnsi="Calibri" w:cs="Calibri"/>
          <w:color w:val="auto"/>
          <w:sz w:val="28"/>
          <w:szCs w:val="28"/>
        </w:rPr>
      </w:pPr>
    </w:p>
    <w:p w14:paraId="60B0AC65" w14:textId="5BAC7FDE" w:rsidR="00ED4963" w:rsidRPr="00ED4963" w:rsidRDefault="00ED4963" w:rsidP="00ED4963">
      <w:pPr>
        <w:pStyle w:val="ListParagraph"/>
        <w:numPr>
          <w:ilvl w:val="0"/>
          <w:numId w:val="20"/>
        </w:numPr>
        <w:spacing w:line="276" w:lineRule="auto"/>
        <w:rPr>
          <w:rFonts w:ascii="Calibri" w:hAnsi="Calibri" w:cs="Calibri"/>
          <w:color w:val="auto"/>
          <w:sz w:val="24"/>
          <w:szCs w:val="24"/>
        </w:rPr>
      </w:pPr>
      <w:r>
        <w:rPr>
          <w:rFonts w:ascii="Calibri" w:hAnsi="Calibri" w:cs="Calibri"/>
          <w:color w:val="auto"/>
          <w:sz w:val="24"/>
          <w:szCs w:val="24"/>
        </w:rPr>
        <w:t>Reic</w:t>
      </w:r>
      <w:r w:rsidRPr="00ED4963">
        <w:rPr>
          <w:rFonts w:ascii="Calibri" w:hAnsi="Calibri" w:cs="Calibri"/>
          <w:color w:val="auto"/>
          <w:sz w:val="24"/>
          <w:szCs w:val="24"/>
        </w:rPr>
        <w:t xml:space="preserve">hheld, FF 2003, ‘The One Number You Need to Grow’, </w:t>
      </w:r>
      <w:r w:rsidRPr="00ED4963">
        <w:rPr>
          <w:rFonts w:ascii="Calibri" w:hAnsi="Calibri" w:cs="Calibri"/>
          <w:i/>
          <w:color w:val="auto"/>
          <w:sz w:val="24"/>
          <w:szCs w:val="24"/>
        </w:rPr>
        <w:t xml:space="preserve">Harvard Business Review, </w:t>
      </w:r>
      <w:r w:rsidRPr="00ED4963">
        <w:rPr>
          <w:rFonts w:ascii="Calibri" w:hAnsi="Calibri" w:cs="Calibri"/>
          <w:color w:val="auto"/>
          <w:sz w:val="24"/>
          <w:szCs w:val="24"/>
        </w:rPr>
        <w:t>81 (December), pp. 46-54</w:t>
      </w:r>
      <w:r>
        <w:rPr>
          <w:rFonts w:ascii="Calibri" w:hAnsi="Calibri" w:cs="Calibri"/>
          <w:color w:val="auto"/>
          <w:sz w:val="24"/>
          <w:szCs w:val="24"/>
        </w:rPr>
        <w:t>.</w:t>
      </w:r>
    </w:p>
    <w:p w14:paraId="3CAA47B3" w14:textId="77777777" w:rsidR="00ED4963" w:rsidRPr="0035279F" w:rsidRDefault="00ED4963" w:rsidP="00ED4963">
      <w:pPr>
        <w:pStyle w:val="ListParagraph"/>
        <w:rPr>
          <w:rFonts w:ascii="Calibri" w:hAnsi="Calibri" w:cs="Calibri"/>
          <w:color w:val="auto"/>
          <w:sz w:val="28"/>
          <w:szCs w:val="28"/>
        </w:rPr>
      </w:pPr>
    </w:p>
    <w:p w14:paraId="69BBD3AF" w14:textId="26EB75E8" w:rsidR="00ED4963" w:rsidRPr="00ED4963" w:rsidRDefault="00ED4963" w:rsidP="00ED4963">
      <w:pPr>
        <w:pStyle w:val="ListParagraph"/>
        <w:numPr>
          <w:ilvl w:val="0"/>
          <w:numId w:val="20"/>
        </w:numPr>
        <w:spacing w:line="276" w:lineRule="auto"/>
        <w:rPr>
          <w:rFonts w:ascii="Calibri" w:hAnsi="Calibri" w:cs="Calibri"/>
          <w:color w:val="auto"/>
          <w:sz w:val="24"/>
          <w:szCs w:val="24"/>
        </w:rPr>
      </w:pPr>
      <w:r>
        <w:rPr>
          <w:rFonts w:ascii="Calibri" w:hAnsi="Calibri" w:cs="Calibri"/>
          <w:color w:val="auto"/>
          <w:sz w:val="24"/>
          <w:szCs w:val="24"/>
        </w:rPr>
        <w:t>Ru</w:t>
      </w:r>
      <w:r w:rsidRPr="00ED4963">
        <w:rPr>
          <w:rFonts w:ascii="Calibri" w:hAnsi="Calibri" w:cs="Calibri"/>
          <w:color w:val="auto"/>
          <w:sz w:val="24"/>
          <w:szCs w:val="24"/>
        </w:rPr>
        <w:t xml:space="preserve">st, RT &amp; Oliver, RL 2000, ‘Should We Delight the Customer?, </w:t>
      </w:r>
      <w:r w:rsidRPr="00ED4963">
        <w:rPr>
          <w:rFonts w:ascii="Calibri" w:hAnsi="Calibri" w:cs="Calibri"/>
          <w:i/>
          <w:color w:val="auto"/>
          <w:sz w:val="24"/>
          <w:szCs w:val="24"/>
        </w:rPr>
        <w:t>Journal of the Academy of Marketing Science,</w:t>
      </w:r>
      <w:r w:rsidRPr="00ED4963">
        <w:rPr>
          <w:rFonts w:ascii="Calibri" w:hAnsi="Calibri" w:cs="Calibri"/>
          <w:color w:val="auto"/>
          <w:sz w:val="24"/>
          <w:szCs w:val="24"/>
        </w:rPr>
        <w:t xml:space="preserve"> 28 (1), pp. 86-94</w:t>
      </w:r>
      <w:r>
        <w:rPr>
          <w:rFonts w:ascii="Calibri" w:hAnsi="Calibri" w:cs="Calibri"/>
          <w:color w:val="auto"/>
          <w:sz w:val="24"/>
          <w:szCs w:val="24"/>
        </w:rPr>
        <w:t>.</w:t>
      </w:r>
    </w:p>
    <w:p w14:paraId="2ECEBF37" w14:textId="77777777" w:rsidR="00ED4963" w:rsidRPr="0035279F" w:rsidRDefault="00ED4963" w:rsidP="00ED4963">
      <w:pPr>
        <w:pStyle w:val="ListParagraph"/>
        <w:rPr>
          <w:rFonts w:ascii="Calibri" w:hAnsi="Calibri" w:cs="Calibri"/>
          <w:color w:val="auto"/>
          <w:sz w:val="28"/>
          <w:szCs w:val="28"/>
        </w:rPr>
      </w:pPr>
    </w:p>
    <w:p w14:paraId="645531CD" w14:textId="1BAA3483" w:rsidR="00ED4963" w:rsidRPr="00ED4963" w:rsidRDefault="00ED4963" w:rsidP="00ED4963">
      <w:pPr>
        <w:pStyle w:val="ListParagraph"/>
        <w:numPr>
          <w:ilvl w:val="0"/>
          <w:numId w:val="20"/>
        </w:numPr>
        <w:spacing w:line="276" w:lineRule="auto"/>
        <w:rPr>
          <w:rFonts w:ascii="Calibri" w:hAnsi="Calibri" w:cs="Calibri"/>
          <w:color w:val="auto"/>
          <w:sz w:val="24"/>
          <w:szCs w:val="24"/>
        </w:rPr>
      </w:pPr>
      <w:r>
        <w:rPr>
          <w:rFonts w:ascii="Calibri" w:hAnsi="Calibri" w:cs="Calibri"/>
          <w:color w:val="auto"/>
          <w:sz w:val="24"/>
          <w:szCs w:val="24"/>
        </w:rPr>
        <w:t xml:space="preserve">Siebert, A, Gopaldas, A, Lindridge, A &amp; Simoes, C 2020, ‘Customer Experience Journeys: Loyalty Loops Versus Involvement Spirals’, </w:t>
      </w:r>
      <w:r>
        <w:rPr>
          <w:rFonts w:ascii="Calibri" w:hAnsi="Calibri" w:cs="Calibri"/>
          <w:i/>
          <w:color w:val="auto"/>
          <w:sz w:val="24"/>
          <w:szCs w:val="24"/>
        </w:rPr>
        <w:t xml:space="preserve">Journal of Marketing, </w:t>
      </w:r>
      <w:r>
        <w:rPr>
          <w:rFonts w:ascii="Calibri" w:hAnsi="Calibri" w:cs="Calibri"/>
          <w:color w:val="auto"/>
          <w:sz w:val="24"/>
          <w:szCs w:val="24"/>
        </w:rPr>
        <w:t>84 (4), pp. 45-66</w:t>
      </w:r>
    </w:p>
    <w:p w14:paraId="7817F107" w14:textId="77777777" w:rsidR="00ED4963" w:rsidRPr="006C5031" w:rsidRDefault="00ED4963" w:rsidP="007D35EA">
      <w:pPr>
        <w:ind w:left="-142"/>
        <w:rPr>
          <w:rFonts w:ascii="Calibri" w:hAnsi="Calibri" w:cs="Calibri"/>
        </w:rPr>
      </w:pPr>
    </w:p>
    <w:sectPr w:rsidR="00ED4963" w:rsidRPr="006C5031" w:rsidSect="007D35EA">
      <w:footerReference w:type="default" r:id="rId17"/>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79277" w14:textId="77777777" w:rsidR="001B2579" w:rsidRDefault="001B2579" w:rsidP="00C6554A">
      <w:pPr>
        <w:spacing w:before="0" w:after="0" w:line="240" w:lineRule="auto"/>
      </w:pPr>
      <w:r>
        <w:separator/>
      </w:r>
    </w:p>
  </w:endnote>
  <w:endnote w:type="continuationSeparator" w:id="0">
    <w:p w14:paraId="5CB6A044" w14:textId="77777777" w:rsidR="001B2579" w:rsidRDefault="001B257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B5005" w14:textId="1147FCE4" w:rsidR="002163EE" w:rsidRDefault="00ED7C44">
    <w:pPr>
      <w:pStyle w:val="Footer"/>
    </w:pPr>
    <w:r>
      <w:t xml:space="preserve">Page </w:t>
    </w:r>
    <w:r>
      <w:fldChar w:fldCharType="begin"/>
    </w:r>
    <w:r>
      <w:instrText xml:space="preserve"> PAGE  \* Arabic  \* MERGEFORMAT </w:instrText>
    </w:r>
    <w:r>
      <w:fldChar w:fldCharType="separate"/>
    </w:r>
    <w:r w:rsidR="00304192">
      <w:rPr>
        <w:noProof/>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E2D00" w14:textId="77777777" w:rsidR="001B2579" w:rsidRDefault="001B2579" w:rsidP="00C6554A">
      <w:pPr>
        <w:spacing w:before="0" w:after="0" w:line="240" w:lineRule="auto"/>
      </w:pPr>
      <w:r>
        <w:separator/>
      </w:r>
    </w:p>
  </w:footnote>
  <w:footnote w:type="continuationSeparator" w:id="0">
    <w:p w14:paraId="57A09D7A" w14:textId="77777777" w:rsidR="001B2579" w:rsidRDefault="001B257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multilevel"/>
    <w:tmpl w:val="CB9E1936"/>
    <w:lvl w:ilvl="0">
      <w:start w:val="1"/>
      <w:numFmt w:val="bullet"/>
      <w:lvlText w:val=""/>
      <w:lvlJc w:val="left"/>
      <w:pPr>
        <w:tabs>
          <w:tab w:val="num" w:pos="1440"/>
        </w:tabs>
        <w:ind w:left="144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3A06938"/>
    <w:lvl w:ilvl="0">
      <w:start w:val="1"/>
      <w:numFmt w:val="bullet"/>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93C8D00C"/>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0ADE06"/>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2BC17B6"/>
    <w:multiLevelType w:val="hybridMultilevel"/>
    <w:tmpl w:val="B19069E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9703D9"/>
    <w:multiLevelType w:val="hybridMultilevel"/>
    <w:tmpl w:val="FAB241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D064F"/>
    <w:multiLevelType w:val="hybridMultilevel"/>
    <w:tmpl w:val="49CC7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940C0B"/>
    <w:multiLevelType w:val="hybridMultilevel"/>
    <w:tmpl w:val="FAB241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FD0E0D"/>
    <w:multiLevelType w:val="hybridMultilevel"/>
    <w:tmpl w:val="9C8AC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5"/>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4A"/>
    <w:rsid w:val="000151AF"/>
    <w:rsid w:val="000800CA"/>
    <w:rsid w:val="00181234"/>
    <w:rsid w:val="001B2579"/>
    <w:rsid w:val="002554CD"/>
    <w:rsid w:val="00293B83"/>
    <w:rsid w:val="002B4294"/>
    <w:rsid w:val="00304192"/>
    <w:rsid w:val="00333D0D"/>
    <w:rsid w:val="0035279F"/>
    <w:rsid w:val="004C049F"/>
    <w:rsid w:val="005000E2"/>
    <w:rsid w:val="005B1196"/>
    <w:rsid w:val="00670844"/>
    <w:rsid w:val="006A3CE7"/>
    <w:rsid w:val="006C5031"/>
    <w:rsid w:val="00751EAB"/>
    <w:rsid w:val="007D35EA"/>
    <w:rsid w:val="009032DE"/>
    <w:rsid w:val="009B658F"/>
    <w:rsid w:val="00A320C2"/>
    <w:rsid w:val="00A71C1D"/>
    <w:rsid w:val="00C06F61"/>
    <w:rsid w:val="00C6554A"/>
    <w:rsid w:val="00D65ADB"/>
    <w:rsid w:val="00D911DB"/>
    <w:rsid w:val="00DE12A8"/>
    <w:rsid w:val="00EC280E"/>
    <w:rsid w:val="00ED4963"/>
    <w:rsid w:val="00ED7C44"/>
    <w:rsid w:val="00F035EA"/>
    <w:rsid w:val="00F568F1"/>
    <w:rsid w:val="00F92967"/>
    <w:rsid w:val="00FA6547"/>
    <w:rsid w:val="0D35FB86"/>
    <w:rsid w:val="0F8B8F8B"/>
    <w:rsid w:val="16FDD69B"/>
    <w:rsid w:val="3A48C965"/>
    <w:rsid w:val="3D05F1B3"/>
    <w:rsid w:val="511ADAD2"/>
    <w:rsid w:val="55532AC4"/>
    <w:rsid w:val="56A14D85"/>
    <w:rsid w:val="68B2C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ADAD2"/>
  <w15:chartTrackingRefBased/>
  <w15:docId w15:val="{58D4B734-443B-4B19-97F3-033440F0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en-AU"/>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9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654526">
      <w:bodyDiv w:val="1"/>
      <w:marLeft w:val="0"/>
      <w:marRight w:val="0"/>
      <w:marTop w:val="0"/>
      <w:marBottom w:val="0"/>
      <w:divBdr>
        <w:top w:val="none" w:sz="0" w:space="0" w:color="auto"/>
        <w:left w:val="none" w:sz="0" w:space="0" w:color="auto"/>
        <w:bottom w:val="none" w:sz="0" w:space="0" w:color="auto"/>
        <w:right w:val="none" w:sz="0" w:space="0" w:color="auto"/>
      </w:divBdr>
    </w:div>
    <w:div w:id="855459956">
      <w:bodyDiv w:val="1"/>
      <w:marLeft w:val="0"/>
      <w:marRight w:val="0"/>
      <w:marTop w:val="0"/>
      <w:marBottom w:val="0"/>
      <w:divBdr>
        <w:top w:val="none" w:sz="0" w:space="0" w:color="auto"/>
        <w:left w:val="none" w:sz="0" w:space="0" w:color="auto"/>
        <w:bottom w:val="none" w:sz="0" w:space="0" w:color="auto"/>
        <w:right w:val="none" w:sz="0" w:space="0" w:color="auto"/>
      </w:divBdr>
    </w:div>
    <w:div w:id="950481002">
      <w:bodyDiv w:val="1"/>
      <w:marLeft w:val="0"/>
      <w:marRight w:val="0"/>
      <w:marTop w:val="0"/>
      <w:marBottom w:val="0"/>
      <w:divBdr>
        <w:top w:val="none" w:sz="0" w:space="0" w:color="auto"/>
        <w:left w:val="none" w:sz="0" w:space="0" w:color="auto"/>
        <w:bottom w:val="none" w:sz="0" w:space="0" w:color="auto"/>
        <w:right w:val="none" w:sz="0" w:space="0" w:color="auto"/>
      </w:divBdr>
    </w:div>
    <w:div w:id="1015303761">
      <w:bodyDiv w:val="1"/>
      <w:marLeft w:val="0"/>
      <w:marRight w:val="0"/>
      <w:marTop w:val="0"/>
      <w:marBottom w:val="0"/>
      <w:divBdr>
        <w:top w:val="none" w:sz="0" w:space="0" w:color="auto"/>
        <w:left w:val="none" w:sz="0" w:space="0" w:color="auto"/>
        <w:bottom w:val="none" w:sz="0" w:space="0" w:color="auto"/>
        <w:right w:val="none" w:sz="0" w:space="0" w:color="auto"/>
      </w:divBdr>
    </w:div>
    <w:div w:id="1520973960">
      <w:bodyDiv w:val="1"/>
      <w:marLeft w:val="0"/>
      <w:marRight w:val="0"/>
      <w:marTop w:val="0"/>
      <w:marBottom w:val="0"/>
      <w:divBdr>
        <w:top w:val="none" w:sz="0" w:space="0" w:color="auto"/>
        <w:left w:val="none" w:sz="0" w:space="0" w:color="auto"/>
        <w:bottom w:val="none" w:sz="0" w:space="0" w:color="auto"/>
        <w:right w:val="none" w:sz="0" w:space="0" w:color="auto"/>
      </w:divBdr>
    </w:div>
    <w:div w:id="1655646333">
      <w:bodyDiv w:val="1"/>
      <w:marLeft w:val="0"/>
      <w:marRight w:val="0"/>
      <w:marTop w:val="0"/>
      <w:marBottom w:val="0"/>
      <w:divBdr>
        <w:top w:val="none" w:sz="0" w:space="0" w:color="auto"/>
        <w:left w:val="none" w:sz="0" w:space="0" w:color="auto"/>
        <w:bottom w:val="none" w:sz="0" w:space="0" w:color="auto"/>
        <w:right w:val="none" w:sz="0" w:space="0" w:color="auto"/>
      </w:divBdr>
    </w:div>
    <w:div w:id="1781534140">
      <w:bodyDiv w:val="1"/>
      <w:marLeft w:val="0"/>
      <w:marRight w:val="0"/>
      <w:marTop w:val="0"/>
      <w:marBottom w:val="0"/>
      <w:divBdr>
        <w:top w:val="none" w:sz="0" w:space="0" w:color="auto"/>
        <w:left w:val="none" w:sz="0" w:space="0" w:color="auto"/>
        <w:bottom w:val="none" w:sz="0" w:space="0" w:color="auto"/>
        <w:right w:val="none" w:sz="0" w:space="0" w:color="auto"/>
      </w:divBdr>
    </w:div>
    <w:div w:id="1787118447">
      <w:bodyDiv w:val="1"/>
      <w:marLeft w:val="0"/>
      <w:marRight w:val="0"/>
      <w:marTop w:val="0"/>
      <w:marBottom w:val="0"/>
      <w:divBdr>
        <w:top w:val="none" w:sz="0" w:space="0" w:color="auto"/>
        <w:left w:val="none" w:sz="0" w:space="0" w:color="auto"/>
        <w:bottom w:val="none" w:sz="0" w:space="0" w:color="auto"/>
        <w:right w:val="none" w:sz="0" w:space="0" w:color="auto"/>
      </w:divBdr>
      <w:divsChild>
        <w:div w:id="1869759748">
          <w:marLeft w:val="0"/>
          <w:marRight w:val="0"/>
          <w:marTop w:val="0"/>
          <w:marBottom w:val="0"/>
          <w:divBdr>
            <w:top w:val="none" w:sz="0" w:space="0" w:color="auto"/>
            <w:left w:val="none" w:sz="0" w:space="0" w:color="auto"/>
            <w:bottom w:val="none" w:sz="0" w:space="0" w:color="auto"/>
            <w:right w:val="none" w:sz="0" w:space="0" w:color="auto"/>
          </w:divBdr>
        </w:div>
        <w:div w:id="1000086249">
          <w:marLeft w:val="0"/>
          <w:marRight w:val="0"/>
          <w:marTop w:val="0"/>
          <w:marBottom w:val="0"/>
          <w:divBdr>
            <w:top w:val="none" w:sz="0" w:space="0" w:color="auto"/>
            <w:left w:val="none" w:sz="0" w:space="0" w:color="auto"/>
            <w:bottom w:val="none" w:sz="0" w:space="0" w:color="auto"/>
            <w:right w:val="none" w:sz="0" w:space="0" w:color="auto"/>
          </w:divBdr>
        </w:div>
        <w:div w:id="1616211467">
          <w:marLeft w:val="0"/>
          <w:marRight w:val="0"/>
          <w:marTop w:val="0"/>
          <w:marBottom w:val="0"/>
          <w:divBdr>
            <w:top w:val="none" w:sz="0" w:space="0" w:color="auto"/>
            <w:left w:val="none" w:sz="0" w:space="0" w:color="auto"/>
            <w:bottom w:val="none" w:sz="0" w:space="0" w:color="auto"/>
            <w:right w:val="none" w:sz="0" w:space="0" w:color="auto"/>
          </w:divBdr>
        </w:div>
        <w:div w:id="991905280">
          <w:marLeft w:val="0"/>
          <w:marRight w:val="0"/>
          <w:marTop w:val="0"/>
          <w:marBottom w:val="0"/>
          <w:divBdr>
            <w:top w:val="none" w:sz="0" w:space="0" w:color="auto"/>
            <w:left w:val="none" w:sz="0" w:space="0" w:color="auto"/>
            <w:bottom w:val="none" w:sz="0" w:space="0" w:color="auto"/>
            <w:right w:val="none" w:sz="0" w:space="0" w:color="auto"/>
          </w:divBdr>
        </w:div>
        <w:div w:id="74205057">
          <w:marLeft w:val="0"/>
          <w:marRight w:val="0"/>
          <w:marTop w:val="0"/>
          <w:marBottom w:val="0"/>
          <w:divBdr>
            <w:top w:val="none" w:sz="0" w:space="0" w:color="auto"/>
            <w:left w:val="none" w:sz="0" w:space="0" w:color="auto"/>
            <w:bottom w:val="none" w:sz="0" w:space="0" w:color="auto"/>
            <w:right w:val="none" w:sz="0" w:space="0" w:color="auto"/>
          </w:divBdr>
        </w:div>
        <w:div w:id="1070496598">
          <w:marLeft w:val="0"/>
          <w:marRight w:val="0"/>
          <w:marTop w:val="0"/>
          <w:marBottom w:val="0"/>
          <w:divBdr>
            <w:top w:val="none" w:sz="0" w:space="0" w:color="auto"/>
            <w:left w:val="none" w:sz="0" w:space="0" w:color="auto"/>
            <w:bottom w:val="none" w:sz="0" w:space="0" w:color="auto"/>
            <w:right w:val="none" w:sz="0" w:space="0" w:color="auto"/>
          </w:divBdr>
        </w:div>
        <w:div w:id="1192183030">
          <w:marLeft w:val="0"/>
          <w:marRight w:val="0"/>
          <w:marTop w:val="0"/>
          <w:marBottom w:val="0"/>
          <w:divBdr>
            <w:top w:val="none" w:sz="0" w:space="0" w:color="auto"/>
            <w:left w:val="none" w:sz="0" w:space="0" w:color="auto"/>
            <w:bottom w:val="none" w:sz="0" w:space="0" w:color="auto"/>
            <w:right w:val="none" w:sz="0" w:space="0" w:color="auto"/>
          </w:divBdr>
        </w:div>
        <w:div w:id="525026068">
          <w:marLeft w:val="0"/>
          <w:marRight w:val="0"/>
          <w:marTop w:val="0"/>
          <w:marBottom w:val="0"/>
          <w:divBdr>
            <w:top w:val="none" w:sz="0" w:space="0" w:color="auto"/>
            <w:left w:val="none" w:sz="0" w:space="0" w:color="auto"/>
            <w:bottom w:val="none" w:sz="0" w:space="0" w:color="auto"/>
            <w:right w:val="none" w:sz="0" w:space="0" w:color="auto"/>
          </w:divBdr>
        </w:div>
        <w:div w:id="1767457751">
          <w:marLeft w:val="0"/>
          <w:marRight w:val="0"/>
          <w:marTop w:val="0"/>
          <w:marBottom w:val="0"/>
          <w:divBdr>
            <w:top w:val="none" w:sz="0" w:space="0" w:color="auto"/>
            <w:left w:val="none" w:sz="0" w:space="0" w:color="auto"/>
            <w:bottom w:val="none" w:sz="0" w:space="0" w:color="auto"/>
            <w:right w:val="none" w:sz="0" w:space="0" w:color="auto"/>
          </w:divBdr>
        </w:div>
        <w:div w:id="689989763">
          <w:marLeft w:val="0"/>
          <w:marRight w:val="0"/>
          <w:marTop w:val="0"/>
          <w:marBottom w:val="0"/>
          <w:divBdr>
            <w:top w:val="none" w:sz="0" w:space="0" w:color="auto"/>
            <w:left w:val="none" w:sz="0" w:space="0" w:color="auto"/>
            <w:bottom w:val="none" w:sz="0" w:space="0" w:color="auto"/>
            <w:right w:val="none" w:sz="0" w:space="0" w:color="auto"/>
          </w:divBdr>
        </w:div>
        <w:div w:id="144319962">
          <w:marLeft w:val="0"/>
          <w:marRight w:val="0"/>
          <w:marTop w:val="0"/>
          <w:marBottom w:val="0"/>
          <w:divBdr>
            <w:top w:val="none" w:sz="0" w:space="0" w:color="auto"/>
            <w:left w:val="none" w:sz="0" w:space="0" w:color="auto"/>
            <w:bottom w:val="none" w:sz="0" w:space="0" w:color="auto"/>
            <w:right w:val="none" w:sz="0" w:space="0" w:color="auto"/>
          </w:divBdr>
        </w:div>
        <w:div w:id="708191283">
          <w:marLeft w:val="0"/>
          <w:marRight w:val="0"/>
          <w:marTop w:val="0"/>
          <w:marBottom w:val="0"/>
          <w:divBdr>
            <w:top w:val="none" w:sz="0" w:space="0" w:color="auto"/>
            <w:left w:val="none" w:sz="0" w:space="0" w:color="auto"/>
            <w:bottom w:val="none" w:sz="0" w:space="0" w:color="auto"/>
            <w:right w:val="none" w:sz="0" w:space="0" w:color="auto"/>
          </w:divBdr>
        </w:div>
        <w:div w:id="1238589662">
          <w:marLeft w:val="0"/>
          <w:marRight w:val="0"/>
          <w:marTop w:val="0"/>
          <w:marBottom w:val="0"/>
          <w:divBdr>
            <w:top w:val="none" w:sz="0" w:space="0" w:color="auto"/>
            <w:left w:val="none" w:sz="0" w:space="0" w:color="auto"/>
            <w:bottom w:val="none" w:sz="0" w:space="0" w:color="auto"/>
            <w:right w:val="none" w:sz="0" w:space="0" w:color="auto"/>
          </w:divBdr>
        </w:div>
        <w:div w:id="1236668581">
          <w:marLeft w:val="0"/>
          <w:marRight w:val="0"/>
          <w:marTop w:val="0"/>
          <w:marBottom w:val="0"/>
          <w:divBdr>
            <w:top w:val="none" w:sz="0" w:space="0" w:color="auto"/>
            <w:left w:val="none" w:sz="0" w:space="0" w:color="auto"/>
            <w:bottom w:val="none" w:sz="0" w:space="0" w:color="auto"/>
            <w:right w:val="none" w:sz="0" w:space="0" w:color="auto"/>
          </w:divBdr>
        </w:div>
        <w:div w:id="685450049">
          <w:marLeft w:val="0"/>
          <w:marRight w:val="0"/>
          <w:marTop w:val="0"/>
          <w:marBottom w:val="0"/>
          <w:divBdr>
            <w:top w:val="none" w:sz="0" w:space="0" w:color="auto"/>
            <w:left w:val="none" w:sz="0" w:space="0" w:color="auto"/>
            <w:bottom w:val="none" w:sz="0" w:space="0" w:color="auto"/>
            <w:right w:val="none" w:sz="0" w:space="0" w:color="auto"/>
          </w:divBdr>
        </w:div>
        <w:div w:id="2011177924">
          <w:marLeft w:val="0"/>
          <w:marRight w:val="0"/>
          <w:marTop w:val="0"/>
          <w:marBottom w:val="0"/>
          <w:divBdr>
            <w:top w:val="none" w:sz="0" w:space="0" w:color="auto"/>
            <w:left w:val="none" w:sz="0" w:space="0" w:color="auto"/>
            <w:bottom w:val="none" w:sz="0" w:space="0" w:color="auto"/>
            <w:right w:val="none" w:sz="0" w:space="0" w:color="auto"/>
          </w:divBdr>
        </w:div>
        <w:div w:id="719867731">
          <w:marLeft w:val="0"/>
          <w:marRight w:val="0"/>
          <w:marTop w:val="0"/>
          <w:marBottom w:val="0"/>
          <w:divBdr>
            <w:top w:val="none" w:sz="0" w:space="0" w:color="auto"/>
            <w:left w:val="none" w:sz="0" w:space="0" w:color="auto"/>
            <w:bottom w:val="none" w:sz="0" w:space="0" w:color="auto"/>
            <w:right w:val="none" w:sz="0" w:space="0" w:color="auto"/>
          </w:divBdr>
        </w:div>
        <w:div w:id="1388525700">
          <w:marLeft w:val="0"/>
          <w:marRight w:val="0"/>
          <w:marTop w:val="0"/>
          <w:marBottom w:val="0"/>
          <w:divBdr>
            <w:top w:val="none" w:sz="0" w:space="0" w:color="auto"/>
            <w:left w:val="none" w:sz="0" w:space="0" w:color="auto"/>
            <w:bottom w:val="none" w:sz="0" w:space="0" w:color="auto"/>
            <w:right w:val="none" w:sz="0" w:space="0" w:color="auto"/>
          </w:divBdr>
        </w:div>
        <w:div w:id="669214182">
          <w:marLeft w:val="0"/>
          <w:marRight w:val="0"/>
          <w:marTop w:val="0"/>
          <w:marBottom w:val="0"/>
          <w:divBdr>
            <w:top w:val="none" w:sz="0" w:space="0" w:color="auto"/>
            <w:left w:val="none" w:sz="0" w:space="0" w:color="auto"/>
            <w:bottom w:val="none" w:sz="0" w:space="0" w:color="auto"/>
            <w:right w:val="none" w:sz="0" w:space="0" w:color="auto"/>
          </w:divBdr>
        </w:div>
        <w:div w:id="1231967615">
          <w:marLeft w:val="0"/>
          <w:marRight w:val="0"/>
          <w:marTop w:val="0"/>
          <w:marBottom w:val="0"/>
          <w:divBdr>
            <w:top w:val="none" w:sz="0" w:space="0" w:color="auto"/>
            <w:left w:val="none" w:sz="0" w:space="0" w:color="auto"/>
            <w:bottom w:val="none" w:sz="0" w:space="0" w:color="auto"/>
            <w:right w:val="none" w:sz="0" w:space="0" w:color="auto"/>
          </w:divBdr>
        </w:div>
        <w:div w:id="113720545">
          <w:marLeft w:val="0"/>
          <w:marRight w:val="0"/>
          <w:marTop w:val="0"/>
          <w:marBottom w:val="0"/>
          <w:divBdr>
            <w:top w:val="none" w:sz="0" w:space="0" w:color="auto"/>
            <w:left w:val="none" w:sz="0" w:space="0" w:color="auto"/>
            <w:bottom w:val="none" w:sz="0" w:space="0" w:color="auto"/>
            <w:right w:val="none" w:sz="0" w:space="0" w:color="auto"/>
          </w:divBdr>
        </w:div>
        <w:div w:id="528879832">
          <w:marLeft w:val="0"/>
          <w:marRight w:val="0"/>
          <w:marTop w:val="0"/>
          <w:marBottom w:val="0"/>
          <w:divBdr>
            <w:top w:val="none" w:sz="0" w:space="0" w:color="auto"/>
            <w:left w:val="none" w:sz="0" w:space="0" w:color="auto"/>
            <w:bottom w:val="none" w:sz="0" w:space="0" w:color="auto"/>
            <w:right w:val="none" w:sz="0" w:space="0" w:color="auto"/>
          </w:divBdr>
        </w:div>
        <w:div w:id="1085998302">
          <w:marLeft w:val="0"/>
          <w:marRight w:val="0"/>
          <w:marTop w:val="0"/>
          <w:marBottom w:val="0"/>
          <w:divBdr>
            <w:top w:val="none" w:sz="0" w:space="0" w:color="auto"/>
            <w:left w:val="none" w:sz="0" w:space="0" w:color="auto"/>
            <w:bottom w:val="none" w:sz="0" w:space="0" w:color="auto"/>
            <w:right w:val="none" w:sz="0" w:space="0" w:color="auto"/>
          </w:divBdr>
        </w:div>
        <w:div w:id="913784969">
          <w:marLeft w:val="0"/>
          <w:marRight w:val="0"/>
          <w:marTop w:val="0"/>
          <w:marBottom w:val="0"/>
          <w:divBdr>
            <w:top w:val="none" w:sz="0" w:space="0" w:color="auto"/>
            <w:left w:val="none" w:sz="0" w:space="0" w:color="auto"/>
            <w:bottom w:val="none" w:sz="0" w:space="0" w:color="auto"/>
            <w:right w:val="none" w:sz="0" w:space="0" w:color="auto"/>
          </w:divBdr>
        </w:div>
      </w:divsChild>
    </w:div>
    <w:div w:id="2079130333">
      <w:bodyDiv w:val="1"/>
      <w:marLeft w:val="0"/>
      <w:marRight w:val="0"/>
      <w:marTop w:val="0"/>
      <w:marBottom w:val="0"/>
      <w:divBdr>
        <w:top w:val="none" w:sz="0" w:space="0" w:color="auto"/>
        <w:left w:val="none" w:sz="0" w:space="0" w:color="auto"/>
        <w:bottom w:val="none" w:sz="0" w:space="0" w:color="auto"/>
        <w:right w:val="none" w:sz="0" w:space="0" w:color="auto"/>
      </w:divBdr>
    </w:div>
    <w:div w:id="21370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chart" Target="charts/chart5.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rna.Arivalagan\Documents\Mirna%20-%20Deakin\MIS784%20-%20Marketing%20Analytics%20-%201152020%20-%20819%20AM\Assignment%201\Assignment%201%20Calculations%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rna.Arivalagan\Documents\Mirna%20-%20Deakin\MIS784%20-%20Marketing%20Analytics%20-%201152020%20-%20819%20AM\Assignment%201\Assignment%201%20Calculations%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rna.Arivalagan\Documents\Mirna%20-%20Deakin\MIS784%20-%20Marketing%20Analytics%20-%201152020%20-%20819%20AM\Assignment%201\Assignment%201%20Calculations%20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rna.Arivalagan\Documents\Mirna%20-%20Deakin\MIS784%20-%20Marketing%20Analytics%20-%201152020%20-%20819%20AM\Assignment%201\Assignment%201%20Calculations%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rna.Arivalagan\Documents\Mirna%20-%20Deakin\MIS784%20-%20Marketing%20Analytics%20-%201152020%20-%20819%20AM\Assignment%201\Assignment%201%20Calculations%20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rna.Arivalagan\Documents\Mirna%20-%20Deakin\MIS784%20-%20Marketing%20Analytics%20-%201152020%20-%20819%20AM\Assignment%201\Assignment%201%20Calculations%20Final.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40" b="1"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AU"/>
              <a:t>Customer Satisfaction Responses</a:t>
            </a:r>
          </a:p>
          <a:p>
            <a:pPr>
              <a:defRPr/>
            </a:pPr>
            <a:endParaRPr lang="en-AU"/>
          </a:p>
        </c:rich>
      </c:tx>
      <c:overlay val="0"/>
      <c:spPr>
        <a:noFill/>
        <a:ln>
          <a:noFill/>
        </a:ln>
        <a:effectLst/>
      </c:spPr>
      <c:txPr>
        <a:bodyPr rot="0" spcFirstLastPara="1" vertOverflow="ellipsis" vert="horz" wrap="square" anchor="ctr" anchorCtr="1"/>
        <a:lstStyle/>
        <a:p>
          <a:pPr>
            <a:defRPr sz="1440" b="1"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200" b="0" i="0" u="none" strike="noStrike" kern="1200" baseline="0">
                    <a:solidFill>
                      <a:schemeClr val="tx1">
                        <a:lumMod val="50000"/>
                        <a:lumOff val="50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Data!$I$5:$I$8</c:f>
              <c:strCache>
                <c:ptCount val="3"/>
                <c:pt idx="0">
                  <c:v>High S (8-10)</c:v>
                </c:pt>
                <c:pt idx="1">
                  <c:v>Med S (5-7)</c:v>
                </c:pt>
                <c:pt idx="2">
                  <c:v>Low S (0-4)</c:v>
                </c:pt>
              </c:strCache>
            </c:strRef>
          </c:cat>
          <c:val>
            <c:numRef>
              <c:f>Data!$J$5:$J$8</c:f>
              <c:numCache>
                <c:formatCode>General</c:formatCode>
                <c:ptCount val="3"/>
                <c:pt idx="0">
                  <c:v>127</c:v>
                </c:pt>
                <c:pt idx="1">
                  <c:v>46</c:v>
                </c:pt>
                <c:pt idx="2">
                  <c:v>18</c:v>
                </c:pt>
              </c:numCache>
            </c:numRef>
          </c:val>
          <c:extLst>
            <c:ext xmlns:c16="http://schemas.microsoft.com/office/drawing/2014/chart" uri="{C3380CC4-5D6E-409C-BE32-E72D297353CC}">
              <c16:uniqueId val="{00000000-4E44-4132-9A92-594680D04B15}"/>
            </c:ext>
          </c:extLst>
        </c:ser>
        <c:dLbls>
          <c:dLblPos val="outEnd"/>
          <c:showLegendKey val="0"/>
          <c:showVal val="1"/>
          <c:showCatName val="0"/>
          <c:showSerName val="0"/>
          <c:showPercent val="0"/>
          <c:showBubbleSize val="0"/>
        </c:dLbls>
        <c:gapWidth val="444"/>
        <c:overlap val="-90"/>
        <c:axId val="536677952"/>
        <c:axId val="536671712"/>
      </c:barChart>
      <c:catAx>
        <c:axId val="536677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536671712"/>
        <c:crosses val="autoZero"/>
        <c:auto val="1"/>
        <c:lblAlgn val="ctr"/>
        <c:lblOffset val="100"/>
        <c:noMultiLvlLbl val="0"/>
      </c:catAx>
      <c:valAx>
        <c:axId val="536671712"/>
        <c:scaling>
          <c:orientation val="minMax"/>
        </c:scaling>
        <c:delete val="1"/>
        <c:axPos val="l"/>
        <c:numFmt formatCode="General" sourceLinked="1"/>
        <c:majorTickMark val="none"/>
        <c:minorTickMark val="none"/>
        <c:tickLblPos val="nextTo"/>
        <c:crossAx val="53667795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1200">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US">
                <a:latin typeface="Calibri" panose="020F0502020204030204" pitchFamily="34" charset="0"/>
                <a:cs typeface="Calibri" panose="020F0502020204030204" pitchFamily="34" charset="0"/>
              </a:rPr>
              <a:t>NPS Classification</a:t>
            </a:r>
          </a:p>
        </c:rich>
      </c:tx>
      <c:layout>
        <c:manualLayout>
          <c:xMode val="edge"/>
          <c:yMode val="edge"/>
          <c:x val="0.32499300087489064"/>
          <c:y val="3.7037037037037035E-2"/>
        </c:manualLayout>
      </c:layout>
      <c:overlay val="0"/>
      <c:spPr>
        <a:noFill/>
        <a:ln>
          <a:noFill/>
        </a:ln>
        <a:effectLst/>
      </c:spPr>
      <c:txPr>
        <a:bodyPr rot="0" spcFirstLastPara="1" vertOverflow="ellipsis" vert="horz" wrap="square" anchor="ctr" anchorCtr="1"/>
        <a:lstStyle/>
        <a:p>
          <a:pPr>
            <a:defRPr sz="1440" b="1"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lotArea>
      <c:layout/>
      <c:barChart>
        <c:barDir val="col"/>
        <c:grouping val="clustered"/>
        <c:varyColors val="0"/>
        <c:ser>
          <c:idx val="0"/>
          <c:order val="0"/>
          <c:tx>
            <c:strRef>
              <c:f>Data!$J$12</c:f>
              <c:strCache>
                <c:ptCount val="1"/>
                <c:pt idx="0">
                  <c:v>Number of Respondents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200" b="0" i="0" u="none" strike="noStrike" kern="1200" baseline="0">
                    <a:solidFill>
                      <a:schemeClr val="tx1">
                        <a:lumMod val="50000"/>
                        <a:lumOff val="50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Data!$I$13:$I$15</c:f>
              <c:strCache>
                <c:ptCount val="3"/>
                <c:pt idx="0">
                  <c:v>Passives</c:v>
                </c:pt>
                <c:pt idx="1">
                  <c:v>Promoters</c:v>
                </c:pt>
                <c:pt idx="2">
                  <c:v>Detractors</c:v>
                </c:pt>
              </c:strCache>
            </c:strRef>
          </c:cat>
          <c:val>
            <c:numRef>
              <c:f>Data!$J$13:$J$15</c:f>
              <c:numCache>
                <c:formatCode>General</c:formatCode>
                <c:ptCount val="3"/>
                <c:pt idx="0">
                  <c:v>76</c:v>
                </c:pt>
                <c:pt idx="1">
                  <c:v>60</c:v>
                </c:pt>
                <c:pt idx="2">
                  <c:v>55</c:v>
                </c:pt>
              </c:numCache>
            </c:numRef>
          </c:val>
          <c:extLst>
            <c:ext xmlns:c16="http://schemas.microsoft.com/office/drawing/2014/chart" uri="{C3380CC4-5D6E-409C-BE32-E72D297353CC}">
              <c16:uniqueId val="{00000000-A7BC-4A75-8A7D-0C87FC089F92}"/>
            </c:ext>
          </c:extLst>
        </c:ser>
        <c:dLbls>
          <c:dLblPos val="outEnd"/>
          <c:showLegendKey val="0"/>
          <c:showVal val="1"/>
          <c:showCatName val="0"/>
          <c:showSerName val="0"/>
          <c:showPercent val="0"/>
          <c:showBubbleSize val="0"/>
        </c:dLbls>
        <c:gapWidth val="444"/>
        <c:overlap val="-90"/>
        <c:axId val="543477360"/>
        <c:axId val="543470704"/>
      </c:barChart>
      <c:catAx>
        <c:axId val="54347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543470704"/>
        <c:crosses val="autoZero"/>
        <c:auto val="1"/>
        <c:lblAlgn val="ctr"/>
        <c:lblOffset val="100"/>
        <c:noMultiLvlLbl val="0"/>
      </c:catAx>
      <c:valAx>
        <c:axId val="543470704"/>
        <c:scaling>
          <c:orientation val="minMax"/>
        </c:scaling>
        <c:delete val="1"/>
        <c:axPos val="l"/>
        <c:numFmt formatCode="General" sourceLinked="1"/>
        <c:majorTickMark val="none"/>
        <c:minorTickMark val="none"/>
        <c:tickLblPos val="nextTo"/>
        <c:crossAx val="54347736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[Assignment 1 Calculations Final.xlsx]Sheet2!PivotTable12</c:name>
    <c:fmtId val="-1"/>
  </c:pivotSource>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US" sz="1200">
                <a:latin typeface="Calibri" panose="020F0502020204030204" pitchFamily="34" charset="0"/>
                <a:cs typeface="Calibri" panose="020F0502020204030204" pitchFamily="34" charset="0"/>
              </a:rPr>
              <a:t>Customer Satisfaction by Intention to Recommend</a:t>
            </a:r>
          </a:p>
        </c:rich>
      </c:tx>
      <c:layout>
        <c:manualLayout>
          <c:xMode val="edge"/>
          <c:yMode val="edge"/>
          <c:x val="0.17665635401121854"/>
          <c:y val="2.5570776255707764E-2"/>
        </c:manualLayout>
      </c:layout>
      <c:overlay val="0"/>
      <c:spPr>
        <a:noFill/>
        <a:ln>
          <a:noFill/>
        </a:ln>
        <a:effectLst/>
      </c:spPr>
      <c:txPr>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Sheet2!$M$2</c:f>
              <c:strCache>
                <c:ptCount val="1"/>
                <c:pt idx="0">
                  <c:v>Total</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50" b="0" i="0" u="none" strike="noStrike" kern="1200" baseline="0">
                    <a:solidFill>
                      <a:sysClr val="windowText" lastClr="000000"/>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Sheet2!$K$3:$L$13</c:f>
              <c:multiLvlStrCache>
                <c:ptCount val="7"/>
                <c:lvl>
                  <c:pt idx="0">
                    <c:v>Detractors</c:v>
                  </c:pt>
                  <c:pt idx="1">
                    <c:v>Passives</c:v>
                  </c:pt>
                  <c:pt idx="2">
                    <c:v>Promoters</c:v>
                  </c:pt>
                  <c:pt idx="3">
                    <c:v>Detractors</c:v>
                  </c:pt>
                  <c:pt idx="4">
                    <c:v>Detractors</c:v>
                  </c:pt>
                  <c:pt idx="5">
                    <c:v>Passives</c:v>
                  </c:pt>
                  <c:pt idx="6">
                    <c:v>Promoters</c:v>
                  </c:pt>
                </c:lvl>
                <c:lvl>
                  <c:pt idx="0">
                    <c:v>High</c:v>
                  </c:pt>
                  <c:pt idx="3">
                    <c:v>Low</c:v>
                  </c:pt>
                  <c:pt idx="4">
                    <c:v>Medium</c:v>
                  </c:pt>
                </c:lvl>
              </c:multiLvlStrCache>
            </c:multiLvlStrRef>
          </c:cat>
          <c:val>
            <c:numRef>
              <c:f>Sheet2!$M$3:$M$13</c:f>
              <c:numCache>
                <c:formatCode>0.00%</c:formatCode>
                <c:ptCount val="7"/>
                <c:pt idx="0">
                  <c:v>5.2356020942408377E-2</c:v>
                </c:pt>
                <c:pt idx="1">
                  <c:v>0.30366492146596857</c:v>
                </c:pt>
                <c:pt idx="2">
                  <c:v>0.30890052356020942</c:v>
                </c:pt>
                <c:pt idx="3">
                  <c:v>9.4240837696335081E-2</c:v>
                </c:pt>
                <c:pt idx="4">
                  <c:v>0.14136125654450263</c:v>
                </c:pt>
                <c:pt idx="5">
                  <c:v>9.4240837696335081E-2</c:v>
                </c:pt>
                <c:pt idx="6">
                  <c:v>5.235602094240838E-3</c:v>
                </c:pt>
              </c:numCache>
            </c:numRef>
          </c:val>
          <c:extLst>
            <c:ext xmlns:c16="http://schemas.microsoft.com/office/drawing/2014/chart" uri="{C3380CC4-5D6E-409C-BE32-E72D297353CC}">
              <c16:uniqueId val="{00000000-6E0E-4126-B81D-216FFF92B451}"/>
            </c:ext>
          </c:extLst>
        </c:ser>
        <c:dLbls>
          <c:dLblPos val="outEnd"/>
          <c:showLegendKey val="0"/>
          <c:showVal val="1"/>
          <c:showCatName val="0"/>
          <c:showSerName val="0"/>
          <c:showPercent val="0"/>
          <c:showBubbleSize val="0"/>
        </c:dLbls>
        <c:gapWidth val="444"/>
        <c:overlap val="-90"/>
        <c:axId val="1010986144"/>
        <c:axId val="1010987808"/>
      </c:barChart>
      <c:catAx>
        <c:axId val="1010986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1010987808"/>
        <c:crosses val="autoZero"/>
        <c:auto val="1"/>
        <c:lblAlgn val="ctr"/>
        <c:lblOffset val="100"/>
        <c:noMultiLvlLbl val="0"/>
      </c:catAx>
      <c:valAx>
        <c:axId val="1010987808"/>
        <c:scaling>
          <c:orientation val="minMax"/>
        </c:scaling>
        <c:delete val="1"/>
        <c:axPos val="l"/>
        <c:numFmt formatCode="0.00%" sourceLinked="1"/>
        <c:majorTickMark val="none"/>
        <c:minorTickMark val="none"/>
        <c:tickLblPos val="nextTo"/>
        <c:crossAx val="10109861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AU" baseline="0">
                <a:latin typeface="Calibri" panose="020F0502020204030204" pitchFamily="34" charset="0"/>
                <a:cs typeface="Calibri" panose="020F0502020204030204" pitchFamily="34" charset="0"/>
              </a:rPr>
              <a:t>Correlation between Satisfaction Scores </a:t>
            </a:r>
          </a:p>
          <a:p>
            <a:pPr>
              <a:defRPr>
                <a:latin typeface="Calibri" panose="020F0502020204030204" pitchFamily="34" charset="0"/>
                <a:cs typeface="Calibri" panose="020F0502020204030204" pitchFamily="34" charset="0"/>
              </a:defRPr>
            </a:pPr>
            <a:r>
              <a:rPr lang="en-AU" baseline="0">
                <a:latin typeface="Calibri" panose="020F0502020204030204" pitchFamily="34" charset="0"/>
                <a:cs typeface="Calibri" panose="020F0502020204030204" pitchFamily="34" charset="0"/>
              </a:rPr>
              <a:t>and Recommendation Scores</a:t>
            </a:r>
          </a:p>
        </c:rich>
      </c:tx>
      <c:layout>
        <c:manualLayout>
          <c:xMode val="edge"/>
          <c:yMode val="edge"/>
          <c:x val="0.23943277923592884"/>
          <c:y val="6.50582928074464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lotArea>
      <c:layout/>
      <c:scatterChart>
        <c:scatterStyle val="lineMarker"/>
        <c:varyColors val="0"/>
        <c:ser>
          <c:idx val="0"/>
          <c:order val="0"/>
          <c:tx>
            <c:strRef>
              <c:f>Data!$D$2</c:f>
              <c:strCache>
                <c:ptCount val="1"/>
                <c:pt idx="0">
                  <c:v>How likely would you be to recommend your main bank to friends and colleagues for personal banking?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Data!$C$3:$C$193</c:f>
              <c:numCache>
                <c:formatCode>General</c:formatCode>
                <c:ptCount val="191"/>
                <c:pt idx="0">
                  <c:v>7</c:v>
                </c:pt>
                <c:pt idx="1">
                  <c:v>9</c:v>
                </c:pt>
                <c:pt idx="2">
                  <c:v>8</c:v>
                </c:pt>
                <c:pt idx="3">
                  <c:v>10</c:v>
                </c:pt>
                <c:pt idx="4">
                  <c:v>7</c:v>
                </c:pt>
                <c:pt idx="5">
                  <c:v>8</c:v>
                </c:pt>
                <c:pt idx="6">
                  <c:v>8</c:v>
                </c:pt>
                <c:pt idx="7">
                  <c:v>10</c:v>
                </c:pt>
                <c:pt idx="8">
                  <c:v>8</c:v>
                </c:pt>
                <c:pt idx="9">
                  <c:v>7</c:v>
                </c:pt>
                <c:pt idx="10">
                  <c:v>8</c:v>
                </c:pt>
                <c:pt idx="11">
                  <c:v>0</c:v>
                </c:pt>
                <c:pt idx="12">
                  <c:v>8</c:v>
                </c:pt>
                <c:pt idx="13">
                  <c:v>8</c:v>
                </c:pt>
                <c:pt idx="14">
                  <c:v>1</c:v>
                </c:pt>
                <c:pt idx="15">
                  <c:v>9</c:v>
                </c:pt>
                <c:pt idx="16">
                  <c:v>8</c:v>
                </c:pt>
                <c:pt idx="17">
                  <c:v>7</c:v>
                </c:pt>
                <c:pt idx="18">
                  <c:v>9</c:v>
                </c:pt>
                <c:pt idx="19">
                  <c:v>8</c:v>
                </c:pt>
                <c:pt idx="20">
                  <c:v>8</c:v>
                </c:pt>
                <c:pt idx="21">
                  <c:v>10</c:v>
                </c:pt>
                <c:pt idx="22">
                  <c:v>7</c:v>
                </c:pt>
                <c:pt idx="23">
                  <c:v>1</c:v>
                </c:pt>
                <c:pt idx="24">
                  <c:v>8</c:v>
                </c:pt>
                <c:pt idx="25">
                  <c:v>10</c:v>
                </c:pt>
                <c:pt idx="26">
                  <c:v>9</c:v>
                </c:pt>
                <c:pt idx="27">
                  <c:v>10</c:v>
                </c:pt>
                <c:pt idx="28">
                  <c:v>10</c:v>
                </c:pt>
                <c:pt idx="29">
                  <c:v>9</c:v>
                </c:pt>
                <c:pt idx="30">
                  <c:v>1</c:v>
                </c:pt>
                <c:pt idx="31">
                  <c:v>8</c:v>
                </c:pt>
                <c:pt idx="32">
                  <c:v>8</c:v>
                </c:pt>
                <c:pt idx="33">
                  <c:v>8</c:v>
                </c:pt>
                <c:pt idx="34">
                  <c:v>10</c:v>
                </c:pt>
                <c:pt idx="35">
                  <c:v>8</c:v>
                </c:pt>
                <c:pt idx="36">
                  <c:v>8</c:v>
                </c:pt>
                <c:pt idx="37">
                  <c:v>10</c:v>
                </c:pt>
                <c:pt idx="38">
                  <c:v>9</c:v>
                </c:pt>
                <c:pt idx="39">
                  <c:v>7</c:v>
                </c:pt>
                <c:pt idx="40">
                  <c:v>10</c:v>
                </c:pt>
                <c:pt idx="41">
                  <c:v>10</c:v>
                </c:pt>
                <c:pt idx="42">
                  <c:v>8</c:v>
                </c:pt>
                <c:pt idx="43">
                  <c:v>9</c:v>
                </c:pt>
                <c:pt idx="44">
                  <c:v>8</c:v>
                </c:pt>
                <c:pt idx="45">
                  <c:v>8</c:v>
                </c:pt>
                <c:pt idx="46">
                  <c:v>10</c:v>
                </c:pt>
                <c:pt idx="47">
                  <c:v>8</c:v>
                </c:pt>
                <c:pt idx="48">
                  <c:v>9</c:v>
                </c:pt>
                <c:pt idx="49">
                  <c:v>9</c:v>
                </c:pt>
                <c:pt idx="50">
                  <c:v>10</c:v>
                </c:pt>
                <c:pt idx="51">
                  <c:v>8</c:v>
                </c:pt>
                <c:pt idx="52">
                  <c:v>3</c:v>
                </c:pt>
                <c:pt idx="53">
                  <c:v>8</c:v>
                </c:pt>
                <c:pt idx="54">
                  <c:v>8</c:v>
                </c:pt>
                <c:pt idx="55">
                  <c:v>8</c:v>
                </c:pt>
                <c:pt idx="56">
                  <c:v>6</c:v>
                </c:pt>
                <c:pt idx="57">
                  <c:v>9</c:v>
                </c:pt>
                <c:pt idx="58">
                  <c:v>6</c:v>
                </c:pt>
                <c:pt idx="59">
                  <c:v>8</c:v>
                </c:pt>
                <c:pt idx="60">
                  <c:v>5</c:v>
                </c:pt>
                <c:pt idx="61">
                  <c:v>10</c:v>
                </c:pt>
                <c:pt idx="62">
                  <c:v>8</c:v>
                </c:pt>
                <c:pt idx="63">
                  <c:v>7</c:v>
                </c:pt>
                <c:pt idx="64">
                  <c:v>8</c:v>
                </c:pt>
                <c:pt idx="65">
                  <c:v>7</c:v>
                </c:pt>
                <c:pt idx="66">
                  <c:v>5</c:v>
                </c:pt>
                <c:pt idx="67">
                  <c:v>9</c:v>
                </c:pt>
                <c:pt idx="68">
                  <c:v>9</c:v>
                </c:pt>
                <c:pt idx="69">
                  <c:v>5</c:v>
                </c:pt>
                <c:pt idx="70">
                  <c:v>8</c:v>
                </c:pt>
                <c:pt idx="71">
                  <c:v>10</c:v>
                </c:pt>
                <c:pt idx="72">
                  <c:v>5</c:v>
                </c:pt>
                <c:pt idx="73">
                  <c:v>7</c:v>
                </c:pt>
                <c:pt idx="74">
                  <c:v>9</c:v>
                </c:pt>
                <c:pt idx="75">
                  <c:v>7</c:v>
                </c:pt>
                <c:pt idx="76">
                  <c:v>10</c:v>
                </c:pt>
                <c:pt idx="77">
                  <c:v>3</c:v>
                </c:pt>
                <c:pt idx="78">
                  <c:v>8</c:v>
                </c:pt>
                <c:pt idx="79">
                  <c:v>10</c:v>
                </c:pt>
                <c:pt idx="80">
                  <c:v>8</c:v>
                </c:pt>
                <c:pt idx="81">
                  <c:v>8</c:v>
                </c:pt>
                <c:pt idx="82">
                  <c:v>9</c:v>
                </c:pt>
                <c:pt idx="83">
                  <c:v>7</c:v>
                </c:pt>
                <c:pt idx="84">
                  <c:v>8</c:v>
                </c:pt>
                <c:pt idx="85">
                  <c:v>10</c:v>
                </c:pt>
                <c:pt idx="86">
                  <c:v>5</c:v>
                </c:pt>
                <c:pt idx="87">
                  <c:v>9</c:v>
                </c:pt>
                <c:pt idx="88">
                  <c:v>10</c:v>
                </c:pt>
                <c:pt idx="89">
                  <c:v>8</c:v>
                </c:pt>
                <c:pt idx="90">
                  <c:v>10</c:v>
                </c:pt>
                <c:pt idx="91">
                  <c:v>8</c:v>
                </c:pt>
                <c:pt idx="92">
                  <c:v>7</c:v>
                </c:pt>
                <c:pt idx="93">
                  <c:v>10</c:v>
                </c:pt>
                <c:pt idx="94">
                  <c:v>8</c:v>
                </c:pt>
                <c:pt idx="95">
                  <c:v>2</c:v>
                </c:pt>
                <c:pt idx="96">
                  <c:v>8</c:v>
                </c:pt>
                <c:pt idx="97">
                  <c:v>5</c:v>
                </c:pt>
                <c:pt idx="98">
                  <c:v>10</c:v>
                </c:pt>
                <c:pt idx="99">
                  <c:v>1</c:v>
                </c:pt>
                <c:pt idx="100">
                  <c:v>9</c:v>
                </c:pt>
                <c:pt idx="101">
                  <c:v>5</c:v>
                </c:pt>
                <c:pt idx="102">
                  <c:v>9</c:v>
                </c:pt>
                <c:pt idx="103">
                  <c:v>7</c:v>
                </c:pt>
                <c:pt idx="104">
                  <c:v>8</c:v>
                </c:pt>
                <c:pt idx="105">
                  <c:v>10</c:v>
                </c:pt>
                <c:pt idx="106">
                  <c:v>7</c:v>
                </c:pt>
                <c:pt idx="107">
                  <c:v>10</c:v>
                </c:pt>
                <c:pt idx="108">
                  <c:v>9</c:v>
                </c:pt>
                <c:pt idx="109">
                  <c:v>1</c:v>
                </c:pt>
                <c:pt idx="110">
                  <c:v>8</c:v>
                </c:pt>
                <c:pt idx="111">
                  <c:v>9</c:v>
                </c:pt>
                <c:pt idx="112">
                  <c:v>9</c:v>
                </c:pt>
                <c:pt idx="113">
                  <c:v>5</c:v>
                </c:pt>
                <c:pt idx="114">
                  <c:v>8</c:v>
                </c:pt>
                <c:pt idx="115">
                  <c:v>7</c:v>
                </c:pt>
                <c:pt idx="116">
                  <c:v>9</c:v>
                </c:pt>
                <c:pt idx="117">
                  <c:v>7</c:v>
                </c:pt>
                <c:pt idx="118">
                  <c:v>10</c:v>
                </c:pt>
                <c:pt idx="119">
                  <c:v>9</c:v>
                </c:pt>
                <c:pt idx="120">
                  <c:v>8</c:v>
                </c:pt>
                <c:pt idx="121">
                  <c:v>6</c:v>
                </c:pt>
                <c:pt idx="122">
                  <c:v>7</c:v>
                </c:pt>
                <c:pt idx="123">
                  <c:v>9</c:v>
                </c:pt>
                <c:pt idx="124">
                  <c:v>9</c:v>
                </c:pt>
                <c:pt idx="125">
                  <c:v>3</c:v>
                </c:pt>
                <c:pt idx="126">
                  <c:v>8</c:v>
                </c:pt>
                <c:pt idx="127">
                  <c:v>7</c:v>
                </c:pt>
                <c:pt idx="128">
                  <c:v>8</c:v>
                </c:pt>
                <c:pt idx="129">
                  <c:v>7</c:v>
                </c:pt>
                <c:pt idx="130">
                  <c:v>6</c:v>
                </c:pt>
                <c:pt idx="131">
                  <c:v>10</c:v>
                </c:pt>
                <c:pt idx="132">
                  <c:v>10</c:v>
                </c:pt>
                <c:pt idx="133">
                  <c:v>10</c:v>
                </c:pt>
                <c:pt idx="134">
                  <c:v>9</c:v>
                </c:pt>
                <c:pt idx="135">
                  <c:v>10</c:v>
                </c:pt>
                <c:pt idx="136">
                  <c:v>10</c:v>
                </c:pt>
                <c:pt idx="137">
                  <c:v>5</c:v>
                </c:pt>
                <c:pt idx="138">
                  <c:v>8</c:v>
                </c:pt>
                <c:pt idx="139">
                  <c:v>10</c:v>
                </c:pt>
                <c:pt idx="140">
                  <c:v>7</c:v>
                </c:pt>
                <c:pt idx="141">
                  <c:v>3</c:v>
                </c:pt>
                <c:pt idx="142">
                  <c:v>7</c:v>
                </c:pt>
                <c:pt idx="143">
                  <c:v>8</c:v>
                </c:pt>
                <c:pt idx="144">
                  <c:v>6</c:v>
                </c:pt>
                <c:pt idx="145">
                  <c:v>2</c:v>
                </c:pt>
                <c:pt idx="146">
                  <c:v>10</c:v>
                </c:pt>
                <c:pt idx="147">
                  <c:v>0</c:v>
                </c:pt>
                <c:pt idx="148">
                  <c:v>10</c:v>
                </c:pt>
                <c:pt idx="149">
                  <c:v>7</c:v>
                </c:pt>
                <c:pt idx="150">
                  <c:v>0</c:v>
                </c:pt>
                <c:pt idx="151">
                  <c:v>3</c:v>
                </c:pt>
                <c:pt idx="152">
                  <c:v>8</c:v>
                </c:pt>
                <c:pt idx="153">
                  <c:v>10</c:v>
                </c:pt>
                <c:pt idx="154">
                  <c:v>8</c:v>
                </c:pt>
                <c:pt idx="155">
                  <c:v>6</c:v>
                </c:pt>
                <c:pt idx="156">
                  <c:v>10</c:v>
                </c:pt>
                <c:pt idx="157">
                  <c:v>8</c:v>
                </c:pt>
                <c:pt idx="158">
                  <c:v>9</c:v>
                </c:pt>
                <c:pt idx="159">
                  <c:v>10</c:v>
                </c:pt>
                <c:pt idx="160">
                  <c:v>8</c:v>
                </c:pt>
                <c:pt idx="161">
                  <c:v>8</c:v>
                </c:pt>
                <c:pt idx="162">
                  <c:v>6</c:v>
                </c:pt>
                <c:pt idx="163">
                  <c:v>6</c:v>
                </c:pt>
                <c:pt idx="164">
                  <c:v>4</c:v>
                </c:pt>
                <c:pt idx="165">
                  <c:v>9</c:v>
                </c:pt>
                <c:pt idx="166">
                  <c:v>5</c:v>
                </c:pt>
                <c:pt idx="167">
                  <c:v>10</c:v>
                </c:pt>
                <c:pt idx="168">
                  <c:v>7</c:v>
                </c:pt>
                <c:pt idx="169">
                  <c:v>5</c:v>
                </c:pt>
                <c:pt idx="170">
                  <c:v>7</c:v>
                </c:pt>
                <c:pt idx="171">
                  <c:v>7</c:v>
                </c:pt>
                <c:pt idx="172">
                  <c:v>9</c:v>
                </c:pt>
                <c:pt idx="173">
                  <c:v>9</c:v>
                </c:pt>
                <c:pt idx="174">
                  <c:v>0</c:v>
                </c:pt>
                <c:pt idx="175">
                  <c:v>8</c:v>
                </c:pt>
                <c:pt idx="176">
                  <c:v>10</c:v>
                </c:pt>
                <c:pt idx="177">
                  <c:v>8</c:v>
                </c:pt>
                <c:pt idx="178">
                  <c:v>6</c:v>
                </c:pt>
                <c:pt idx="179">
                  <c:v>9</c:v>
                </c:pt>
                <c:pt idx="180">
                  <c:v>10</c:v>
                </c:pt>
                <c:pt idx="181">
                  <c:v>5</c:v>
                </c:pt>
                <c:pt idx="182">
                  <c:v>1</c:v>
                </c:pt>
                <c:pt idx="183">
                  <c:v>8</c:v>
                </c:pt>
                <c:pt idx="184">
                  <c:v>8</c:v>
                </c:pt>
                <c:pt idx="185">
                  <c:v>8</c:v>
                </c:pt>
                <c:pt idx="186">
                  <c:v>8</c:v>
                </c:pt>
                <c:pt idx="187">
                  <c:v>8</c:v>
                </c:pt>
                <c:pt idx="188">
                  <c:v>8</c:v>
                </c:pt>
                <c:pt idx="189">
                  <c:v>8</c:v>
                </c:pt>
                <c:pt idx="190">
                  <c:v>9</c:v>
                </c:pt>
              </c:numCache>
            </c:numRef>
          </c:xVal>
          <c:yVal>
            <c:numRef>
              <c:f>Data!$D$3:$D$193</c:f>
              <c:numCache>
                <c:formatCode>General</c:formatCode>
                <c:ptCount val="191"/>
                <c:pt idx="0">
                  <c:v>7</c:v>
                </c:pt>
                <c:pt idx="1">
                  <c:v>9</c:v>
                </c:pt>
                <c:pt idx="2">
                  <c:v>7</c:v>
                </c:pt>
                <c:pt idx="3">
                  <c:v>10</c:v>
                </c:pt>
                <c:pt idx="4">
                  <c:v>7</c:v>
                </c:pt>
                <c:pt idx="5">
                  <c:v>7</c:v>
                </c:pt>
                <c:pt idx="6">
                  <c:v>8</c:v>
                </c:pt>
                <c:pt idx="7">
                  <c:v>10</c:v>
                </c:pt>
                <c:pt idx="8">
                  <c:v>7</c:v>
                </c:pt>
                <c:pt idx="9">
                  <c:v>8</c:v>
                </c:pt>
                <c:pt idx="10">
                  <c:v>7</c:v>
                </c:pt>
                <c:pt idx="11">
                  <c:v>0</c:v>
                </c:pt>
                <c:pt idx="12">
                  <c:v>8</c:v>
                </c:pt>
                <c:pt idx="13">
                  <c:v>9</c:v>
                </c:pt>
                <c:pt idx="14">
                  <c:v>0</c:v>
                </c:pt>
                <c:pt idx="15">
                  <c:v>9</c:v>
                </c:pt>
                <c:pt idx="16">
                  <c:v>8</c:v>
                </c:pt>
                <c:pt idx="17">
                  <c:v>7</c:v>
                </c:pt>
                <c:pt idx="18">
                  <c:v>9</c:v>
                </c:pt>
                <c:pt idx="19">
                  <c:v>8</c:v>
                </c:pt>
                <c:pt idx="20">
                  <c:v>5</c:v>
                </c:pt>
                <c:pt idx="21">
                  <c:v>10</c:v>
                </c:pt>
                <c:pt idx="22">
                  <c:v>7</c:v>
                </c:pt>
                <c:pt idx="23">
                  <c:v>1</c:v>
                </c:pt>
                <c:pt idx="24">
                  <c:v>8</c:v>
                </c:pt>
                <c:pt idx="25">
                  <c:v>9</c:v>
                </c:pt>
                <c:pt idx="26">
                  <c:v>8</c:v>
                </c:pt>
                <c:pt idx="27">
                  <c:v>10</c:v>
                </c:pt>
                <c:pt idx="28">
                  <c:v>10</c:v>
                </c:pt>
                <c:pt idx="29">
                  <c:v>9</c:v>
                </c:pt>
                <c:pt idx="30">
                  <c:v>1</c:v>
                </c:pt>
                <c:pt idx="31">
                  <c:v>8</c:v>
                </c:pt>
                <c:pt idx="32">
                  <c:v>8</c:v>
                </c:pt>
                <c:pt idx="33">
                  <c:v>7</c:v>
                </c:pt>
                <c:pt idx="34">
                  <c:v>10</c:v>
                </c:pt>
                <c:pt idx="35">
                  <c:v>6</c:v>
                </c:pt>
                <c:pt idx="36">
                  <c:v>4</c:v>
                </c:pt>
                <c:pt idx="37">
                  <c:v>5</c:v>
                </c:pt>
                <c:pt idx="38">
                  <c:v>9</c:v>
                </c:pt>
                <c:pt idx="39">
                  <c:v>7</c:v>
                </c:pt>
                <c:pt idx="40">
                  <c:v>9</c:v>
                </c:pt>
                <c:pt idx="41">
                  <c:v>10</c:v>
                </c:pt>
                <c:pt idx="42">
                  <c:v>5</c:v>
                </c:pt>
                <c:pt idx="43">
                  <c:v>9</c:v>
                </c:pt>
                <c:pt idx="44">
                  <c:v>8</c:v>
                </c:pt>
                <c:pt idx="45">
                  <c:v>8</c:v>
                </c:pt>
                <c:pt idx="46">
                  <c:v>10</c:v>
                </c:pt>
                <c:pt idx="47">
                  <c:v>8</c:v>
                </c:pt>
                <c:pt idx="48">
                  <c:v>9</c:v>
                </c:pt>
                <c:pt idx="49">
                  <c:v>9</c:v>
                </c:pt>
                <c:pt idx="50">
                  <c:v>10</c:v>
                </c:pt>
                <c:pt idx="51">
                  <c:v>10</c:v>
                </c:pt>
                <c:pt idx="52">
                  <c:v>3</c:v>
                </c:pt>
                <c:pt idx="53">
                  <c:v>8</c:v>
                </c:pt>
                <c:pt idx="54">
                  <c:v>8</c:v>
                </c:pt>
                <c:pt idx="55">
                  <c:v>9</c:v>
                </c:pt>
                <c:pt idx="56">
                  <c:v>5</c:v>
                </c:pt>
                <c:pt idx="57">
                  <c:v>9</c:v>
                </c:pt>
                <c:pt idx="58">
                  <c:v>7</c:v>
                </c:pt>
                <c:pt idx="59">
                  <c:v>8</c:v>
                </c:pt>
                <c:pt idx="60">
                  <c:v>3</c:v>
                </c:pt>
                <c:pt idx="61">
                  <c:v>9</c:v>
                </c:pt>
                <c:pt idx="62">
                  <c:v>5</c:v>
                </c:pt>
                <c:pt idx="63">
                  <c:v>7</c:v>
                </c:pt>
                <c:pt idx="64">
                  <c:v>8</c:v>
                </c:pt>
                <c:pt idx="65">
                  <c:v>3</c:v>
                </c:pt>
                <c:pt idx="66">
                  <c:v>5</c:v>
                </c:pt>
                <c:pt idx="67">
                  <c:v>8</c:v>
                </c:pt>
                <c:pt idx="68">
                  <c:v>8</c:v>
                </c:pt>
                <c:pt idx="69">
                  <c:v>3</c:v>
                </c:pt>
                <c:pt idx="70">
                  <c:v>8</c:v>
                </c:pt>
                <c:pt idx="71">
                  <c:v>10</c:v>
                </c:pt>
                <c:pt idx="72">
                  <c:v>5</c:v>
                </c:pt>
                <c:pt idx="73">
                  <c:v>6</c:v>
                </c:pt>
                <c:pt idx="74">
                  <c:v>9</c:v>
                </c:pt>
                <c:pt idx="75">
                  <c:v>5</c:v>
                </c:pt>
                <c:pt idx="76">
                  <c:v>10</c:v>
                </c:pt>
                <c:pt idx="77">
                  <c:v>2</c:v>
                </c:pt>
                <c:pt idx="78">
                  <c:v>7</c:v>
                </c:pt>
                <c:pt idx="79">
                  <c:v>9</c:v>
                </c:pt>
                <c:pt idx="80">
                  <c:v>7</c:v>
                </c:pt>
                <c:pt idx="81">
                  <c:v>8</c:v>
                </c:pt>
                <c:pt idx="82">
                  <c:v>9</c:v>
                </c:pt>
                <c:pt idx="83">
                  <c:v>6</c:v>
                </c:pt>
                <c:pt idx="84">
                  <c:v>8</c:v>
                </c:pt>
                <c:pt idx="85">
                  <c:v>10</c:v>
                </c:pt>
                <c:pt idx="86">
                  <c:v>3</c:v>
                </c:pt>
                <c:pt idx="87">
                  <c:v>9</c:v>
                </c:pt>
                <c:pt idx="88">
                  <c:v>10</c:v>
                </c:pt>
                <c:pt idx="89">
                  <c:v>8</c:v>
                </c:pt>
                <c:pt idx="90">
                  <c:v>9</c:v>
                </c:pt>
                <c:pt idx="91">
                  <c:v>8</c:v>
                </c:pt>
                <c:pt idx="92">
                  <c:v>7</c:v>
                </c:pt>
                <c:pt idx="93">
                  <c:v>10</c:v>
                </c:pt>
                <c:pt idx="94">
                  <c:v>8</c:v>
                </c:pt>
                <c:pt idx="95">
                  <c:v>4</c:v>
                </c:pt>
                <c:pt idx="96">
                  <c:v>7</c:v>
                </c:pt>
                <c:pt idx="97">
                  <c:v>5</c:v>
                </c:pt>
                <c:pt idx="98">
                  <c:v>10</c:v>
                </c:pt>
                <c:pt idx="99">
                  <c:v>1</c:v>
                </c:pt>
                <c:pt idx="100">
                  <c:v>9</c:v>
                </c:pt>
                <c:pt idx="101">
                  <c:v>5</c:v>
                </c:pt>
                <c:pt idx="102">
                  <c:v>10</c:v>
                </c:pt>
                <c:pt idx="103">
                  <c:v>7</c:v>
                </c:pt>
                <c:pt idx="104">
                  <c:v>8</c:v>
                </c:pt>
                <c:pt idx="105">
                  <c:v>5</c:v>
                </c:pt>
                <c:pt idx="106">
                  <c:v>10</c:v>
                </c:pt>
                <c:pt idx="107">
                  <c:v>10</c:v>
                </c:pt>
                <c:pt idx="108">
                  <c:v>9</c:v>
                </c:pt>
                <c:pt idx="109">
                  <c:v>0</c:v>
                </c:pt>
                <c:pt idx="110">
                  <c:v>8</c:v>
                </c:pt>
                <c:pt idx="111">
                  <c:v>9</c:v>
                </c:pt>
                <c:pt idx="112">
                  <c:v>0</c:v>
                </c:pt>
                <c:pt idx="113">
                  <c:v>5</c:v>
                </c:pt>
                <c:pt idx="114">
                  <c:v>5</c:v>
                </c:pt>
                <c:pt idx="115">
                  <c:v>7</c:v>
                </c:pt>
                <c:pt idx="116">
                  <c:v>9</c:v>
                </c:pt>
                <c:pt idx="117">
                  <c:v>7</c:v>
                </c:pt>
                <c:pt idx="118">
                  <c:v>10</c:v>
                </c:pt>
                <c:pt idx="119">
                  <c:v>8</c:v>
                </c:pt>
                <c:pt idx="120">
                  <c:v>8</c:v>
                </c:pt>
                <c:pt idx="121">
                  <c:v>6</c:v>
                </c:pt>
                <c:pt idx="122">
                  <c:v>7</c:v>
                </c:pt>
                <c:pt idx="123">
                  <c:v>8</c:v>
                </c:pt>
                <c:pt idx="124">
                  <c:v>9</c:v>
                </c:pt>
                <c:pt idx="125">
                  <c:v>1</c:v>
                </c:pt>
                <c:pt idx="126">
                  <c:v>8</c:v>
                </c:pt>
                <c:pt idx="127">
                  <c:v>6</c:v>
                </c:pt>
                <c:pt idx="128">
                  <c:v>7</c:v>
                </c:pt>
                <c:pt idx="129">
                  <c:v>8</c:v>
                </c:pt>
                <c:pt idx="130">
                  <c:v>6</c:v>
                </c:pt>
                <c:pt idx="131">
                  <c:v>10</c:v>
                </c:pt>
                <c:pt idx="132">
                  <c:v>10</c:v>
                </c:pt>
                <c:pt idx="133">
                  <c:v>10</c:v>
                </c:pt>
                <c:pt idx="134">
                  <c:v>5</c:v>
                </c:pt>
                <c:pt idx="135">
                  <c:v>9</c:v>
                </c:pt>
                <c:pt idx="136">
                  <c:v>9</c:v>
                </c:pt>
                <c:pt idx="137">
                  <c:v>2</c:v>
                </c:pt>
                <c:pt idx="138">
                  <c:v>8</c:v>
                </c:pt>
                <c:pt idx="139">
                  <c:v>10</c:v>
                </c:pt>
                <c:pt idx="140">
                  <c:v>6</c:v>
                </c:pt>
                <c:pt idx="141">
                  <c:v>4</c:v>
                </c:pt>
                <c:pt idx="142">
                  <c:v>7</c:v>
                </c:pt>
                <c:pt idx="143">
                  <c:v>8</c:v>
                </c:pt>
                <c:pt idx="144">
                  <c:v>5</c:v>
                </c:pt>
                <c:pt idx="145">
                  <c:v>2</c:v>
                </c:pt>
                <c:pt idx="146">
                  <c:v>10</c:v>
                </c:pt>
                <c:pt idx="147">
                  <c:v>0</c:v>
                </c:pt>
                <c:pt idx="148">
                  <c:v>9</c:v>
                </c:pt>
                <c:pt idx="149">
                  <c:v>0</c:v>
                </c:pt>
                <c:pt idx="150">
                  <c:v>0</c:v>
                </c:pt>
                <c:pt idx="151">
                  <c:v>4</c:v>
                </c:pt>
                <c:pt idx="152">
                  <c:v>8</c:v>
                </c:pt>
                <c:pt idx="153">
                  <c:v>10</c:v>
                </c:pt>
                <c:pt idx="154">
                  <c:v>8</c:v>
                </c:pt>
                <c:pt idx="155">
                  <c:v>6</c:v>
                </c:pt>
                <c:pt idx="156">
                  <c:v>8</c:v>
                </c:pt>
                <c:pt idx="157">
                  <c:v>8</c:v>
                </c:pt>
                <c:pt idx="158">
                  <c:v>8</c:v>
                </c:pt>
                <c:pt idx="159">
                  <c:v>9</c:v>
                </c:pt>
                <c:pt idx="160">
                  <c:v>8</c:v>
                </c:pt>
                <c:pt idx="161">
                  <c:v>7</c:v>
                </c:pt>
                <c:pt idx="162">
                  <c:v>5</c:v>
                </c:pt>
                <c:pt idx="163">
                  <c:v>5</c:v>
                </c:pt>
                <c:pt idx="164">
                  <c:v>4</c:v>
                </c:pt>
                <c:pt idx="165">
                  <c:v>9</c:v>
                </c:pt>
                <c:pt idx="166">
                  <c:v>0</c:v>
                </c:pt>
                <c:pt idx="167">
                  <c:v>10</c:v>
                </c:pt>
                <c:pt idx="168">
                  <c:v>7</c:v>
                </c:pt>
                <c:pt idx="169">
                  <c:v>5</c:v>
                </c:pt>
                <c:pt idx="170">
                  <c:v>7</c:v>
                </c:pt>
                <c:pt idx="171">
                  <c:v>7</c:v>
                </c:pt>
                <c:pt idx="172">
                  <c:v>8</c:v>
                </c:pt>
                <c:pt idx="173">
                  <c:v>9</c:v>
                </c:pt>
                <c:pt idx="174">
                  <c:v>0</c:v>
                </c:pt>
                <c:pt idx="175">
                  <c:v>8</c:v>
                </c:pt>
                <c:pt idx="176">
                  <c:v>10</c:v>
                </c:pt>
                <c:pt idx="177">
                  <c:v>7</c:v>
                </c:pt>
                <c:pt idx="178">
                  <c:v>6</c:v>
                </c:pt>
                <c:pt idx="179">
                  <c:v>9</c:v>
                </c:pt>
                <c:pt idx="180">
                  <c:v>10</c:v>
                </c:pt>
                <c:pt idx="181">
                  <c:v>5</c:v>
                </c:pt>
                <c:pt idx="182">
                  <c:v>0</c:v>
                </c:pt>
                <c:pt idx="183">
                  <c:v>8</c:v>
                </c:pt>
                <c:pt idx="184">
                  <c:v>7</c:v>
                </c:pt>
                <c:pt idx="185">
                  <c:v>8</c:v>
                </c:pt>
                <c:pt idx="186">
                  <c:v>8</c:v>
                </c:pt>
                <c:pt idx="187">
                  <c:v>8</c:v>
                </c:pt>
                <c:pt idx="188">
                  <c:v>7</c:v>
                </c:pt>
                <c:pt idx="189">
                  <c:v>8</c:v>
                </c:pt>
                <c:pt idx="190">
                  <c:v>7</c:v>
                </c:pt>
              </c:numCache>
            </c:numRef>
          </c:yVal>
          <c:smooth val="0"/>
          <c:extLst>
            <c:ext xmlns:c16="http://schemas.microsoft.com/office/drawing/2014/chart" uri="{C3380CC4-5D6E-409C-BE32-E72D297353CC}">
              <c16:uniqueId val="{00000000-5E4F-4E3D-B64B-737F4049A59E}"/>
            </c:ext>
          </c:extLst>
        </c:ser>
        <c:dLbls>
          <c:showLegendKey val="0"/>
          <c:showVal val="0"/>
          <c:showCatName val="0"/>
          <c:showSerName val="0"/>
          <c:showPercent val="0"/>
          <c:showBubbleSize val="0"/>
        </c:dLbls>
        <c:axId val="543472368"/>
        <c:axId val="543468624"/>
      </c:scatterChart>
      <c:valAx>
        <c:axId val="54347236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468624"/>
        <c:crosses val="autoZero"/>
        <c:crossBetween val="midCat"/>
      </c:valAx>
      <c:valAx>
        <c:axId val="543468624"/>
        <c:scaling>
          <c:orientation val="minMax"/>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472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AU">
                <a:latin typeface="Calibri" panose="020F0502020204030204" pitchFamily="34" charset="0"/>
                <a:cs typeface="Calibri" panose="020F0502020204030204" pitchFamily="34" charset="0"/>
              </a:rPr>
              <a:t>Customer Satisfaction by Bank</a:t>
            </a:r>
            <a:r>
              <a:rPr lang="en-AU" baseline="0">
                <a:latin typeface="Calibri" panose="020F0502020204030204" pitchFamily="34" charset="0"/>
                <a:cs typeface="Calibri" panose="020F0502020204030204" pitchFamily="34" charset="0"/>
              </a:rPr>
              <a:t> Change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lotArea>
      <c:layout/>
      <c:barChart>
        <c:barDir val="col"/>
        <c:grouping val="clustered"/>
        <c:varyColors val="0"/>
        <c:ser>
          <c:idx val="4"/>
          <c:order val="0"/>
          <c:tx>
            <c:strRef>
              <c:f>Data!$K$38</c:f>
              <c:strCache>
                <c:ptCount val="1"/>
                <c:pt idx="0">
                  <c:v>Change Bank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Data!$I$39:$I$41</c:f>
              <c:strCache>
                <c:ptCount val="3"/>
                <c:pt idx="0">
                  <c:v>High S (8-10)</c:v>
                </c:pt>
                <c:pt idx="1">
                  <c:v>Med S (5-7)</c:v>
                </c:pt>
                <c:pt idx="2">
                  <c:v>Low S (0-4)</c:v>
                </c:pt>
              </c:strCache>
            </c:strRef>
          </c:cat>
          <c:val>
            <c:numRef>
              <c:f>Data!$K$39:$K$41</c:f>
              <c:numCache>
                <c:formatCode>0%</c:formatCode>
                <c:ptCount val="3"/>
                <c:pt idx="0">
                  <c:v>0.11811023622047244</c:v>
                </c:pt>
                <c:pt idx="1">
                  <c:v>0.45652173913043476</c:v>
                </c:pt>
                <c:pt idx="2">
                  <c:v>0.12598425196850394</c:v>
                </c:pt>
              </c:numCache>
            </c:numRef>
          </c:val>
          <c:extLst>
            <c:ext xmlns:c16="http://schemas.microsoft.com/office/drawing/2014/chart" uri="{C3380CC4-5D6E-409C-BE32-E72D297353CC}">
              <c16:uniqueId val="{00000000-2346-4CA2-970E-04181200E17E}"/>
            </c:ext>
          </c:extLst>
        </c:ser>
        <c:ser>
          <c:idx val="5"/>
          <c:order val="1"/>
          <c:tx>
            <c:strRef>
              <c:f>Data!$L$38</c:f>
              <c:strCache>
                <c:ptCount val="1"/>
                <c:pt idx="0">
                  <c:v>Stay With Bank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Data!$I$39:$I$41</c:f>
              <c:strCache>
                <c:ptCount val="3"/>
                <c:pt idx="0">
                  <c:v>High S (8-10)</c:v>
                </c:pt>
                <c:pt idx="1">
                  <c:v>Med S (5-7)</c:v>
                </c:pt>
                <c:pt idx="2">
                  <c:v>Low S (0-4)</c:v>
                </c:pt>
              </c:strCache>
            </c:strRef>
          </c:cat>
          <c:val>
            <c:numRef>
              <c:f>Data!$L$39:$L$41</c:f>
              <c:numCache>
                <c:formatCode>0%</c:formatCode>
                <c:ptCount val="3"/>
                <c:pt idx="0">
                  <c:v>0.88188976377952755</c:v>
                </c:pt>
                <c:pt idx="1">
                  <c:v>0.54347826086956519</c:v>
                </c:pt>
                <c:pt idx="2">
                  <c:v>1.5748031496062992E-2</c:v>
                </c:pt>
              </c:numCache>
            </c:numRef>
          </c:val>
          <c:extLst>
            <c:ext xmlns:c16="http://schemas.microsoft.com/office/drawing/2014/chart" uri="{C3380CC4-5D6E-409C-BE32-E72D297353CC}">
              <c16:uniqueId val="{00000001-2346-4CA2-970E-04181200E17E}"/>
            </c:ext>
          </c:extLst>
        </c:ser>
        <c:dLbls>
          <c:dLblPos val="outEnd"/>
          <c:showLegendKey val="0"/>
          <c:showVal val="1"/>
          <c:showCatName val="0"/>
          <c:showSerName val="0"/>
          <c:showPercent val="0"/>
          <c:showBubbleSize val="0"/>
        </c:dLbls>
        <c:gapWidth val="219"/>
        <c:overlap val="-27"/>
        <c:axId val="556232223"/>
        <c:axId val="556229311"/>
      </c:barChart>
      <c:catAx>
        <c:axId val="55623222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556229311"/>
        <c:crosses val="autoZero"/>
        <c:auto val="1"/>
        <c:lblAlgn val="ctr"/>
        <c:lblOffset val="100"/>
        <c:noMultiLvlLbl val="0"/>
      </c:catAx>
      <c:valAx>
        <c:axId val="556229311"/>
        <c:scaling>
          <c:orientation val="minMax"/>
        </c:scaling>
        <c:delete val="1"/>
        <c:axPos val="l"/>
        <c:numFmt formatCode="0%" sourceLinked="1"/>
        <c:majorTickMark val="none"/>
        <c:minorTickMark val="none"/>
        <c:tickLblPos val="nextTo"/>
        <c:crossAx val="55623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AU">
                <a:latin typeface="Calibri" panose="020F0502020204030204" pitchFamily="34" charset="0"/>
                <a:cs typeface="Calibri" panose="020F0502020204030204" pitchFamily="34" charset="0"/>
              </a:rPr>
              <a:t>NPS by Bank</a:t>
            </a:r>
            <a:r>
              <a:rPr lang="en-AU" baseline="0">
                <a:latin typeface="Calibri" panose="020F0502020204030204" pitchFamily="34" charset="0"/>
                <a:cs typeface="Calibri" panose="020F0502020204030204" pitchFamily="34" charset="0"/>
              </a:rPr>
              <a:t> Change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autoTitleDeleted val="0"/>
    <c:plotArea>
      <c:layout/>
      <c:barChart>
        <c:barDir val="col"/>
        <c:grouping val="clustered"/>
        <c:varyColors val="0"/>
        <c:ser>
          <c:idx val="1"/>
          <c:order val="1"/>
          <c:tx>
            <c:strRef>
              <c:f>Data!$K$46</c:f>
              <c:strCache>
                <c:ptCount val="1"/>
                <c:pt idx="0">
                  <c:v>Change Bank</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Data!$I$47:$I$49</c:f>
              <c:strCache>
                <c:ptCount val="3"/>
                <c:pt idx="0">
                  <c:v>Promoters</c:v>
                </c:pt>
                <c:pt idx="1">
                  <c:v>Passives</c:v>
                </c:pt>
                <c:pt idx="2">
                  <c:v>Detractors</c:v>
                </c:pt>
              </c:strCache>
            </c:strRef>
          </c:cat>
          <c:val>
            <c:numRef>
              <c:f>Data!$K$47:$K$49</c:f>
              <c:numCache>
                <c:formatCode>0%</c:formatCode>
                <c:ptCount val="3"/>
                <c:pt idx="0">
                  <c:v>8.3333333333333329E-2</c:v>
                </c:pt>
                <c:pt idx="1">
                  <c:v>0.21052631578947367</c:v>
                </c:pt>
                <c:pt idx="2">
                  <c:v>0.5636363636363636</c:v>
                </c:pt>
              </c:numCache>
            </c:numRef>
          </c:val>
          <c:extLst>
            <c:ext xmlns:c16="http://schemas.microsoft.com/office/drawing/2014/chart" uri="{C3380CC4-5D6E-409C-BE32-E72D297353CC}">
              <c16:uniqueId val="{00000000-E6FA-4EF4-86D2-68A815D56891}"/>
            </c:ext>
          </c:extLst>
        </c:ser>
        <c:ser>
          <c:idx val="2"/>
          <c:order val="2"/>
          <c:tx>
            <c:strRef>
              <c:f>Data!$L$46</c:f>
              <c:strCache>
                <c:ptCount val="1"/>
                <c:pt idx="0">
                  <c:v>Stay With Bank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Data!$I$47:$I$49</c:f>
              <c:strCache>
                <c:ptCount val="3"/>
                <c:pt idx="0">
                  <c:v>Promoters</c:v>
                </c:pt>
                <c:pt idx="1">
                  <c:v>Passives</c:v>
                </c:pt>
                <c:pt idx="2">
                  <c:v>Detractors</c:v>
                </c:pt>
              </c:strCache>
            </c:strRef>
          </c:cat>
          <c:val>
            <c:numRef>
              <c:f>Data!$L$47:$L$49</c:f>
              <c:numCache>
                <c:formatCode>0%</c:formatCode>
                <c:ptCount val="3"/>
                <c:pt idx="0">
                  <c:v>0.91666666666666663</c:v>
                </c:pt>
                <c:pt idx="1">
                  <c:v>0.78947368421052633</c:v>
                </c:pt>
                <c:pt idx="2">
                  <c:v>0.43636363636363634</c:v>
                </c:pt>
              </c:numCache>
            </c:numRef>
          </c:val>
          <c:extLst>
            <c:ext xmlns:c16="http://schemas.microsoft.com/office/drawing/2014/chart" uri="{C3380CC4-5D6E-409C-BE32-E72D297353CC}">
              <c16:uniqueId val="{00000001-E6FA-4EF4-86D2-68A815D56891}"/>
            </c:ext>
          </c:extLst>
        </c:ser>
        <c:dLbls>
          <c:dLblPos val="outEnd"/>
          <c:showLegendKey val="0"/>
          <c:showVal val="1"/>
          <c:showCatName val="0"/>
          <c:showSerName val="0"/>
          <c:showPercent val="0"/>
          <c:showBubbleSize val="0"/>
        </c:dLbls>
        <c:gapWidth val="219"/>
        <c:overlap val="-27"/>
        <c:axId val="556232223"/>
        <c:axId val="556229311"/>
        <c:extLst>
          <c:ext xmlns:c15="http://schemas.microsoft.com/office/drawing/2012/chart" uri="{02D57815-91ED-43cb-92C2-25804820EDAC}">
            <c15:filteredBarSeries>
              <c15:ser>
                <c:idx val="0"/>
                <c:order val="0"/>
                <c:tx>
                  <c:strRef>
                    <c:extLst>
                      <c:ext uri="{02D57815-91ED-43cb-92C2-25804820EDAC}">
                        <c15:formulaRef>
                          <c15:sqref>Data!$J$46</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Data!$I$47:$I$49</c15:sqref>
                        </c15:formulaRef>
                      </c:ext>
                    </c:extLst>
                    <c:strCache>
                      <c:ptCount val="3"/>
                      <c:pt idx="0">
                        <c:v>Promoters</c:v>
                      </c:pt>
                      <c:pt idx="1">
                        <c:v>Passives</c:v>
                      </c:pt>
                      <c:pt idx="2">
                        <c:v>Detractors</c:v>
                      </c:pt>
                    </c:strCache>
                  </c:strRef>
                </c:cat>
                <c:val>
                  <c:numRef>
                    <c:extLst>
                      <c:ext uri="{02D57815-91ED-43cb-92C2-25804820EDAC}">
                        <c15:formulaRef>
                          <c15:sqref>Data!$J$47:$J$49</c15:sqref>
                        </c15:formulaRef>
                      </c:ext>
                    </c:extLst>
                    <c:numCache>
                      <c:formatCode>General</c:formatCode>
                      <c:ptCount val="3"/>
                      <c:pt idx="0">
                        <c:v>60</c:v>
                      </c:pt>
                      <c:pt idx="1">
                        <c:v>76</c:v>
                      </c:pt>
                      <c:pt idx="2">
                        <c:v>55</c:v>
                      </c:pt>
                    </c:numCache>
                  </c:numRef>
                </c:val>
                <c:extLst>
                  <c:ext xmlns:c16="http://schemas.microsoft.com/office/drawing/2014/chart" uri="{C3380CC4-5D6E-409C-BE32-E72D297353CC}">
                    <c16:uniqueId val="{00000002-E6FA-4EF4-86D2-68A815D56891}"/>
                  </c:ext>
                </c:extLst>
              </c15:ser>
            </c15:filteredBarSeries>
          </c:ext>
        </c:extLst>
      </c:barChart>
      <c:catAx>
        <c:axId val="55623222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556229311"/>
        <c:crosses val="autoZero"/>
        <c:auto val="1"/>
        <c:lblAlgn val="ctr"/>
        <c:lblOffset val="100"/>
        <c:noMultiLvlLbl val="0"/>
      </c:catAx>
      <c:valAx>
        <c:axId val="556229311"/>
        <c:scaling>
          <c:orientation val="minMax"/>
        </c:scaling>
        <c:delete val="1"/>
        <c:axPos val="l"/>
        <c:numFmt formatCode="0%" sourceLinked="1"/>
        <c:majorTickMark val="none"/>
        <c:minorTickMark val="none"/>
        <c:tickLblPos val="nextTo"/>
        <c:crossAx val="55623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CDB264-B784-4C9D-8FD9-7D0293C84584}">
  <ds:schemaRefs>
    <ds:schemaRef ds:uri="http://schemas.microsoft.com/sharepoint/v3/contenttype/forms"/>
  </ds:schemaRefs>
</ds:datastoreItem>
</file>

<file path=customXml/itemProps2.xml><?xml version="1.0" encoding="utf-8"?>
<ds:datastoreItem xmlns:ds="http://schemas.openxmlformats.org/officeDocument/2006/customXml" ds:itemID="{F432FFC6-152B-4A21-AC91-833EAEFA7CA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943A144-C288-40E8-B2C5-93074B4A3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ARIVALAGAN</dc:creator>
  <cp:keywords/>
  <dc:description/>
  <cp:lastModifiedBy>Mirna Arivalagan</cp:lastModifiedBy>
  <cp:revision>3</cp:revision>
  <dcterms:created xsi:type="dcterms:W3CDTF">2020-12-10T08:41:00Z</dcterms:created>
  <dcterms:modified xsi:type="dcterms:W3CDTF">2020-12-10T08:42:00Z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