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_rels/document.xml.rels" ContentType="application/vnd.openxmlformats-package.relationships+xml"/>
  <Override PartName="/word/comments.xml" ContentType="application/vnd.openxmlformats-officedocument.wordprocessingml.comments+xml"/>
  <Override PartName="/word/footnotes.xml" ContentType="application/vnd.openxmlformats-officedocument.wordprocessingml.footnot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Análisis comparativo de los factores socioeconómicos que se piensa afectaron el exceso de mortalidad por COVID-19 en México y el mundo.</w:t>
      </w:r>
    </w:p>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¿Qué factor socioeconómico afectó el exceso de mortalidad por COVID-19 en México y el mundo?</w:t>
      </w:r>
    </w:p>
    <w:p>
      <w:pPr>
        <w:pStyle w:val="normal1"/>
        <w:spacing w:lineRule="auto" w:line="312"/>
        <w:rPr>
          <w:rFonts w:ascii="Arial" w:hAnsi="Arial" w:eastAsia="Arial" w:cs="Arial"/>
          <w:b/>
          <w:i/>
          <w:i/>
          <w:sz w:val="22"/>
          <w:szCs w:val="22"/>
        </w:rPr>
      </w:pPr>
      <w:r>
        <w:rPr>
          <w:rFonts w:eastAsia="Arial" w:cs="Arial" w:ascii="Arial" w:hAnsi="Arial"/>
          <w:b/>
          <w:i/>
          <w:sz w:val="22"/>
          <w:szCs w:val="22"/>
        </w:rPr>
      </w:r>
    </w:p>
    <w:p>
      <w:pPr>
        <w:pStyle w:val="normal1"/>
        <w:spacing w:lineRule="auto" w:line="312"/>
        <w:jc w:val="center"/>
        <w:rPr>
          <w:rFonts w:ascii="Arial" w:hAnsi="Arial" w:eastAsia="Arial" w:cs="Arial"/>
          <w:b/>
          <w:color w:val="000000"/>
          <w:sz w:val="22"/>
          <w:szCs w:val="22"/>
        </w:rPr>
      </w:pPr>
      <w:r>
        <w:rPr>
          <w:rFonts w:eastAsia="Arial" w:cs="Arial" w:ascii="Arial" w:hAnsi="Arial"/>
          <w:b/>
          <w:sz w:val="22"/>
          <w:szCs w:val="22"/>
        </w:rPr>
        <w:t>Análisis comparativo entre países, la gobernanza como variable principal</w:t>
      </w:r>
    </w:p>
    <w:p>
      <w:pPr>
        <w:pStyle w:val="normal1"/>
        <w:spacing w:lineRule="auto" w:line="312"/>
        <w:ind w:hanging="0" w:left="720"/>
        <w:rPr>
          <w:rFonts w:ascii="Arial" w:hAnsi="Arial" w:eastAsia="Arial" w:cs="Arial"/>
          <w:sz w:val="22"/>
          <w:szCs w:val="22"/>
        </w:rPr>
      </w:pPr>
      <w:r>
        <w:rPr>
          <w:rFonts w:eastAsia="Arial" w:cs="Arial" w:ascii="Arial" w:hAnsi="Arial"/>
          <w:sz w:val="22"/>
          <w:szCs w:val="22"/>
        </w:rPr>
      </w:r>
    </w:p>
    <w:p>
      <w:pPr>
        <w:pStyle w:val="normal1"/>
        <w:numPr>
          <w:ilvl w:val="0"/>
          <w:numId w:val="3"/>
        </w:numPr>
        <w:spacing w:lineRule="auto" w:line="312"/>
        <w:ind w:hanging="360" w:left="720"/>
        <w:rPr>
          <w:rFonts w:ascii="Arial" w:hAnsi="Arial" w:eastAsia="Arial" w:cs="Arial"/>
          <w:b/>
          <w:sz w:val="22"/>
          <w:szCs w:val="22"/>
        </w:rPr>
      </w:pPr>
      <w:r>
        <w:rPr>
          <w:rFonts w:eastAsia="Arial" w:cs="Arial" w:ascii="Arial" w:hAnsi="Arial"/>
          <w:b/>
          <w:sz w:val="22"/>
          <w:szCs w:val="22"/>
        </w:rPr>
        <w:t>Introducción</w:t>
      </w:r>
    </w:p>
    <w:p>
      <w:pPr>
        <w:pStyle w:val="normal1"/>
        <w:spacing w:lineRule="auto" w:line="312"/>
        <w:jc w:val="both"/>
        <w:rPr>
          <w:rFonts w:ascii="Arial" w:hAnsi="Arial" w:eastAsia="Arial" w:cs="Arial"/>
          <w:sz w:val="22"/>
          <w:szCs w:val="22"/>
        </w:rPr>
      </w:pPr>
      <w:r>
        <w:rPr>
          <w:rFonts w:eastAsia="Arial" w:cs="Arial" w:ascii="Arial" w:hAnsi="Arial"/>
          <w:sz w:val="22"/>
          <w:szCs w:val="22"/>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i/>
          <w:sz w:val="22"/>
          <w:szCs w:val="22"/>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sz w:val="22"/>
          <w:szCs w:val="22"/>
        </w:rPr>
        <w:t xml:space="preserve"> (Weiss &amp; Thakur, 2007); mientras que existen otros más sucintos, tales como: </w:t>
      </w:r>
      <w:r>
        <w:rPr>
          <w:rFonts w:eastAsia="Arial" w:cs="Arial" w:ascii="Arial" w:hAnsi="Arial"/>
          <w:i/>
          <w:sz w:val="22"/>
          <w:szCs w:val="22"/>
        </w:rPr>
        <w:t xml:space="preserve"> la gobernanza es el ejercicio del poder político para gestionar los asuntos de una nación </w:t>
      </w:r>
      <w:r>
        <w:rPr>
          <w:rFonts w:eastAsia="Arial" w:cs="Arial" w:ascii="Arial" w:hAnsi="Arial"/>
          <w:sz w:val="22"/>
          <w:szCs w:val="22"/>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i/>
          <w:sz w:val="22"/>
          <w:szCs w:val="22"/>
        </w:rPr>
        <w:t>buena gobernanza es el factor más importante para erradicar la pobreza y promover el desarrollo.</w:t>
      </w:r>
      <w:r>
        <w:rPr>
          <w:rFonts w:eastAsia="Arial" w:cs="Arial" w:ascii="Arial" w:hAnsi="Arial"/>
          <w:sz w:val="22"/>
          <w:szCs w:val="22"/>
        </w:rPr>
        <w:t xml:space="preserve"> (Kofi Annan, 1998; citado en Rotberg y West, 2004)</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Tradiciones e instituciones mediante las cuales se ejerce la autoridad en un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país. Esto incluye (a) el proceso por el cual los gobiernos son seleccionados,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monitoreados y reemplazados; (b) la capacidad del gobierno para formular e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implementar políticas acertadas de manera eficaz; y (c) el respeto de los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ciudadanos y del Estado por las instituciones que gobiernan las interacciones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económicas y sociales entre ellos”.</w:t>
      </w:r>
      <w:r>
        <w:rPr>
          <w:rStyle w:val="FootnoteReference"/>
          <w:rFonts w:eastAsia="Arial" w:cs="Arial" w:ascii="Arial" w:hAnsi="Arial"/>
          <w:color w:val="201F1E"/>
          <w:sz w:val="22"/>
          <w:szCs w:val="22"/>
          <w:vertAlign w:val="superscript"/>
        </w:rPr>
        <w:footnoteReference w:id="2"/>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DESCRIPCIÓN DE LA COVID-19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 </w:t>
      </w:r>
    </w:p>
    <w:p>
      <w:pPr>
        <w:pStyle w:val="normal1"/>
        <w:spacing w:lineRule="auto" w:line="312"/>
        <w:jc w:val="both"/>
        <w:rPr>
          <w:rFonts w:ascii="Arial" w:hAnsi="Arial" w:eastAsia="Arial" w:cs="Arial"/>
          <w:sz w:val="22"/>
          <w:szCs w:val="22"/>
        </w:rPr>
      </w:pPr>
      <w:r>
        <w:rPr>
          <w:rFonts w:eastAsia="Arial" w:cs="Arial" w:ascii="Arial" w:hAnsi="Arial"/>
          <w:sz w:val="22"/>
          <w:szCs w:val="22"/>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 Marco Teórico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 xml:space="preserve">DEFINICIÓN O DEFINICIONES DE SALUD, Y ELEGIR LA QUE CONCIERNE A ESTE TRABAJO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rPr>
          <w:rFonts w:ascii="Arial" w:hAnsi="Arial" w:eastAsia="Arial" w:cs="Arial"/>
          <w:b/>
          <w:sz w:val="22"/>
          <w:szCs w:val="22"/>
        </w:rPr>
      </w:pPr>
      <w:r>
        <w:rPr>
          <w:rFonts w:eastAsia="Arial" w:cs="Arial" w:ascii="Arial" w:hAnsi="Arial"/>
          <w:b/>
          <w:sz w:val="22"/>
          <w:szCs w:val="22"/>
        </w:rPr>
        <w:tab/>
        <w:t>II.I Definición de crisis y sus desafíos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II.II Gobernanza de la Salud</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Gobernanza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El concepto de gobernanza remonta a los años a.C. El Arthashastra (sánscrito: </w:t>
      </w:r>
      <w:r>
        <w:rPr>
          <w:rFonts w:ascii="Arial" w:hAnsi="Arial" w:eastAsia="Arial" w:cs="Arial"/>
          <w:sz w:val="22"/>
          <w:sz w:val="22"/>
          <w:szCs w:val="22"/>
        </w:rPr>
        <w:t>अर्थशास्त्रम्</w:t>
      </w:r>
      <w:r>
        <w:rPr>
          <w:rFonts w:eastAsia="Arial" w:cs="Arial" w:ascii="Arial" w:hAnsi="Arial"/>
          <w:sz w:val="22"/>
          <w:szCs w:val="22"/>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La palabra </w:t>
      </w:r>
      <w:r>
        <w:rPr>
          <w:rFonts w:eastAsia="Arial" w:cs="Arial" w:ascii="Arial" w:hAnsi="Arial"/>
          <w:i/>
          <w:sz w:val="22"/>
          <w:szCs w:val="22"/>
        </w:rPr>
        <w:t>gobernanza</w:t>
      </w:r>
      <w:r>
        <w:rPr>
          <w:rFonts w:eastAsia="Arial" w:cs="Arial" w:ascii="Arial" w:hAnsi="Arial"/>
          <w:sz w:val="22"/>
          <w:szCs w:val="22"/>
        </w:rPr>
        <w:t xml:space="preserve"> tiene sus raíces en varios idiomas. La palabra griega </w:t>
      </w:r>
      <w:r>
        <w:rPr>
          <w:rFonts w:eastAsia="Arial" w:cs="Arial" w:ascii="Arial" w:hAnsi="Arial"/>
          <w:i/>
          <w:sz w:val="22"/>
          <w:szCs w:val="22"/>
        </w:rPr>
        <w:t xml:space="preserve">“kubernan” </w:t>
      </w:r>
      <w:r>
        <w:rPr>
          <w:rFonts w:eastAsia="Arial" w:cs="Arial" w:ascii="Arial" w:hAnsi="Arial"/>
          <w:sz w:val="22"/>
          <w:szCs w:val="22"/>
        </w:rPr>
        <w:t> que significa dirigir, la palabra latina “gubernare” que significa dirigir o gobernar, la antigua palabra francesa “</w:t>
      </w:r>
      <w:r>
        <w:rPr>
          <w:rFonts w:eastAsia="Arial" w:cs="Arial" w:ascii="Arial" w:hAnsi="Arial"/>
          <w:i/>
          <w:sz w:val="22"/>
          <w:szCs w:val="22"/>
        </w:rPr>
        <w:t>governer</w:t>
      </w:r>
      <w:r>
        <w:rPr>
          <w:rFonts w:eastAsia="Arial" w:cs="Arial" w:ascii="Arial" w:hAnsi="Arial"/>
          <w:sz w:val="22"/>
          <w:szCs w:val="22"/>
        </w:rPr>
        <w:t>” o “</w:t>
      </w:r>
      <w:r>
        <w:rPr>
          <w:rFonts w:eastAsia="Arial" w:cs="Arial" w:ascii="Arial" w:hAnsi="Arial"/>
          <w:i/>
          <w:sz w:val="22"/>
          <w:szCs w:val="22"/>
        </w:rPr>
        <w:t>gouvernance</w:t>
      </w:r>
      <w:r>
        <w:rPr>
          <w:rFonts w:eastAsia="Arial" w:cs="Arial" w:ascii="Arial" w:hAnsi="Arial"/>
          <w:sz w:val="22"/>
          <w:szCs w:val="22"/>
        </w:rPr>
        <w:t>” es una palabra antigua que usó por primera vez Carlos de Orleáns en el siglo XV y que describe el arte de gobernar. La palabra “</w:t>
      </w:r>
      <w:r>
        <w:rPr>
          <w:rFonts w:eastAsia="Arial" w:cs="Arial" w:ascii="Arial" w:hAnsi="Arial"/>
          <w:i/>
          <w:sz w:val="22"/>
          <w:szCs w:val="22"/>
        </w:rPr>
        <w:t>gouvernance</w:t>
      </w:r>
      <w:r>
        <w:rPr>
          <w:rFonts w:eastAsia="Arial" w:cs="Arial" w:ascii="Arial" w:hAnsi="Arial"/>
          <w:sz w:val="22"/>
          <w:szCs w:val="22"/>
        </w:rPr>
        <w:t xml:space="preserve">” en francés, resurge en 1937 con los estudios norteamericanos sobre </w:t>
      </w:r>
      <w:r>
        <w:rPr>
          <w:rFonts w:eastAsia="Arial" w:cs="Arial" w:ascii="Arial" w:hAnsi="Arial"/>
          <w:i/>
          <w:sz w:val="22"/>
          <w:szCs w:val="22"/>
        </w:rPr>
        <w:t xml:space="preserve">corporate governance, </w:t>
      </w:r>
      <w:r>
        <w:rPr>
          <w:rFonts w:eastAsia="Arial" w:cs="Arial" w:ascii="Arial" w:hAnsi="Arial"/>
          <w:sz w:val="22"/>
          <w:szCs w:val="22"/>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i/>
          <w:sz w:val="22"/>
          <w:szCs w:val="22"/>
        </w:rPr>
        <w:t xml:space="preserve">gobernanza </w:t>
      </w:r>
      <w:r>
        <w:rPr>
          <w:rFonts w:eastAsia="Arial" w:cs="Arial" w:ascii="Arial" w:hAnsi="Arial"/>
          <w:sz w:val="22"/>
          <w:szCs w:val="22"/>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numPr>
          <w:ilvl w:val="0"/>
          <w:numId w:val="8"/>
        </w:numPr>
        <w:spacing w:lineRule="auto" w:line="312" w:before="240" w:after="240"/>
        <w:ind w:hanging="360" w:left="72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b/>
          <w:sz w:val="22"/>
          <w:szCs w:val="22"/>
        </w:rPr>
      </w:pPr>
      <w:r>
        <w:rPr>
          <w:rFonts w:eastAsia="Arial" w:cs="Arial" w:ascii="Arial" w:hAnsi="Arial"/>
          <w:b/>
          <w:sz w:val="22"/>
          <w:szCs w:val="22"/>
        </w:rPr>
        <w:t>Gobernanza de la salud</w:t>
      </w:r>
    </w:p>
    <w:p>
      <w:pPr>
        <w:pStyle w:val="normal1"/>
        <w:spacing w:lineRule="auto" w:line="276"/>
        <w:jc w:val="both"/>
        <w:rPr>
          <w:rFonts w:ascii="Arial" w:hAnsi="Arial" w:eastAsia="Arial" w:cs="Arial"/>
          <w:sz w:val="22"/>
          <w:szCs w:val="22"/>
        </w:rPr>
      </w:pPr>
      <w:r>
        <w:rPr>
          <w:rFonts w:eastAsia="Arial" w:cs="Arial" w:ascii="Arial" w:hAnsi="Arial"/>
          <w:sz w:val="22"/>
          <w:szCs w:val="22"/>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spacing w:lineRule="auto" w:line="276"/>
        <w:jc w:val="both"/>
        <w:rPr>
          <w:rFonts w:ascii="Arial" w:hAnsi="Arial" w:eastAsia="Arial" w:cs="Arial"/>
          <w:sz w:val="22"/>
          <w:szCs w:val="22"/>
        </w:rPr>
      </w:pPr>
      <w:r>
        <w:rPr>
          <w:rFonts w:eastAsia="Arial" w:cs="Arial" w:ascii="Arial" w:hAnsi="Arial"/>
          <w:sz w:val="22"/>
          <w:szCs w:val="22"/>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sz w:val="22"/>
          <w:szCs w:val="22"/>
        </w:rPr>
      </w:pPr>
      <w:r>
        <w:rPr>
          <w:rFonts w:eastAsia="Arial" w:cs="Arial" w:ascii="Arial" w:hAnsi="Arial"/>
          <w:sz w:val="22"/>
          <w:szCs w:val="22"/>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sz w:val="22"/>
          <w:szCs w:val="22"/>
        </w:rPr>
      </w:pPr>
      <w:r>
        <w:rPr>
          <w:rFonts w:eastAsia="Arial" w:cs="Arial" w:ascii="Arial" w:hAnsi="Arial"/>
          <w:sz w:val="22"/>
          <w:szCs w:val="22"/>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El Estado: Representado por organismos y agencias gubernamentales a nivel central y subnacional. El Estado es responsable de la formulación de políticas, la asignación de recursos, la regulación y la supervisión del sistema de salud.</w:t>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numPr>
          <w:ilvl w:val="0"/>
          <w:numId w:val="2"/>
        </w:numPr>
        <w:spacing w:lineRule="auto" w:line="276"/>
        <w:ind w:hanging="360" w:left="720"/>
        <w:jc w:val="both"/>
        <w:rPr>
          <w:rFonts w:ascii="Arial" w:hAnsi="Arial" w:eastAsia="Arial" w:cs="Arial"/>
          <w:sz w:val="22"/>
          <w:szCs w:val="22"/>
        </w:rPr>
      </w:pPr>
      <w:r>
        <w:rPr>
          <w:rFonts w:eastAsia="Arial" w:cs="Arial" w:ascii="Arial" w:hAnsi="Arial"/>
          <w:sz w:val="22"/>
          <w:szCs w:val="22"/>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II.II Gobernanza de la Salud Global IGH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Según Sophie Harman, la gobernanza global de la salud ha pasado por varias fases de desarrollo y cambio: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1850-1950: Fundamentos institucionales de la salud global: </w:t>
      </w:r>
      <w:r>
        <w:rPr>
          <w:rFonts w:eastAsia="Arial" w:cs="Arial" w:ascii="Arial" w:hAnsi="Arial"/>
          <w:color w:val="201F1E"/>
          <w:sz w:val="22"/>
          <w:szCs w:val="22"/>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1970-1990: Erradicación de enfermedades y neoliberalismo en políticas de salud: </w:t>
      </w:r>
      <w:r>
        <w:rPr>
          <w:rFonts w:eastAsia="Arial" w:cs="Arial" w:ascii="Arial" w:hAnsi="Arial"/>
          <w:color w:val="201F1E"/>
          <w:sz w:val="22"/>
          <w:szCs w:val="22"/>
        </w:rPr>
        <w:t>Durante este tiempo, se logra la erradicación de la viruela. La aparición del VIH/SIDA en la década de 1980 marcó un giro importante, exponiendo las tensiones entre los sistemas de salud pública y privada.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color w:val="201F1E"/>
          <w:sz w:val="22"/>
          <w:szCs w:val="22"/>
        </w:rPr>
        <w:t xml:space="preserve">2000+: Asociaciones, innovación y pandemia: </w:t>
      </w:r>
      <w:r>
        <w:rPr>
          <w:rFonts w:eastAsia="Arial" w:cs="Arial" w:ascii="Arial" w:hAnsi="Arial"/>
          <w:color w:val="201F1E"/>
          <w:sz w:val="22"/>
          <w:szCs w:val="22"/>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 Sobre la gobernanza: mediciones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En este trabajo se considera la gobernanza con base en la definición del Worldwide Governance Indicators </w:t>
      </w:r>
      <w:r>
        <w:rPr>
          <w:rFonts w:eastAsia="Arial" w:cs="Arial" w:ascii="Arial" w:hAnsi="Arial"/>
          <w:i/>
          <w:sz w:val="22"/>
          <w:szCs w:val="22"/>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sz w:val="22"/>
          <w:szCs w:val="22"/>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Asimismo, con base en los datos de mortalidad pre pandemia, durante y después de la pandemia ya se puede tener controles.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II.III Retos de la gobernanza: ¿cómo afecta la corrupción en la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color w:val="2A2A2A"/>
          <w:sz w:val="23"/>
          <w:szCs w:val="23"/>
        </w:rPr>
        <w:t>OSpector,2005</w:t>
      </w:r>
      <w:r>
        <w:rPr>
          <w:rFonts w:eastAsia="Arial" w:cs="Arial" w:ascii="Arial" w:hAnsi="Arial"/>
          <w:sz w:val="22"/>
          <w:szCs w:val="22"/>
        </w:rPr>
        <w:t xml:space="preserve">) , y se cree que estas formas también podrían afectar los resultados de salud (Vian, 2008). En un estudio de </w:t>
      </w:r>
      <w:r>
        <w:rPr>
          <w:rFonts w:eastAsia="Arial" w:cs="Arial" w:ascii="Arial" w:hAnsi="Arial"/>
          <w:color w:val="2A2A2A"/>
          <w:sz w:val="23"/>
          <w:szCs w:val="23"/>
        </w:rPr>
        <w:t>Anderson T</w:t>
      </w:r>
      <w:r>
        <w:rPr>
          <w:rFonts w:eastAsia="Arial" w:cs="Arial" w:ascii="Arial" w:hAnsi="Arial"/>
          <w:sz w:val="22"/>
          <w:szCs w:val="22"/>
        </w:rPr>
        <w:t>, incluso, se ha observado que existe una relación significativa entre el nivel de corrupción y la mortalidad infantil.</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Entre los países de altos ingresos, muchos estados europeos que se han destacado en </w:t>
      </w:r>
      <w:hyperlink r:id="rId2">
        <w:r>
          <w:rPr>
            <w:rStyle w:val="ListLabel82"/>
            <w:rFonts w:eastAsia="Arial" w:cs="Arial" w:ascii="Arial" w:hAnsi="Arial"/>
            <w:color w:val="201F1E"/>
            <w:sz w:val="22"/>
            <w:szCs w:val="22"/>
          </w:rPr>
          <w:t>varias dimensiones de gobernanza</w:t>
        </w:r>
      </w:hyperlink>
      <w:r>
        <w:rPr>
          <w:rFonts w:eastAsia="Arial" w:cs="Arial" w:ascii="Arial" w:hAnsi="Arial"/>
          <w:color w:val="201F1E"/>
          <w:sz w:val="22"/>
          <w:szCs w:val="22"/>
        </w:rPr>
        <w:t xml:space="preserve"> , según lo medido por los Indicadores anuales de gobernanza mundial (</w:t>
      </w:r>
      <w:hyperlink r:id="rId3">
        <w:r>
          <w:rPr>
            <w:rStyle w:val="ListLabel82"/>
            <w:rFonts w:eastAsia="Arial" w:cs="Arial" w:ascii="Arial" w:hAnsi="Arial"/>
            <w:color w:val="201F1E"/>
            <w:sz w:val="22"/>
            <w:szCs w:val="22"/>
          </w:rPr>
          <w:t>WGI</w:t>
        </w:r>
      </w:hyperlink>
      <w:r>
        <w:rPr>
          <w:rFonts w:eastAsia="Arial" w:cs="Arial" w:ascii="Arial" w:hAnsi="Arial"/>
          <w:color w:val="201F1E"/>
          <w:sz w:val="22"/>
          <w:szCs w:val="22"/>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1" allowOverlap="1" relativeHeight="90">
            <wp:simplePos x="0" y="0"/>
            <wp:positionH relativeFrom="column">
              <wp:posOffset>200025</wp:posOffset>
            </wp:positionH>
            <wp:positionV relativeFrom="paragraph">
              <wp:posOffset>142875</wp:posOffset>
            </wp:positionV>
            <wp:extent cx="5462905" cy="307340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sz w:val="22"/>
          <w:szCs w:val="22"/>
        </w:rPr>
      </w:pPr>
      <w:r>
        <w:rPr>
          <w:rFonts w:eastAsia="Arial" w:cs="Arial" w:ascii="Arial" w:hAnsi="Arial"/>
          <w:color w:val="201F1E"/>
          <w:sz w:val="22"/>
          <w:szCs w:val="22"/>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sz w:val="22"/>
          <w:szCs w:val="22"/>
        </w:rPr>
        <w:t>(McPake et al. 1999).</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II.IV Evolución de la salud pública y mortalidad en México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t>Con los años el presupuesto en términos reales ha crecido. Con la pandemia se tuvo un aumento significativo, sin embargo la falta de planeación e incertidumbre sobre cómo lograr la cobertura universal de salud ha implicado que las transiciones entre Seguro Popular, INSABI e IMSS-Bienestar, dejen a la población sin seguridad social en condición de vulnerabilidad y sin un acceso efectivo al sistema de salud (IMCO, 2022)</w:t>
      </w:r>
    </w:p>
    <w:p>
      <w:pPr>
        <w:pStyle w:val="normal1"/>
        <w:spacing w:lineRule="auto" w:line="312"/>
        <w:jc w:val="both"/>
        <w:rPr>
          <w:rFonts w:ascii="Arial" w:hAnsi="Arial" w:eastAsia="Arial" w:cs="Arial"/>
          <w:b/>
          <w:sz w:val="22"/>
          <w:szCs w:val="22"/>
        </w:rPr>
      </w:pPr>
      <w:r>
        <w:rPr>
          <w:rFonts w:eastAsia="Arial" w:cs="Arial" w:ascii="Arial" w:hAnsi="Arial"/>
          <w:b/>
          <w:sz w:val="22"/>
          <w:szCs w:val="22"/>
        </w:rPr>
        <w:drawing>
          <wp:anchor behindDoc="0" distT="0" distB="0" distL="0" distR="0" simplePos="0" locked="0" layoutInCell="1" allowOverlap="1" relativeHeight="89">
            <wp:simplePos x="0" y="0"/>
            <wp:positionH relativeFrom="column">
              <wp:posOffset>990600</wp:posOffset>
            </wp:positionH>
            <wp:positionV relativeFrom="paragraph">
              <wp:posOffset>142875</wp:posOffset>
            </wp:positionV>
            <wp:extent cx="3884295" cy="1948180"/>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5"/>
                    <a:stretch>
                      <a:fillRect/>
                    </a:stretch>
                  </pic:blipFill>
                  <pic:spPr bwMode="auto">
                    <a:xfrm>
                      <a:off x="0" y="0"/>
                      <a:ext cx="3884295" cy="1948180"/>
                    </a:xfrm>
                    <a:prstGeom prst="rect">
                      <a:avLst/>
                    </a:prstGeom>
                  </pic:spPr>
                </pic:pic>
              </a:graphicData>
            </a:graphic>
          </wp:anchor>
        </w:drawing>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participación es un elemento esencial de la gobernanza, en la salud y más allá, y se ve facilitada no solo por las estructuras y los procesos públicos que la apoyan y fomentan, sino también por una sociedad civil dinámica (ver, por ejemplo, Burbidge 1997). En muchos países en desarrollo, se necesitan medidas para fortalecer la sociedad civil. En el sector de la salud en particular, se ha demostrado que 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(p. ej., Tendler y Freedheim 1995, Harpham et al. 2002). Tal fortalecimiento puede desarrollar capacidades a nivel comunitario para trabajar juntos para contribuir a los objetivos de salud a nivel local, así como demandar más servicios de otros niveles del sistema de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color w:val="000000"/>
          <w:sz w:val="22"/>
          <w:szCs w:val="22"/>
        </w:rPr>
      </w:pPr>
      <w:r>
        <w:rPr>
          <w:rFonts w:eastAsia="Arial" w:cs="Arial" w:ascii="Arial" w:hAnsi="Arial"/>
          <w:i/>
          <w:color w:val="000000"/>
          <w:sz w:val="22"/>
          <w:szCs w:val="22"/>
        </w:rPr>
        <w:t>Hipótesis</w:t>
      </w:r>
      <w:r>
        <w:rPr>
          <w:rFonts w:eastAsia="Arial" w:cs="Arial" w:ascii="Arial" w:hAnsi="Arial"/>
          <w:color w:val="000000"/>
          <w:sz w:val="22"/>
          <w:szCs w:val="22"/>
        </w:rPr>
        <w:t>:</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numPr>
          <w:ilvl w:val="0"/>
          <w:numId w:val="6"/>
        </w:numPr>
        <w:spacing w:lineRule="auto" w:line="312"/>
        <w:ind w:hanging="360" w:left="720"/>
        <w:jc w:val="both"/>
        <w:rPr>
          <w:rFonts w:ascii="Arial" w:hAnsi="Arial" w:eastAsia="Arial" w:cs="Arial"/>
          <w:b/>
          <w:color w:val="000000"/>
          <w:sz w:val="22"/>
          <w:szCs w:val="22"/>
        </w:rPr>
      </w:pPr>
      <w:r>
        <w:rPr>
          <w:rFonts w:eastAsia="Arial" w:cs="Arial" w:ascii="Arial" w:hAnsi="Arial"/>
          <w:b/>
          <w:color w:val="000000"/>
          <w:sz w:val="22"/>
          <w:szCs w:val="22"/>
        </w:rPr>
        <w:t>Mayor calidad en la gobernanza, mayor calidad en la salud pública</w:t>
      </w:r>
    </w:p>
    <w:p>
      <w:pPr>
        <w:pStyle w:val="normal1"/>
        <w:numPr>
          <w:ilvl w:val="1"/>
          <w:numId w:val="6"/>
        </w:numPr>
        <w:spacing w:lineRule="auto" w:line="312"/>
        <w:ind w:hanging="360" w:left="1440"/>
        <w:jc w:val="both"/>
        <w:rPr>
          <w:rFonts w:ascii="Arial" w:hAnsi="Arial" w:eastAsia="Arial" w:cs="Arial"/>
          <w:b/>
          <w:color w:val="000000"/>
          <w:sz w:val="22"/>
          <w:szCs w:val="22"/>
        </w:rPr>
      </w:pPr>
      <w:r>
        <w:rPr>
          <w:rFonts w:eastAsia="Arial" w:cs="Arial" w:ascii="Arial" w:hAnsi="Arial"/>
          <w:b/>
          <w:color w:val="000000"/>
          <w:sz w:val="22"/>
          <w:szCs w:val="22"/>
        </w:rPr>
        <w:t xml:space="preserve">Mayor gobernanza, mayor capacidad en el control de la pandemia </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312"/>
        <w:jc w:val="both"/>
        <w:rPr>
          <w:rFonts w:ascii="Arial" w:hAnsi="Arial" w:eastAsia="Arial" w:cs="Arial"/>
          <w:color w:val="000000"/>
          <w:sz w:val="22"/>
          <w:szCs w:val="22"/>
        </w:rPr>
      </w:pPr>
      <w:commentRangeStart w:id="0"/>
      <w:sdt>
        <w:sdtPr>
          <w:tag w:val="goog_rdk_0"/>
        </w:sdtPr>
        <w:sdtContent>
          <w:r>
            <w:rPr/>
          </w:r>
          <w:r>
            <w:rPr/>
          </w:r>
        </w:sdtContent>
      </w:sdt>
      <w:r>
        <w:rPr>
          <w:rFonts w:eastAsia="Arial" w:cs="Arial" w:ascii="Arial" w:hAnsi="Arial"/>
          <w:color w:val="000000"/>
          <w:sz w:val="22"/>
          <w:szCs w:val="22"/>
        </w:rPr>
        <w:t>En</w:t>
      </w:r>
      <w:r>
        <w:rPr>
          <w:rFonts w:eastAsia="Arial" w:cs="Arial" w:ascii="Arial" w:hAnsi="Arial"/>
          <w:color w:val="000000"/>
          <w:sz w:val="22"/>
          <w:szCs w:val="22"/>
        </w:rPr>
      </w:r>
      <w:commentRangeEnd w:id="0"/>
      <w:r>
        <w:commentReference w:id="0"/>
      </w:r>
      <w:r>
        <w:rPr>
          <w:rFonts w:eastAsia="Arial" w:cs="Arial" w:ascii="Arial" w:hAnsi="Arial"/>
          <w:color w:val="000000"/>
          <w:sz w:val="22"/>
          <w:szCs w:val="22"/>
        </w:rPr>
        <w:t xml:space="preserve"> diversas investigaciones, expertos de la medicina han propuesto sistemáticamente que la buena gobernanza, en diversas formas, ha desempeñado un papel crucial en el control de epidemias en países de todo el mundo a lo largo de la historia humana (Manirul Nabin; Mohammad; Sukanto,2021).  Esta posición fue empíricamente examinada por  Menon-Johansson (2005) mediante su estudio sobre el control de la propagación del virus de la inmunodeficiencia humana (VIH) y encontró evidencia de que la prevalencia mundial del VIH está significativamente relacionada con la mala gobernanza.</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t xml:space="preserve">Para este estudio, el </w:t>
      </w:r>
      <w:r>
        <w:rPr>
          <w:rFonts w:eastAsia="Arial" w:cs="Arial" w:ascii="Arial" w:hAnsi="Arial"/>
          <w:i/>
          <w:color w:val="000000"/>
          <w:sz w:val="22"/>
          <w:szCs w:val="22"/>
        </w:rPr>
        <w:t xml:space="preserve">control de la pandemia </w:t>
      </w:r>
      <w:r>
        <w:rPr>
          <w:rFonts w:eastAsia="Arial" w:cs="Arial" w:ascii="Arial" w:hAnsi="Arial"/>
          <w:color w:val="000000"/>
          <w:sz w:val="22"/>
          <w:szCs w:val="22"/>
        </w:rPr>
        <w:t xml:space="preserve">será medido a través del </w:t>
      </w:r>
      <w:commentRangeStart w:id="1"/>
      <w:sdt>
        <w:sdtPr>
          <w:tag w:val="goog_rdk_1"/>
        </w:sdtPr>
        <w:sdtContent>
          <w:r>
            <w:rPr>
              <w:rFonts w:eastAsia="Arial" w:cs="Arial" w:ascii="Arial" w:hAnsi="Arial"/>
              <w:color w:val="000000"/>
              <w:sz w:val="22"/>
              <w:szCs w:val="22"/>
            </w:rPr>
          </w:r>
          <w:r>
            <w:rPr>
              <w:rFonts w:eastAsia="Arial" w:cs="Arial" w:ascii="Arial" w:hAnsi="Arial"/>
              <w:color w:val="000000"/>
              <w:sz w:val="22"/>
              <w:szCs w:val="22"/>
            </w:rPr>
          </w:r>
        </w:sdtContent>
      </w:sdt>
      <w:r>
        <w:rPr>
          <w:rFonts w:eastAsia="Arial" w:cs="Arial" w:ascii="Arial" w:hAnsi="Arial"/>
          <w:color w:val="000000"/>
          <w:sz w:val="22"/>
          <w:szCs w:val="22"/>
        </w:rPr>
        <w:t>exceso de mortalidad</w:t>
      </w:r>
      <w:r>
        <w:rPr>
          <w:rFonts w:eastAsia="Arial" w:cs="Arial" w:ascii="Arial" w:hAnsi="Arial"/>
          <w:color w:val="000000"/>
          <w:sz w:val="22"/>
          <w:szCs w:val="22"/>
        </w:rPr>
      </w:r>
      <w:commentRangeEnd w:id="1"/>
      <w:r>
        <w:commentReference w:id="1"/>
      </w:r>
      <w:r>
        <w:rPr>
          <w:rFonts w:eastAsia="Arial" w:cs="Arial" w:ascii="Arial" w:hAnsi="Arial"/>
          <w:color w:val="000000"/>
          <w:sz w:val="22"/>
          <w:szCs w:val="22"/>
        </w:rPr>
        <w:t>, ya que este exceso de mortalidad se ha utilizado para evaluar el impacto sanitario general de la COVID-19 en todos los países (Vageesh Jain; Jonathan Clarke; Thomas Beaney, 2022).</w:t>
      </w:r>
    </w:p>
    <w:p>
      <w:pPr>
        <w:pStyle w:val="normal1"/>
        <w:spacing w:lineRule="auto" w:line="312"/>
        <w:jc w:val="both"/>
        <w:rPr>
          <w:rFonts w:ascii="Arial" w:hAnsi="Arial" w:eastAsia="Arial" w:cs="Arial"/>
          <w:color w:val="000000"/>
          <w:sz w:val="22"/>
          <w:szCs w:val="22"/>
        </w:rPr>
      </w:pPr>
      <w:r>
        <w:rPr>
          <w:rFonts w:eastAsia="Arial" w:cs="Arial" w:ascii="Arial" w:hAnsi="Arial"/>
          <w:color w:val="000000"/>
          <w:sz w:val="22"/>
          <w:szCs w:val="22"/>
        </w:rPr>
      </w:r>
    </w:p>
    <w:p>
      <w:pPr>
        <w:pStyle w:val="normal1"/>
        <w:numPr>
          <w:ilvl w:val="1"/>
          <w:numId w:val="6"/>
        </w:numPr>
        <w:spacing w:lineRule="auto" w:line="312"/>
        <w:ind w:hanging="360" w:left="1440"/>
        <w:jc w:val="both"/>
        <w:rPr>
          <w:rFonts w:ascii="Arial" w:hAnsi="Arial" w:eastAsia="Arial" w:cs="Arial"/>
          <w:b/>
          <w:color w:val="000000"/>
          <w:sz w:val="22"/>
          <w:szCs w:val="22"/>
        </w:rPr>
      </w:pPr>
      <w:r>
        <w:rPr>
          <w:rFonts w:eastAsia="Arial" w:cs="Arial" w:ascii="Arial" w:hAnsi="Arial"/>
          <w:b/>
          <w:color w:val="000000"/>
          <w:sz w:val="22"/>
          <w:szCs w:val="22"/>
        </w:rPr>
        <w:t>Mayor corrupción, mayor exceso de mortalidad</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commentRangeStart w:id="2"/>
      <w:sdt>
        <w:sdtPr>
          <w:tag w:val="goog_rdk_2"/>
        </w:sdtPr>
        <w:sdtContent>
          <w:r>
            <w:rPr/>
          </w:r>
          <w:r>
            <w:rPr/>
          </w:r>
        </w:sdtContent>
      </w:sdt>
      <w:r>
        <w:rPr>
          <w:rFonts w:eastAsia="Arial" w:cs="Arial" w:ascii="Arial" w:hAnsi="Arial"/>
          <w:color w:val="201F1E"/>
          <w:sz w:val="22"/>
          <w:szCs w:val="22"/>
        </w:rPr>
        <w:t xml:space="preserve">En la literatura se ha encontrado que se puede establecer el vínculo entre las muertes por COVID-19 en los países y sus diferentes niveles de corrupción pública. </w:t>
      </w:r>
      <w:r>
        <w:rPr>
          <w:rFonts w:eastAsia="Arial" w:cs="Arial" w:ascii="Arial" w:hAnsi="Arial"/>
          <w:color w:val="201F1E"/>
          <w:sz w:val="22"/>
          <w:szCs w:val="22"/>
        </w:rPr>
      </w:r>
      <w:commentRangeEnd w:id="2"/>
      <w:r>
        <w:commentReference w:id="2"/>
      </w:r>
      <w:r>
        <w:rPr>
          <w:rFonts w:eastAsia="Arial" w:cs="Arial" w:ascii="Arial" w:hAnsi="Arial"/>
          <w:color w:val="201F1E"/>
          <w:sz w:val="22"/>
          <w:szCs w:val="22"/>
        </w:rPr>
        <w:t>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w:t>
      </w:r>
      <w:commentRangeStart w:id="3"/>
      <w:sdt>
        <w:sdtPr>
          <w:tag w:val="goog_rdk_3"/>
        </w:sdtPr>
        <w:sdtContent>
          <w:r>
            <w:rPr>
              <w:rFonts w:eastAsia="Arial" w:cs="Arial" w:ascii="Arial" w:hAnsi="Arial"/>
              <w:color w:val="201F1E"/>
              <w:sz w:val="22"/>
              <w:szCs w:val="22"/>
            </w:rPr>
          </w:r>
          <w:r>
            <w:rPr>
              <w:rFonts w:eastAsia="Arial" w:cs="Arial" w:ascii="Arial" w:hAnsi="Arial"/>
              <w:color w:val="201F1E"/>
              <w:sz w:val="22"/>
              <w:szCs w:val="22"/>
            </w:rPr>
          </w:r>
        </w:sdtContent>
      </w:sdt>
      <w:r>
        <w:rPr>
          <w:rFonts w:eastAsia="Arial" w:cs="Arial" w:ascii="Arial" w:hAnsi="Arial"/>
          <w:color w:val="201F1E"/>
          <w:sz w:val="22"/>
          <w:szCs w:val="22"/>
        </w:rPr>
        <w:t>2021</w:t>
      </w:r>
      <w:r>
        <w:rPr>
          <w:rFonts w:eastAsia="Arial" w:cs="Arial" w:ascii="Arial" w:hAnsi="Arial"/>
          <w:color w:val="201F1E"/>
          <w:sz w:val="22"/>
          <w:szCs w:val="22"/>
        </w:rPr>
      </w:r>
      <w:commentRangeEnd w:id="3"/>
      <w:r>
        <w:commentReference w:id="3"/>
      </w: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Pregunta de investigacion</w:t>
      </w:r>
    </w:p>
    <w:p>
      <w:pPr>
        <w:pStyle w:val="normal1"/>
        <w:spacing w:lineRule="auto" w:line="312"/>
        <w:jc w:val="both"/>
        <w:rPr>
          <w:rFonts w:ascii="Arial" w:hAnsi="Arial" w:eastAsia="Arial" w:cs="Arial"/>
          <w:sz w:val="22"/>
          <w:szCs w:val="22"/>
        </w:rPr>
      </w:pPr>
      <w:r>
        <w:rPr>
          <w:rFonts w:eastAsia="Arial" w:cs="Arial" w:ascii="Arial" w:hAnsi="Arial"/>
          <w:sz w:val="22"/>
          <w:szCs w:val="22"/>
        </w:rPr>
        <w:t>¿Cómo afectó la gobernanza al exceso de mortalidad por COVID-19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Hipótesis</w:t>
      </w:r>
    </w:p>
    <w:p>
      <w:pPr>
        <w:pStyle w:val="normal1"/>
        <w:spacing w:lineRule="auto" w:line="312"/>
        <w:jc w:val="both"/>
        <w:rPr>
          <w:rFonts w:ascii="Arial" w:hAnsi="Arial" w:eastAsia="Arial" w:cs="Arial"/>
          <w:sz w:val="22"/>
          <w:szCs w:val="22"/>
        </w:rPr>
      </w:pPr>
      <w:r>
        <w:rPr>
          <w:rFonts w:eastAsia="Arial" w:cs="Arial" w:ascii="Arial" w:hAnsi="Arial"/>
          <w:sz w:val="22"/>
          <w:szCs w:val="22"/>
        </w:rPr>
        <w:t>Si los indicadores de gobernanza de un país fueron mejores que los de otro durante la pandemia el exceso de mortalidad por COVID-19 debería de ser menor en comparación.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Objetivos</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la calidad de la gobernanza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el exceso de mortalidad en México y el resto del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Homologar dicha información dentro de un solo conjunto de datos </w:t>
      </w:r>
    </w:p>
    <w:p>
      <w:pPr>
        <w:pStyle w:val="normal1"/>
        <w:spacing w:lineRule="auto" w:line="312"/>
        <w:jc w:val="both"/>
        <w:rPr>
          <w:rFonts w:ascii="Arial" w:hAnsi="Arial" w:eastAsia="Arial" w:cs="Arial"/>
          <w:sz w:val="22"/>
          <w:szCs w:val="22"/>
        </w:rPr>
      </w:pPr>
      <w:r>
        <w:rPr>
          <w:rFonts w:eastAsia="Arial" w:cs="Arial" w:ascii="Arial" w:hAnsi="Arial"/>
          <w:sz w:val="22"/>
          <w:szCs w:val="22"/>
        </w:rPr>
        <w:t>Ajustar un modelo lineal para evaluar la relación de la gobernanza y el exceso de mortalidad</w:t>
      </w:r>
    </w:p>
    <w:p>
      <w:pPr>
        <w:pStyle w:val="normal1"/>
        <w:spacing w:lineRule="auto" w:line="312"/>
        <w:jc w:val="both"/>
        <w:rPr>
          <w:rFonts w:ascii="Arial" w:hAnsi="Arial" w:eastAsia="Arial" w:cs="Arial"/>
          <w:sz w:val="22"/>
          <w:szCs w:val="22"/>
        </w:rPr>
      </w:pPr>
      <w:r>
        <w:rPr>
          <w:rFonts w:eastAsia="Arial" w:cs="Arial" w:ascii="Arial" w:hAnsi="Arial"/>
          <w:sz w:val="22"/>
          <w:szCs w:val="22"/>
        </w:rPr>
        <w:t>Contrastar el efecto de otras variables sobre el exceso de mortalidad en comparación con la gobernanza</w:t>
      </w:r>
    </w:p>
    <w:p>
      <w:pPr>
        <w:pStyle w:val="normal1"/>
        <w:spacing w:lineRule="auto" w:line="312"/>
        <w:jc w:val="both"/>
        <w:rPr>
          <w:rFonts w:ascii="Arial" w:hAnsi="Arial" w:eastAsia="Arial" w:cs="Arial"/>
          <w:sz w:val="22"/>
          <w:szCs w:val="22"/>
        </w:rPr>
      </w:pPr>
      <w:r>
        <w:rPr>
          <w:rFonts w:eastAsia="Arial" w:cs="Arial" w:ascii="Arial" w:hAnsi="Arial"/>
          <w:sz w:val="22"/>
          <w:szCs w:val="22"/>
        </w:rPr>
        <w:t>Discutir la definición de gobernanza y su idoneidad para este tipo de estudios.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Métodos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 es bastante precisa y ha sido ampliamente criticada por distintos grupos de investigación* . Sin embargo, no debemos de olvidar que la definición de gobernanza puede ser objeto de debate y discusión.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El conjunto de datos se descargo en formato </w:t>
      </w:r>
      <w:r>
        <w:rPr>
          <w:rFonts w:eastAsia="Arial" w:cs="Arial" w:ascii="Arial" w:hAnsi="Arial"/>
          <w:i/>
          <w:sz w:val="22"/>
          <w:szCs w:val="22"/>
        </w:rPr>
        <w:t xml:space="preserve"> xlsx </w:t>
      </w:r>
      <w:r>
        <w:rPr>
          <w:rFonts w:eastAsia="Arial" w:cs="Arial" w:ascii="Arial" w:hAnsi="Arial"/>
          <w:sz w:val="22"/>
          <w:szCs w:val="22"/>
        </w:rPr>
        <w:t xml:space="preserve">del siguiente sitio: </w:t>
      </w:r>
      <w:hyperlink r:id="rId6">
        <w:r>
          <w:rPr>
            <w:rStyle w:val="ListLabel83"/>
            <w:rFonts w:eastAsia="Arial" w:cs="Arial" w:ascii="Arial" w:hAnsi="Arial"/>
            <w:color w:val="1155CC"/>
            <w:sz w:val="22"/>
            <w:szCs w:val="22"/>
            <w:u w:val="single"/>
          </w:rPr>
          <w:t>http://info.worldbank.org/governance/wgi/</w:t>
        </w:r>
      </w:hyperlink>
      <w:r>
        <w:rPr>
          <w:rFonts w:eastAsia="Arial" w:cs="Arial" w:ascii="Arial" w:hAnsi="Arial"/>
          <w:sz w:val="22"/>
          <w:szCs w:val="22"/>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En cuanto a los datos de exceso de mortalidad, estos fueron obtenidos del sitio: </w:t>
      </w:r>
      <w:hyperlink r:id="rId7">
        <w:r>
          <w:rPr>
            <w:rStyle w:val="ListLabel83"/>
            <w:rFonts w:eastAsia="Arial" w:cs="Arial" w:ascii="Arial" w:hAnsi="Arial"/>
            <w:color w:val="1155CC"/>
            <w:sz w:val="22"/>
            <w:szCs w:val="22"/>
            <w:u w:val="single"/>
          </w:rPr>
          <w:t>https://ourworldindata.org/excess-mortality-covid</w:t>
        </w:r>
      </w:hyperlink>
      <w:r>
        <w:rPr>
          <w:rFonts w:eastAsia="Arial" w:cs="Arial" w:ascii="Arial" w:hAnsi="Arial"/>
          <w:sz w:val="22"/>
          <w:szCs w:val="22"/>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m:t>
        </m:r>
        <m:r>
          <w:rPr>
            <w:rFonts w:ascii="Cambria Math" w:hAnsi="Cambria Math"/>
          </w:rPr>
          <m:t xml:space="preserve">reportadas</m:t>
        </m:r>
        <m:r>
          <w:rPr>
            <w:rFonts w:ascii="Cambria Math" w:hAnsi="Cambria Math"/>
          </w:rPr>
          <m:t xml:space="preserve">−</m:t>
        </m:r>
        <m:r>
          <w:rPr>
            <w:rFonts w:ascii="Cambria Math" w:hAnsi="Cambria Math"/>
          </w:rPr>
          <m:t xml:space="preserve">Muertes</m:t>
        </m:r>
        <m:r>
          <w:rPr>
            <w:rFonts w:ascii="Cambria Math" w:hAnsi="Cambria Math"/>
          </w:rPr>
          <m:t xml:space="preserve">proyectadas</m:t>
        </m:r>
        <m:r>
          <w:rPr>
            <w:rFonts w:ascii="Cambria Math" w:hAnsi="Cambria Math"/>
          </w:rPr>
          <m:t xml:space="preserve">)</m:t>
        </m:r>
      </m:oMath>
      <w:r>
        <w:rPr>
          <w:rFonts w:eastAsia="Arial" w:cs="Arial" w:ascii="Arial" w:hAnsi="Arial"/>
          <w:sz w:val="22"/>
          <w:szCs w:val="22"/>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Estos dos conjuntos de datos representan la parte medular de este trabajo, por lo que el empatamiento manual de aquellos países presentes en ambas tablas ,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i/>
          <w:sz w:val="22"/>
          <w:szCs w:val="22"/>
        </w:rPr>
        <w:t xml:space="preserve">n </w:t>
      </w:r>
      <w:r>
        <w:rPr>
          <w:rFonts w:eastAsia="Arial" w:cs="Arial" w:ascii="Arial" w:hAnsi="Arial"/>
          <w:sz w:val="22"/>
          <w:szCs w:val="22"/>
        </w:rPr>
        <w:t xml:space="preserve"> países, los cuales representarán junto con su año la unidad observacional. Vale la pena mencionar que los datos terminaron siendo organizados en una estructura de panel.</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Recordemos que esto busca evitar la generación de artefactos estadísticos, así como mitigar la posibilidad de caer en un escenario de sobreajuste.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Posteriormente, se ajustó un modelo de regresión lineal considerando como variable dependiente al exceso de mortalidad mediano y promedio en función de los indicadores de gobernanza (ver ecuación 1). 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de calidad.</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El siguiente paso que se tomó fue someter al modelo a un procedimiento de </w:t>
      </w:r>
      <w:r>
        <w:rPr>
          <w:rFonts w:eastAsia="Arial" w:cs="Arial" w:ascii="Arial" w:hAnsi="Arial"/>
          <w:i/>
          <w:sz w:val="22"/>
          <w:szCs w:val="22"/>
        </w:rPr>
        <w:t xml:space="preserve">step wise backwards. </w:t>
      </w:r>
      <w:r>
        <w:rPr>
          <w:rFonts w:eastAsia="Arial" w:cs="Arial" w:ascii="Arial" w:hAnsi="Arial"/>
          <w:sz w:val="22"/>
          <w:szCs w:val="22"/>
        </w:rPr>
        <w:t xml:space="preserve">En donde,  a partir del cálculo del criterio de información de </w:t>
      </w:r>
      <w:r>
        <w:rPr>
          <w:rFonts w:eastAsia="Arial" w:cs="Arial" w:ascii="Arial" w:hAnsi="Arial"/>
          <w:i/>
          <w:sz w:val="22"/>
          <w:szCs w:val="22"/>
        </w:rPr>
        <w:t xml:space="preserve">akaike  </w:t>
      </w:r>
      <w:r>
        <w:rPr>
          <w:rFonts w:eastAsia="Arial" w:cs="Arial" w:ascii="Arial" w:hAnsi="Arial"/>
          <w:sz w:val="22"/>
          <w:szCs w:val="22"/>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8">
        <w:r>
          <w:rPr>
            <w:rStyle w:val="ListLabel83"/>
            <w:rFonts w:eastAsia="Arial" w:cs="Arial" w:ascii="Arial" w:hAnsi="Arial"/>
            <w:color w:val="1155CC"/>
            <w:sz w:val="22"/>
            <w:szCs w:val="22"/>
            <w:u w:val="single"/>
          </w:rPr>
          <w:t>https://ieeexplore.ieee.org/document/1100705</w:t>
        </w:r>
      </w:hyperlink>
      <w:r>
        <w:rPr>
          <w:rFonts w:eastAsia="Arial" w:cs="Arial" w:ascii="Arial" w:hAnsi="Arial"/>
          <w:sz w:val="22"/>
          <w:szCs w:val="22"/>
        </w:rPr>
        <w:t xml:space="preserv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r>
            <w:rPr>
              <w:rFonts w:ascii="Cambria Math" w:hAnsi="Cambria Math"/>
            </w:rPr>
            <m:t xml:space="preserve">AIC</m:t>
          </m:r>
          <m:r>
            <w:rPr>
              <w:rFonts w:ascii="Cambria Math" w:hAnsi="Cambria Math"/>
            </w:rPr>
            <m:t xml:space="preserve">=</m:t>
          </m:r>
          <m:r>
            <w:rPr>
              <w:rFonts w:ascii="Cambria Math" w:hAnsi="Cambria Math"/>
            </w:rPr>
            <m:t xml:space="preserve">2</m:t>
          </m:r>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ln</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rFonts w:ascii="Arial" w:hAnsi="Arial" w:eastAsia="Arial" w:cs="Arial"/>
          <w:sz w:val="22"/>
          <w:szCs w:val="22"/>
        </w:rPr>
      </w:pPr>
      <w:r>
        <w:rPr>
          <w:rFonts w:eastAsia="Arial" w:cs="Arial" w:ascii="Arial" w:hAnsi="Arial"/>
          <w:sz w:val="22"/>
          <w:szCs w:val="22"/>
        </w:rPr>
        <w:t>El modelo de regresión final se corrió sólo sobre los datos de 2021, ya que sólo para este año se contaba con todos los valores de las variables independientes consideradas.</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Es importante mencionar que todo el procesamiento de los datos, su descripción, así como su modelación fueron realizados en el lenguaje de programación </w:t>
      </w:r>
      <w:r>
        <w:rPr>
          <w:rFonts w:eastAsia="Arial" w:cs="Arial" w:ascii="Arial" w:hAnsi="Arial"/>
          <w:i/>
          <w:sz w:val="22"/>
          <w:szCs w:val="22"/>
        </w:rPr>
        <w:t xml:space="preserve">R, </w:t>
      </w:r>
      <w:r>
        <w:rPr>
          <w:rFonts w:eastAsia="Arial" w:cs="Arial" w:ascii="Arial" w:hAnsi="Arial"/>
          <w:sz w:val="22"/>
          <w:szCs w:val="22"/>
        </w:rPr>
        <w:t xml:space="preserve">mediante el uso de la </w:t>
      </w:r>
      <w:r>
        <w:rPr>
          <w:rFonts w:eastAsia="Arial" w:cs="Arial" w:ascii="Arial" w:hAnsi="Arial"/>
          <w:i/>
          <w:sz w:val="22"/>
          <w:szCs w:val="22"/>
        </w:rPr>
        <w:t xml:space="preserve">IDE R Studio </w:t>
      </w:r>
      <w:r>
        <w:rPr>
          <w:rFonts w:eastAsia="Arial" w:cs="Arial" w:ascii="Arial" w:hAnsi="Arial"/>
          <w:sz w:val="22"/>
          <w:szCs w:val="22"/>
        </w:rPr>
        <w:t xml:space="preserve">versión </w:t>
      </w:r>
      <w:r>
        <w:rPr>
          <w:rFonts w:eastAsia="Arial" w:cs="Arial" w:ascii="Arial" w:hAnsi="Arial"/>
          <w:i/>
          <w:sz w:val="22"/>
          <w:szCs w:val="22"/>
        </w:rPr>
        <w:t xml:space="preserve">4.3.2 *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Después de haber puestos prueba la hipótesis principal del trabajo, se procedió a enriquecer el modelo mediante la consideración de variables económicas (PIB) , demográficas (Densidad poblacional) y  de salud (IMC y diabetes). Dichos datos fueron obtenidos de: </w:t>
      </w:r>
      <w:hyperlink r:id="rId9">
        <w:r>
          <w:rPr>
            <w:rStyle w:val="ListLabel84"/>
            <w:rFonts w:eastAsia="Arial" w:cs="Arial" w:ascii="Arial" w:hAnsi="Arial"/>
            <w:color w:val="1967D2"/>
            <w:sz w:val="22"/>
            <w:szCs w:val="22"/>
            <w:u w:val="single"/>
          </w:rPr>
          <w:t>https://en.wikipedia.org/wiki/List_of_sovereign_states_by_body_mass_index</w:t>
        </w:r>
      </w:hyperlink>
      <w:r>
        <w:rPr>
          <w:rFonts w:eastAsia="Arial" w:cs="Arial" w:ascii="Arial" w:hAnsi="Arial"/>
          <w:sz w:val="22"/>
          <w:szCs w:val="22"/>
        </w:rPr>
        <w:t xml:space="preserve">, </w:t>
      </w:r>
      <w:hyperlink r:id="rId10">
        <w:r>
          <w:rPr>
            <w:rStyle w:val="ListLabel84"/>
            <w:rFonts w:eastAsia="Arial" w:cs="Arial" w:ascii="Arial" w:hAnsi="Arial"/>
            <w:color w:val="1967D2"/>
            <w:sz w:val="22"/>
            <w:szCs w:val="22"/>
            <w:u w:val="single"/>
          </w:rPr>
          <w:t>https://en.wikipedia.org/wiki/List_of_countries_and_dependencies_by_population</w:t>
        </w:r>
      </w:hyperlink>
      <w:r>
        <w:rPr>
          <w:rFonts w:eastAsia="Arial" w:cs="Arial" w:ascii="Arial" w:hAnsi="Arial"/>
          <w:sz w:val="22"/>
          <w:szCs w:val="22"/>
        </w:rPr>
        <w:t xml:space="preserve">, </w:t>
      </w:r>
      <w:hyperlink r:id="rId11">
        <w:r>
          <w:rPr>
            <w:rStyle w:val="ListLabel84"/>
            <w:rFonts w:eastAsia="Arial" w:cs="Arial" w:ascii="Arial" w:hAnsi="Arial"/>
            <w:color w:val="1967D2"/>
            <w:sz w:val="22"/>
            <w:szCs w:val="22"/>
            <w:u w:val="single"/>
          </w:rPr>
          <w:t>https://data.worldbank.org/indicator/SH.STA.DIAB.ZS</w:t>
        </w:r>
      </w:hyperlink>
      <w:r>
        <w:rPr>
          <w:rFonts w:eastAsia="Arial" w:cs="Arial" w:ascii="Arial" w:hAnsi="Arial"/>
          <w:sz w:val="22"/>
          <w:szCs w:val="22"/>
        </w:rPr>
        <w:t xml:space="preserve">  y </w:t>
      </w:r>
      <w:hyperlink r:id="rId12">
        <w:r>
          <w:rPr>
            <w:rStyle w:val="ListLabel84"/>
            <w:rFonts w:eastAsia="Arial" w:cs="Arial" w:ascii="Arial" w:hAnsi="Arial"/>
            <w:color w:val="1967D2"/>
            <w:sz w:val="22"/>
            <w:szCs w:val="22"/>
            <w:u w:val="single"/>
          </w:rPr>
          <w:t>https://en.wikipedia.org/wiki/List_of_countries_by_GDP_(nominal)</w:t>
        </w:r>
      </w:hyperlink>
      <w:r>
        <w:rPr>
          <w:rFonts w:eastAsia="Arial" w:cs="Arial" w:ascii="Arial" w:hAnsi="Arial"/>
          <w:sz w:val="22"/>
          <w:szCs w:val="22"/>
        </w:rPr>
        <w:t xml:space="preserve"> .</w:t>
      </w:r>
    </w:p>
    <w:p>
      <w:pPr>
        <w:pStyle w:val="normal1"/>
        <w:spacing w:lineRule="auto" w:line="312"/>
        <w:jc w:val="left"/>
        <w:rPr>
          <w:rFonts w:ascii="Arial" w:hAnsi="Arial" w:eastAsia="Arial" w:cs="Arial"/>
          <w:sz w:val="22"/>
          <w:szCs w:val="22"/>
        </w:rPr>
      </w:pPr>
      <w:r>
        <w:rPr>
          <w:rFonts w:eastAsia="Arial" w:cs="Arial" w:ascii="Arial" w:hAnsi="Arial"/>
          <w:sz w:val="22"/>
          <w:szCs w:val="22"/>
        </w:rPr>
      </w:r>
    </w:p>
    <w:p>
      <w:pPr>
        <w:pStyle w:val="normal1"/>
        <w:spacing w:lineRule="auto" w:line="312"/>
        <w:jc w:val="left"/>
        <w:rPr/>
      </w:pPr>
      <w:r>
        <w:rPr>
          <w:rFonts w:eastAsia="Arial" w:cs="Arial" w:ascii="Arial" w:hAnsi="Arial"/>
          <w:sz w:val="22"/>
          <w:szCs w:val="22"/>
        </w:rPr>
        <w:t xml:space="preserve">Finalmente se contrastaron las conclusiones obtenidas mediante este modelo con las reportadas en la literatura así como con la intuición previa que se tenía antes de ajustar este modelo. </w:t>
      </w:r>
    </w:p>
    <w:p>
      <w:pPr>
        <w:pStyle w:val="normal1"/>
        <w:spacing w:lineRule="auto" w:line="276"/>
        <w:jc w:val="left"/>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color w:val="201F1E"/>
          <w:sz w:val="22"/>
          <w:szCs w:val="22"/>
        </w:rPr>
      </w:pPr>
      <w:r>
        <w:rPr>
          <w:rFonts w:eastAsia="Arial" w:cs="Arial" w:ascii="Arial" w:hAnsi="Arial"/>
          <w:b/>
          <w:sz w:val="22"/>
          <w:szCs w:val="22"/>
        </w:rPr>
        <w:t>Resultados</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b/>
          <w:bCs/>
          <w:sz w:val="20"/>
          <w:szCs w:val="20"/>
        </w:rPr>
      </w:pPr>
      <w:r>
        <w:rPr>
          <w:rFonts w:ascii="Arial" w:hAnsi="Arial"/>
          <w:b/>
          <w:bCs/>
          <w:sz w:val="20"/>
          <w:szCs w:val="20"/>
        </w:rPr>
        <w:t>Estadística descriptiva de las variables consideradas: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bCs/>
          <w:color w:val="C9211E"/>
          <w:sz w:val="20"/>
          <w:szCs w:val="20"/>
        </w:rPr>
      </w:pPr>
      <w:r>
        <w:rPr>
          <w:rFonts w:ascii="Arial" w:hAnsi="Arial"/>
          <w:b/>
          <w:bCs/>
          <w:color w:val="C9211E"/>
          <w:sz w:val="20"/>
          <w:szCs w:val="20"/>
        </w:rPr>
        <w:t>Tamaño del dataset</w:t>
      </w:r>
    </w:p>
    <w:p>
      <w:pPr>
        <w:pStyle w:val="normal1"/>
        <w:spacing w:lineRule="auto" w:line="312"/>
        <w:jc w:val="both"/>
        <w:rPr>
          <w:rFonts w:ascii="Arial" w:hAnsi="Arial"/>
          <w:b/>
          <w:bCs/>
          <w:color w:val="C9211E"/>
          <w:sz w:val="20"/>
          <w:szCs w:val="20"/>
        </w:rPr>
      </w:pPr>
      <w:r>
        <w:rPr>
          <w:rFonts w:ascii="Arial" w:hAnsi="Arial"/>
          <w:b/>
          <w:bCs/>
          <w:color w:val="C9211E"/>
          <w:sz w:val="20"/>
          <w:szCs w:val="20"/>
        </w:rPr>
        <w:t>Número total de países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val="false"/>
          <w:bCs w:val="false"/>
          <w:sz w:val="20"/>
          <w:szCs w:val="20"/>
        </w:rPr>
      </w:pPr>
      <w:r>
        <w:rPr>
          <w:rFonts w:ascii="Arial" w:hAnsi="Arial"/>
          <w:b w:val="false"/>
          <w:bCs w:val="false"/>
          <w:sz w:val="20"/>
          <w:szCs w:val="20"/>
        </w:rPr>
        <w:t>Analizando la distribución de los indicadores de gobernanza podemos observar que no existen diferencias aparentes entre los datos para 2020 y los datos para 2021. Sin embargo esto fue corroborado mediante pruebas de Chi-2 (). Al no ser de distinto tipo las distribuciones de un mismo indicador 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spacing w:lineRule="auto" w:line="312"/>
        <w:jc w:val="both"/>
        <w:rPr>
          <w:rFonts w:ascii="Arial" w:hAnsi="Arial"/>
          <w:b w:val="false"/>
          <w:bCs w:val="false"/>
          <w:sz w:val="20"/>
          <w:szCs w:val="20"/>
        </w:rPr>
      </w:pPr>
      <w:r>
        <w:rPr>
          <w:rFonts w:ascii="Arial" w:hAnsi="Arial"/>
          <w:b w:val="false"/>
          <w:bCs w:val="false"/>
          <w:sz w:val="20"/>
          <w:szCs w:val="20"/>
        </w:rPr>
      </w:r>
    </w:p>
    <w:p>
      <w:pPr>
        <w:pStyle w:val="normal1"/>
        <w:spacing w:lineRule="auto" w:line="312"/>
        <w:jc w:val="both"/>
        <w:rPr>
          <w:rFonts w:ascii="Arial" w:hAnsi="Arial"/>
          <w:b w:val="false"/>
          <w:bCs w:val="false"/>
          <w:sz w:val="20"/>
          <w:szCs w:val="20"/>
        </w:rPr>
      </w:pPr>
      <w:r>
        <w:rPr>
          <w:rFonts w:ascii="Arial" w:hAnsi="Arial"/>
          <w:b w:val="false"/>
          <w:bCs w:val="false"/>
          <w:sz w:val="20"/>
          <w:szCs w:val="20"/>
        </w:rPr>
        <w:t>Por tal motivo y con el fin de privilegiar el tamaño de muestra se decidió unir a los dos conjuntos de datos correpondientes a cada año en un solo dataset para ajustar el modelo estadístico</w:t>
      </w:r>
    </w:p>
    <w:p>
      <w:pPr>
        <w:pStyle w:val="normal1"/>
        <w:spacing w:lineRule="auto" w:line="312"/>
        <w:jc w:val="both"/>
        <w:rPr>
          <w:rFonts w:ascii="Arial" w:hAnsi="Arial"/>
          <w:b w:val="false"/>
          <w:bCs w:val="false"/>
          <w:sz w:val="20"/>
          <w:szCs w:val="20"/>
        </w:rPr>
      </w:pPr>
      <w:r>
        <w:rPr>
          <w:rFonts w:ascii="Arial" w:hAnsi="Arial"/>
          <w:b w:val="false"/>
          <w:bCs w:val="false"/>
          <w:sz w:val="20"/>
          <w:szCs w:val="20"/>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b w:val="false"/>
          <w:bCs w:val="false"/>
        </w:rPr>
      </w:pPr>
      <w:r>
        <w:rPr>
          <w:b w:val="false"/>
          <w:bCs w:val="false"/>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248400" cy="2718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3"/>
                    <a:stretch>
                      <a:fillRect/>
                    </a:stretch>
                  </pic:blipFill>
                  <pic:spPr bwMode="auto">
                    <a:xfrm>
                      <a:off x="0" y="0"/>
                      <a:ext cx="6248400" cy="271843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2">
            <wp:simplePos x="0" y="0"/>
            <wp:positionH relativeFrom="column">
              <wp:posOffset>0</wp:posOffset>
            </wp:positionH>
            <wp:positionV relativeFrom="paragraph">
              <wp:posOffset>-12065</wp:posOffset>
            </wp:positionV>
            <wp:extent cx="6248400" cy="27597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4"/>
                    <a:stretch>
                      <a:fillRect/>
                    </a:stretch>
                  </pic:blipFill>
                  <pic:spPr bwMode="auto">
                    <a:xfrm>
                      <a:off x="0" y="0"/>
                      <a:ext cx="6248400" cy="275971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Al evaluar la asociación presente entre dichos indicadores se tuvo que para 2020 las únicas correlaciones significativas entre las 6 variables evaluadas fueron:</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ControlofCorruption y  RuleofLaw</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GovernmentEfectiveness y RegulatoryQuality</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GovernmentEfectiveness y RuleofLaw</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sz w:val="20"/>
          <w:szCs w:val="20"/>
        </w:rPr>
      </w:pPr>
      <w:r>
        <w:rPr>
          <w:rFonts w:ascii="Arial" w:hAnsi="Arial"/>
          <w:sz w:val="20"/>
          <w:szCs w:val="20"/>
        </w:rPr>
        <w:t>Situación que se presentó tanto para el año 2020:</w:t>
      </w:r>
    </w:p>
    <w:p>
      <w:pPr>
        <w:pStyle w:val="normal1"/>
        <w:spacing w:lineRule="auto" w:line="276"/>
        <w:jc w:val="both"/>
        <w:rPr>
          <w:rFonts w:ascii="Arial" w:hAnsi="Arial"/>
          <w:sz w:val="20"/>
          <w:szCs w:val="20"/>
        </w:rPr>
      </w:pPr>
      <w:r>
        <w:rPr>
          <w:rFonts w:ascii="Arial" w:hAnsi="Arial"/>
          <w:sz w:val="20"/>
          <w:szCs w:val="20"/>
        </w:rPr>
      </w:r>
    </w:p>
    <w:p>
      <w:pPr>
        <w:pStyle w:val="normal1"/>
        <w:numPr>
          <w:ilvl w:val="0"/>
          <w:numId w:val="0"/>
        </w:numPr>
        <w:spacing w:lineRule="auto" w:line="276"/>
        <w:ind w:hanging="0" w:left="720"/>
        <w:jc w:val="center"/>
        <w:rPr>
          <w:rFonts w:ascii="Arial" w:hAnsi="Arial" w:eastAsia="Arial" w:cs="Arial"/>
          <w:color w:val="201F1E"/>
          <w:sz w:val="22"/>
          <w:szCs w:val="22"/>
        </w:rPr>
      </w:pPr>
      <w:r>
        <w:rPr/>
        <w:drawing>
          <wp:inline distT="0" distB="0" distL="0" distR="0">
            <wp:extent cx="3356610" cy="2962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5"/>
                    <a:stretch>
                      <a:fillRect/>
                    </a:stretch>
                  </pic:blipFill>
                  <pic:spPr bwMode="auto">
                    <a:xfrm>
                      <a:off x="0" y="0"/>
                      <a:ext cx="3356610" cy="2962275"/>
                    </a:xfrm>
                    <a:prstGeom prst="rect">
                      <a:avLst/>
                    </a:prstGeom>
                  </pic:spPr>
                </pic:pic>
              </a:graphicData>
            </a:graphic>
          </wp:inline>
        </w:drawing>
      </w:r>
    </w:p>
    <w:p>
      <w:pPr>
        <w:pStyle w:val="normal1"/>
        <w:numPr>
          <w:ilvl w:val="0"/>
          <w:numId w:val="0"/>
        </w:numPr>
        <w:spacing w:lineRule="auto" w:line="276"/>
        <w:ind w:hanging="0" w:left="720"/>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Como para el año 2021:</w:t>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center"/>
        <w:rPr>
          <w:rFonts w:ascii="Arial" w:hAnsi="Arial" w:eastAsia="Arial" w:cs="Arial"/>
          <w:color w:val="201F1E"/>
          <w:sz w:val="22"/>
          <w:szCs w:val="22"/>
        </w:rPr>
      </w:pPr>
      <w:r>
        <w:rPr/>
        <w:drawing>
          <wp:inline distT="0" distB="0" distL="0" distR="0">
            <wp:extent cx="3637915" cy="31203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6"/>
                    <a:stretch>
                      <a:fillRect/>
                    </a:stretch>
                  </pic:blipFill>
                  <pic:spPr bwMode="auto">
                    <a:xfrm>
                      <a:off x="0" y="0"/>
                      <a:ext cx="3637915" cy="3120390"/>
                    </a:xfrm>
                    <a:prstGeom prst="rect">
                      <a:avLst/>
                    </a:prstGeom>
                  </pic:spPr>
                </pic:pic>
              </a:graphicData>
            </a:graphic>
          </wp:inline>
        </w:drawing>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t>Por otro lado, 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248400" cy="29013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7"/>
                    <a:stretch>
                      <a:fillRect/>
                    </a:stretch>
                  </pic:blipFill>
                  <pic:spPr bwMode="auto">
                    <a:xfrm>
                      <a:off x="0" y="0"/>
                      <a:ext cx="6248400" cy="290131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248400" cy="30194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8"/>
                    <a:stretch>
                      <a:fillRect/>
                    </a:stretch>
                  </pic:blipFill>
                  <pic:spPr bwMode="auto">
                    <a:xfrm>
                      <a:off x="0" y="0"/>
                      <a:ext cx="6248400" cy="301942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t>Cada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i/>
          <w:iCs/>
          <w:color w:val="201F1E"/>
          <w:sz w:val="22"/>
          <w:szCs w:val="22"/>
        </w:rPr>
        <w:t xml:space="preserve"> e.g. </w:t>
      </w:r>
      <w:r>
        <w:rPr>
          <w:rFonts w:eastAsia="Arial" w:cs="Arial" w:ascii="Arial" w:hAnsi="Arial"/>
          <w:i w:val="false"/>
          <w:iCs w:val="false"/>
          <w:color w:val="201F1E"/>
          <w:sz w:val="22"/>
          <w:szCs w:val="22"/>
        </w:rPr>
        <w:t>e</w:t>
      </w:r>
      <w:r>
        <w:rPr>
          <w:rFonts w:eastAsia="Arial" w:cs="Arial" w:ascii="Arial" w:hAnsi="Arial"/>
          <w:color w:val="201F1E"/>
          <w:sz w:val="22"/>
          <w:szCs w:val="22"/>
        </w:rPr>
        <w:t xml:space="preserve">n el caso de la variable </w:t>
      </w:r>
      <w:r>
        <w:rPr>
          <w:rFonts w:eastAsia="Arial" w:cs="Arial" w:ascii="Arial" w:hAnsi="Arial"/>
          <w:i/>
          <w:iCs/>
          <w:color w:val="201F1E"/>
          <w:sz w:val="22"/>
          <w:szCs w:val="22"/>
        </w:rPr>
        <w:t xml:space="preserve">ControlofCorruption </w:t>
      </w:r>
      <w:r>
        <w:rPr>
          <w:rFonts w:eastAsia="Arial" w:cs="Arial" w:ascii="Arial" w:hAnsi="Arial"/>
          <w:i w:val="false"/>
          <w:iCs w:val="false"/>
          <w:color w:val="201F1E"/>
          <w:sz w:val="22"/>
          <w:szCs w:val="22"/>
        </w:rPr>
        <w:t>tenemos un escenario en donde México empeora de un año a otro.</w:t>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i w:val="false"/>
          <w:iCs w:val="false"/>
          <w:color w:val="201F1E"/>
          <w:sz w:val="22"/>
          <w:szCs w:val="22"/>
        </w:rPr>
        <w:t xml:space="preserve">Para el resto de variables se tienen conclusiones similares, empeorando en todas entre 11 y 7 posiciones salvo en el caso de </w:t>
      </w:r>
      <w:r>
        <w:rPr>
          <w:rFonts w:eastAsia="Arial" w:cs="Arial" w:ascii="Arial" w:hAnsi="Arial"/>
          <w:i/>
          <w:iCs/>
          <w:color w:val="201F1E"/>
          <w:sz w:val="22"/>
          <w:szCs w:val="22"/>
        </w:rPr>
        <w:t>PoliticalStabilityNoViolence</w:t>
      </w:r>
      <w:r>
        <w:rPr>
          <w:rFonts w:eastAsia="Arial" w:cs="Arial" w:ascii="Arial" w:hAnsi="Arial"/>
          <w:i w:val="false"/>
          <w:iCs w:val="false"/>
          <w:color w:val="201F1E"/>
          <w:sz w:val="22"/>
          <w:szCs w:val="22"/>
        </w:rPr>
        <w:t>, donde mejora 14 posiciones comparando 2020 y 2021.</w:t>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248400" cy="26238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9"/>
                    <a:stretch>
                      <a:fillRect/>
                    </a:stretch>
                  </pic:blipFill>
                  <pic:spPr bwMode="auto">
                    <a:xfrm>
                      <a:off x="0" y="0"/>
                      <a:ext cx="6248400" cy="262382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248400" cy="25323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0"/>
                    <a:stretch>
                      <a:fillRect/>
                    </a:stretch>
                  </pic:blipFill>
                  <pic:spPr bwMode="auto">
                    <a:xfrm>
                      <a:off x="0" y="0"/>
                      <a:ext cx="6248400" cy="253238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248400" cy="29921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1"/>
                    <a:srcRect l="0" t="0" r="0" b="2597"/>
                    <a:stretch>
                      <a:fillRect/>
                    </a:stretch>
                  </pic:blipFill>
                  <pic:spPr bwMode="auto">
                    <a:xfrm>
                      <a:off x="0" y="0"/>
                      <a:ext cx="6248400" cy="299212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6248400" cy="29000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2"/>
                    <a:stretch>
                      <a:fillRect/>
                    </a:stretch>
                  </pic:blipFill>
                  <pic:spPr bwMode="auto">
                    <a:xfrm>
                      <a:off x="0" y="0"/>
                      <a:ext cx="6248400" cy="290004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99">
            <wp:simplePos x="0" y="0"/>
            <wp:positionH relativeFrom="column">
              <wp:posOffset>0</wp:posOffset>
            </wp:positionH>
            <wp:positionV relativeFrom="paragraph">
              <wp:posOffset>13970</wp:posOffset>
            </wp:positionV>
            <wp:extent cx="6248400" cy="2964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3"/>
                    <a:stretch>
                      <a:fillRect/>
                    </a:stretch>
                  </pic:blipFill>
                  <pic:spPr bwMode="auto">
                    <a:xfrm>
                      <a:off x="0" y="0"/>
                      <a:ext cx="6248400" cy="296481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248400" cy="297878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24"/>
                    <a:stretch>
                      <a:fillRect/>
                    </a:stretch>
                  </pic:blipFill>
                  <pic:spPr bwMode="auto">
                    <a:xfrm>
                      <a:off x="0" y="0"/>
                      <a:ext cx="6248400" cy="297878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101">
            <wp:simplePos x="0" y="0"/>
            <wp:positionH relativeFrom="column">
              <wp:posOffset>0</wp:posOffset>
            </wp:positionH>
            <wp:positionV relativeFrom="paragraph">
              <wp:posOffset>6350</wp:posOffset>
            </wp:positionV>
            <wp:extent cx="6248400" cy="29825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5"/>
                    <a:stretch>
                      <a:fillRect/>
                    </a:stretch>
                  </pic:blipFill>
                  <pic:spPr bwMode="auto">
                    <a:xfrm>
                      <a:off x="0" y="0"/>
                      <a:ext cx="6248400" cy="298259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248400" cy="298831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6"/>
                    <a:stretch>
                      <a:fillRect/>
                    </a:stretch>
                  </pic:blipFill>
                  <pic:spPr bwMode="auto">
                    <a:xfrm>
                      <a:off x="0" y="0"/>
                      <a:ext cx="6248400" cy="2988310"/>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103">
            <wp:simplePos x="0" y="0"/>
            <wp:positionH relativeFrom="column">
              <wp:posOffset>0</wp:posOffset>
            </wp:positionH>
            <wp:positionV relativeFrom="paragraph">
              <wp:posOffset>10160</wp:posOffset>
            </wp:positionV>
            <wp:extent cx="6248400" cy="295846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7"/>
                    <a:stretch>
                      <a:fillRect/>
                    </a:stretch>
                  </pic:blipFill>
                  <pic:spPr bwMode="auto">
                    <a:xfrm>
                      <a:off x="0" y="0"/>
                      <a:ext cx="6248400" cy="295846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248400" cy="296227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8"/>
                    <a:stretch>
                      <a:fillRect/>
                    </a:stretch>
                  </pic:blipFill>
                  <pic:spPr bwMode="auto">
                    <a:xfrm>
                      <a:off x="0" y="0"/>
                      <a:ext cx="6248400" cy="2962275"/>
                    </a:xfrm>
                    <a:prstGeom prst="rect">
                      <a:avLst/>
                    </a:prstGeom>
                  </pic:spPr>
                </pic:pic>
              </a:graphicData>
            </a:graphic>
          </wp:anchor>
        </w:drawing>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both"/>
        <w:rPr>
          <w:rFonts w:ascii="Arial" w:hAnsi="Arial"/>
          <w:sz w:val="20"/>
          <w:szCs w:val="20"/>
        </w:rPr>
      </w:pPr>
      <w:r>
        <w:rPr>
          <w:rFonts w:ascii="Arial" w:hAnsi="Arial"/>
          <w:sz w:val="20"/>
          <w:szCs w:val="20"/>
        </w:rPr>
        <w:t>Podemos notar que en general existe un decremento en la calidad de la gobernanza en México. Aunado a esto si hacemos el mismo análisis pero para los datos de exceso de mortalidad tenemos lo siguiente:</w:t>
      </w:r>
    </w:p>
    <w:p>
      <w:pPr>
        <w:pStyle w:val="normal1"/>
        <w:widowControl/>
        <w:bidi w:val="0"/>
        <w:spacing w:lineRule="auto" w:line="276" w:before="0" w:after="0"/>
        <w:ind w:hanging="0" w:left="0" w:right="0"/>
        <w:jc w:val="both"/>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5">
            <wp:simplePos x="0" y="0"/>
            <wp:positionH relativeFrom="column">
              <wp:posOffset>0</wp:posOffset>
            </wp:positionH>
            <wp:positionV relativeFrom="paragraph">
              <wp:posOffset>22860</wp:posOffset>
            </wp:positionV>
            <wp:extent cx="6248400" cy="29146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9"/>
                    <a:stretch>
                      <a:fillRect/>
                    </a:stretch>
                  </pic:blipFill>
                  <pic:spPr bwMode="auto">
                    <a:xfrm>
                      <a:off x="0" y="0"/>
                      <a:ext cx="6248400" cy="2914650"/>
                    </a:xfrm>
                    <a:prstGeom prst="rect">
                      <a:avLst/>
                    </a:prstGeom>
                  </pic:spPr>
                </pic:pic>
              </a:graphicData>
            </a:graphic>
          </wp:anchor>
        </w:drawing>
      </w:r>
    </w:p>
    <w:p>
      <w:pPr>
        <w:pStyle w:val="normal1"/>
        <w:widowControl/>
        <w:bidi w:val="0"/>
        <w:spacing w:lineRule="auto" w:line="276" w:before="0" w:after="0"/>
        <w:ind w:hanging="0" w:left="0" w:right="0"/>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248400" cy="28790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30"/>
                    <a:stretch>
                      <a:fillRect/>
                    </a:stretch>
                  </pic:blipFill>
                  <pic:spPr bwMode="auto">
                    <a:xfrm>
                      <a:off x="0" y="0"/>
                      <a:ext cx="6248400" cy="2879090"/>
                    </a:xfrm>
                    <a:prstGeom prst="rect">
                      <a:avLst/>
                    </a:prstGeom>
                  </pic:spPr>
                </pic:pic>
              </a:graphicData>
            </a:graphic>
          </wp:anchor>
        </w:drawing>
      </w:r>
    </w:p>
    <w:p>
      <w:pPr>
        <w:pStyle w:val="normal1"/>
        <w:widowControl/>
        <w:bidi w:val="0"/>
        <w:spacing w:lineRule="auto" w:line="276" w:before="0" w:after="0"/>
        <w:ind w:hanging="0" w:left="0" w:right="0"/>
        <w:jc w:val="center"/>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rFonts w:eastAsia="Arial" w:cs="Arial" w:ascii="Arial" w:hAnsi="Arial"/>
          <w:color w:val="201F1E"/>
          <w:sz w:val="22"/>
          <w:szCs w:val="22"/>
        </w:rPr>
      </w:r>
    </w:p>
    <w:p>
      <w:pPr>
        <w:pStyle w:val="normal1"/>
        <w:widowControl/>
        <w:bidi w:val="0"/>
        <w:spacing w:lineRule="auto" w:line="276" w:before="0" w:after="0"/>
        <w:ind w:hanging="0" w:left="0" w:right="0"/>
        <w:jc w:val="center"/>
        <w:rPr>
          <w:rFonts w:ascii="Arial" w:hAnsi="Arial" w:eastAsia="Arial" w:cs="Arial"/>
          <w:color w:val="201F1E"/>
          <w:sz w:val="22"/>
          <w:szCs w:val="22"/>
        </w:rPr>
      </w:pPr>
      <w:r>
        <w:rPr/>
        <w:drawing>
          <wp:inline distT="0" distB="0" distL="0" distR="0">
            <wp:extent cx="5910580" cy="276923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31"/>
                    <a:stretch>
                      <a:fillRect/>
                    </a:stretch>
                  </pic:blipFill>
                  <pic:spPr bwMode="auto">
                    <a:xfrm>
                      <a:off x="0" y="0"/>
                      <a:ext cx="5910580" cy="2769235"/>
                    </a:xfrm>
                    <a:prstGeom prst="rect">
                      <a:avLst/>
                    </a:prstGeom>
                  </pic:spPr>
                </pic:pic>
              </a:graphicData>
            </a:graphic>
          </wp:inline>
        </w:drawing>
      </w:r>
    </w:p>
    <w:p>
      <w:pPr>
        <w:pStyle w:val="normal1"/>
        <w:widowControl/>
        <w:bidi w:val="0"/>
        <w:spacing w:lineRule="auto" w:line="276" w:before="0" w:after="0"/>
        <w:ind w:hanging="0" w:left="0" w:right="0"/>
        <w:jc w:val="left"/>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left"/>
        <w:rPr>
          <w:rFonts w:ascii="Arial" w:hAnsi="Arial"/>
          <w:sz w:val="20"/>
          <w:szCs w:val="20"/>
        </w:rPr>
      </w:pPr>
      <w:r>
        <w:rPr>
          <w:rFonts w:ascii="Arial" w:hAnsi="Arial"/>
          <w:sz w:val="20"/>
          <w:szCs w:val="20"/>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widowControl/>
        <w:bidi w:val="0"/>
        <w:spacing w:lineRule="auto" w:line="276" w:before="0" w:after="0"/>
        <w:ind w:hanging="0" w:left="0" w:right="0"/>
        <w:jc w:val="left"/>
        <w:rPr>
          <w:rFonts w:ascii="Arial" w:hAnsi="Arial"/>
          <w:sz w:val="20"/>
          <w:szCs w:val="20"/>
        </w:rPr>
      </w:pPr>
      <w:r>
        <w:rPr>
          <w:rFonts w:ascii="Arial" w:hAnsi="Arial"/>
          <w:sz w:val="20"/>
          <w:szCs w:val="20"/>
        </w:rPr>
      </w:r>
    </w:p>
    <w:p>
      <w:pPr>
        <w:pStyle w:val="normal1"/>
        <w:widowControl/>
        <w:bidi w:val="0"/>
        <w:spacing w:lineRule="auto" w:line="276" w:before="0" w:after="0"/>
        <w:ind w:hanging="0" w:left="0" w:right="0"/>
        <w:jc w:val="left"/>
        <w:rPr>
          <w:rFonts w:ascii="Arial" w:hAnsi="Arial"/>
          <w:b/>
          <w:bCs/>
          <w:sz w:val="20"/>
          <w:szCs w:val="20"/>
        </w:rPr>
      </w:pPr>
      <w:r>
        <w:rPr>
          <w:rFonts w:ascii="Arial" w:hAnsi="Arial"/>
          <w:b/>
          <w:bCs/>
          <w:sz w:val="20"/>
          <w:szCs w:val="20"/>
        </w:rPr>
        <w:t>Estadística inferencial:</w:t>
      </w:r>
    </w:p>
    <w:p>
      <w:pPr>
        <w:pStyle w:val="normal1"/>
        <w:widowControl/>
        <w:bidi w:val="0"/>
        <w:spacing w:lineRule="auto" w:line="276" w:before="0" w:after="0"/>
        <w:ind w:hanging="0" w:left="0" w:right="0"/>
        <w:jc w:val="left"/>
        <w:rPr>
          <w:rFonts w:ascii="Arial" w:hAnsi="Arial"/>
          <w:b/>
          <w:bCs/>
          <w:sz w:val="20"/>
          <w:szCs w:val="20"/>
        </w:rPr>
      </w:pPr>
      <w:r>
        <w:rPr/>
      </w:r>
    </w:p>
    <w:p>
      <w:pPr>
        <w:pStyle w:val="normal1"/>
        <w:widowControl/>
        <w:bidi w:val="0"/>
        <w:spacing w:lineRule="auto" w:line="276" w:before="0" w:after="0"/>
        <w:ind w:hanging="0" w:left="0" w:right="0"/>
        <w:jc w:val="left"/>
        <w:rPr>
          <w:b w:val="false"/>
          <w:bCs w:val="false"/>
        </w:rPr>
      </w:pPr>
      <w:r>
        <w:rPr>
          <w:b w:val="false"/>
          <w:bCs w:val="false"/>
        </w:rPr>
        <w:t>El modelo de regresión que se construyó evaluó la influencia de las variables de gobernanza en conjunto con datos sobre la incidencia de diabetes, el índice de masa corporal en hombres, mujeres y ambos, el PIB de los países, las tasas de vacunación (aclarar que sólo se tienen todos los datos para 2021)</w:t>
      </w:r>
    </w:p>
    <w:p>
      <w:pPr>
        <w:pStyle w:val="normal1"/>
        <w:widowControl/>
        <w:bidi w:val="0"/>
        <w:spacing w:lineRule="auto" w:line="276" w:before="0" w:after="0"/>
        <w:ind w:hanging="0" w:left="0" w:right="0"/>
        <w:jc w:val="left"/>
        <w:rPr>
          <w:rFonts w:ascii="Arial" w:hAnsi="Arial"/>
          <w:b/>
          <w:bCs/>
          <w:sz w:val="20"/>
          <w:szCs w:val="20"/>
        </w:rPr>
      </w:pPr>
      <w:r>
        <w:rPr>
          <w:rFonts w:ascii="Arial" w:hAnsi="Arial"/>
          <w:b/>
          <w:bCs/>
          <w:sz w:val="20"/>
          <w:szCs w:val="20"/>
        </w:rPr>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t>Modelos de regresión</w:t>
      </w:r>
    </w:p>
    <w:p>
      <w:pPr>
        <w:pStyle w:val="normal1"/>
        <w:numPr>
          <w:ilvl w:val="0"/>
          <w:numId w:val="0"/>
        </w:numPr>
        <w:spacing w:lineRule="auto" w:line="276"/>
        <w:ind w:hanging="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Acceso a liga a git Hub con los datos estructurados y homologados.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Acceso a liga git Hub con el código utilizado para procesar y analizar los datos.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Gráficos descriptivos de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estadísticos descriptivos de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Gráfico de correlaciones múltiples entre las variables consideradas.</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el resumen estadístico del primer modelo de regresión.</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 con el resumen estadístico del modelo mínimo adecuado</w:t>
      </w:r>
    </w:p>
    <w:p>
      <w:pPr>
        <w:pStyle w:val="normal1"/>
        <w:numPr>
          <w:ilvl w:val="0"/>
          <w:numId w:val="4"/>
        </w:numPr>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t>Tablas de otros modelos de regresión que sea necesario mostrar.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Discusión</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t>Interpretaciones.</w:t>
      </w:r>
    </w:p>
    <w:p>
      <w:pPr>
        <w:pStyle w:val="normal1"/>
        <w:widowControl/>
        <w:bidi w:val="0"/>
        <w:spacing w:lineRule="auto" w:line="276" w:before="0" w:after="0"/>
        <w:ind w:hanging="0" w:left="0" w:right="0"/>
        <w:jc w:val="left"/>
        <w:rPr>
          <w:rFonts w:ascii="Arial" w:hAnsi="Arial"/>
          <w:b/>
          <w:bCs/>
          <w:color w:val="C9211E"/>
          <w:sz w:val="20"/>
          <w:szCs w:val="20"/>
        </w:rPr>
      </w:pPr>
      <w:r>
        <w:rPr>
          <w:rFonts w:ascii="Arial" w:hAnsi="Arial"/>
          <w:b/>
          <w:bCs/>
          <w:color w:val="C9211E"/>
          <w:sz w:val="20"/>
          <w:szCs w:val="20"/>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aras de contribuir a la clarificación del concepto de gobernanza a continuación se presenta un pequeño análisis y crítica a título personal de cada uno de los seis indicadores de gobernanza considerados.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6 aspectos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Ahora bien, en cuanto a la definición de nuestra variable dependiente, es decir, el </w:t>
      </w:r>
      <w:r>
        <w:rPr>
          <w:rFonts w:eastAsia="Arial" w:cs="Arial" w:ascii="Arial" w:hAnsi="Arial"/>
          <w:i/>
          <w:color w:val="201F1E"/>
          <w:sz w:val="22"/>
          <w:szCs w:val="22"/>
        </w:rPr>
        <w:t xml:space="preserve">exceso de mortalidad </w:t>
      </w:r>
      <w:r>
        <w:rPr>
          <w:rFonts w:eastAsia="Arial" w:cs="Arial" w:ascii="Arial" w:hAnsi="Arial"/>
          <w:color w:val="201F1E"/>
          <w:sz w:val="22"/>
          <w:szCs w:val="22"/>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 consecuencia de una falta de atención a políticas públicas a favor de la salud de los ciudadanos. Impuestos a alimentos, refrescos, mayor atención salud, espacios, etc.</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Si duda, la rendición de cuentas es un desafío importante, que implica mirar hacia atrás y exigir que las personas y las organizaciones juzguen su desempeño (Boin et al., 2008). Sin embargo, el capital social tambien juega un papel fundamental en la construcción de resiliencia en la recuperación posterior a la crisis (Aldrich, 2012) así como en el tomar medidas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i/>
          <w:sz w:val="22"/>
          <w:szCs w:val="22"/>
        </w:rPr>
        <w:t>problema perverso</w:t>
      </w:r>
      <w:r>
        <w:rPr>
          <w:rFonts w:eastAsia="Arial" w:cs="Arial" w:ascii="Arial" w:hAnsi="Arial"/>
          <w:sz w:val="22"/>
          <w:szCs w:val="22"/>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spacing w:lineRule="auto" w:line="312"/>
        <w:jc w:val="both"/>
        <w:rPr>
          <w:rFonts w:ascii="Arial" w:hAnsi="Arial" w:eastAsia="Arial" w:cs="Arial"/>
          <w:sz w:val="22"/>
          <w:szCs w:val="22"/>
        </w:rPr>
      </w:pPr>
      <w:r>
        <w:rPr>
          <w:rFonts w:eastAsia="Arial" w:cs="Arial" w:ascii="Arial" w:hAnsi="Arial"/>
          <w:sz w:val="22"/>
          <w:szCs w:val="22"/>
        </w:rPr>
        <w:t>Aunque las crisis se asocian con frecuencia a daños o pérdidas, al mismo tiempo pueden allanar el camino para algo nuevo y generar cambios sociales, políticos y/o organizacionales (Wildavsky, 1988; Kingdon, 1984; ‘t Hart,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32">
        <w:r>
          <w:rPr>
            <w:rStyle w:val="ListLabel83"/>
            <w:rFonts w:eastAsia="Arial" w:cs="Arial" w:ascii="Arial" w:hAnsi="Arial"/>
            <w:color w:val="1155CC"/>
            <w:sz w:val="22"/>
            <w:szCs w:val="22"/>
            <w:u w:val="single"/>
          </w:rPr>
          <w:t>https://www.worldbank.org/en/topic/governance/brief/governance-institutions-covid-19-response-resources</w:t>
        </w:r>
      </w:hyperlink>
      <w:r>
        <w:rPr>
          <w:rFonts w:eastAsia="Arial" w:cs="Arial" w:ascii="Arial" w:hAnsi="Arial"/>
          <w:sz w:val="22"/>
          <w:szCs w:val="22"/>
        </w:rPr>
        <w:t>)</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 públicas.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Conclusiones</w:t>
      </w:r>
    </w:p>
    <w:p>
      <w:pPr>
        <w:pStyle w:val="normal1"/>
        <w:numPr>
          <w:ilvl w:val="0"/>
          <w:numId w:val="9"/>
        </w:numPr>
        <w:spacing w:lineRule="auto" w:line="276"/>
        <w:jc w:val="both"/>
        <w:rPr>
          <w:rFonts w:ascii="Arial" w:hAnsi="Arial" w:eastAsia="Arial" w:cs="Arial"/>
          <w:b w:val="false"/>
          <w:bCs w:val="false"/>
          <w:color w:val="201F1E"/>
          <w:sz w:val="22"/>
          <w:szCs w:val="22"/>
        </w:rPr>
      </w:pPr>
      <w:r>
        <w:rPr>
          <w:rFonts w:eastAsia="Arial" w:cs="Arial" w:ascii="Arial" w:hAnsi="Arial"/>
          <w:b w:val="false"/>
          <w:bCs w:val="false"/>
          <w:color w:val="201F1E"/>
          <w:sz w:val="22"/>
          <w:szCs w:val="22"/>
        </w:rPr>
        <w:t>La efectividad del gobierno, su estabilidad política y la ausencia de violencia, así como las tasas de vacunación promedio fueron variables que afectaron significativamente de manera inversa al exceso de mortalidad.</w:t>
      </w:r>
    </w:p>
    <w:p>
      <w:pPr>
        <w:pStyle w:val="normal1"/>
        <w:numPr>
          <w:ilvl w:val="0"/>
          <w:numId w:val="9"/>
        </w:numPr>
        <w:spacing w:lineRule="auto" w:line="276"/>
        <w:jc w:val="both"/>
        <w:rPr>
          <w:rFonts w:ascii="Arial" w:hAnsi="Arial" w:eastAsia="Arial" w:cs="Arial"/>
          <w:b w:val="false"/>
          <w:bCs w:val="false"/>
          <w:color w:val="201F1E"/>
          <w:sz w:val="22"/>
          <w:szCs w:val="22"/>
        </w:rPr>
      </w:pPr>
      <w:r>
        <w:rPr>
          <w:rFonts w:eastAsia="Arial" w:cs="Arial" w:ascii="Arial" w:hAnsi="Arial"/>
          <w:b w:val="false"/>
          <w:bCs w:val="false"/>
          <w:color w:val="201F1E"/>
          <w:sz w:val="22"/>
          <w:szCs w:val="22"/>
        </w:rPr>
        <w:t>Se debe de tener una aproximación preventiva y no reactiva hacia este tipo de fenómenos.</w:t>
      </w:r>
    </w:p>
    <w:p>
      <w:pPr>
        <w:pStyle w:val="normal1"/>
        <w:numPr>
          <w:ilvl w:val="0"/>
          <w:numId w:val="9"/>
        </w:numPr>
        <w:spacing w:lineRule="auto" w:line="276"/>
        <w:jc w:val="both"/>
        <w:rPr>
          <w:rFonts w:ascii="Arial" w:hAnsi="Arial" w:eastAsia="Arial" w:cs="Arial"/>
          <w:b w:val="false"/>
          <w:bCs w:val="false"/>
          <w:color w:val="201F1E"/>
          <w:sz w:val="22"/>
          <w:szCs w:val="22"/>
        </w:rPr>
      </w:pPr>
      <w:r>
        <w:rPr>
          <w:rFonts w:eastAsia="Arial" w:cs="Arial" w:ascii="Arial" w:hAnsi="Arial"/>
          <w:b w:val="false"/>
          <w:bCs w:val="false"/>
          <w:color w:val="201F1E"/>
          <w:sz w:val="22"/>
          <w:szCs w:val="22"/>
        </w:rPr>
        <w:t>No debe de dejársele toda la responsabilidad de respuesta y operación al gobierno.</w:t>
      </w:r>
    </w:p>
    <w:p>
      <w:pPr>
        <w:pStyle w:val="normal1"/>
        <w:numPr>
          <w:ilvl w:val="0"/>
          <w:numId w:val="9"/>
        </w:numPr>
        <w:spacing w:lineRule="auto" w:line="276"/>
        <w:jc w:val="both"/>
        <w:rPr>
          <w:rFonts w:ascii="Arial" w:hAnsi="Arial" w:eastAsia="Arial" w:cs="Arial"/>
          <w:b w:val="false"/>
          <w:bCs w:val="false"/>
          <w:color w:val="201F1E"/>
          <w:sz w:val="22"/>
          <w:szCs w:val="22"/>
        </w:rPr>
      </w:pPr>
      <w:r>
        <w:rPr>
          <w:rFonts w:eastAsia="Arial" w:cs="Arial" w:ascii="Arial" w:hAnsi="Arial"/>
          <w:b w:val="false"/>
          <w:bCs w:val="false"/>
          <w:color w:val="201F1E"/>
          <w:sz w:val="22"/>
          <w:szCs w:val="22"/>
        </w:rPr>
        <w:t>Poner asociaciones significativas.</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Bullets, oraciones.</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Propuestas a futuro.</w:t>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Limitaciones del estudio.</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 la regresión.</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al origen heterogéneo de los datos.</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Asociadas a la definición de las variables (salud, gobernanza)</w:t>
      </w:r>
    </w:p>
    <w:p>
      <w:pPr>
        <w:pStyle w:val="normal1"/>
        <w:numPr>
          <w:ilvl w:val="0"/>
          <w:numId w:val="5"/>
        </w:numPr>
        <w:spacing w:lineRule="auto" w:line="276"/>
        <w:ind w:hanging="360" w:left="720"/>
        <w:jc w:val="both"/>
        <w:rPr>
          <w:rFonts w:ascii="Arial" w:hAnsi="Arial" w:eastAsia="Arial" w:cs="Arial"/>
          <w:b/>
          <w:color w:val="201F1E"/>
          <w:sz w:val="22"/>
          <w:szCs w:val="22"/>
        </w:rPr>
      </w:pPr>
      <w:r>
        <w:rPr>
          <w:rFonts w:eastAsia="Arial" w:cs="Arial" w:ascii="Arial" w:hAnsi="Arial"/>
          <w:b/>
          <w:color w:val="201F1E"/>
          <w:sz w:val="22"/>
          <w:szCs w:val="22"/>
        </w:rPr>
        <w:t>Debido a que en ciencias sociales es difícil plantear experimentos realistas este trabajo es sobre todo descriptivo y observacional. Por ende estos modelos no son buenos para predecir o extrapolar en otros contextos.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000000"/>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Referencias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b/>
          <w:sz w:val="22"/>
          <w:szCs w:val="22"/>
        </w:rPr>
        <w:t>Ba</w:t>
      </w:r>
      <w:r>
        <w:rPr>
          <w:rFonts w:eastAsia="Arial" w:cs="Arial" w:ascii="Arial" w:hAnsi="Arial"/>
          <w:sz w:val="22"/>
          <w:szCs w:val="22"/>
        </w:rPr>
        <w:t xml:space="preserve">che, I. and M. Flinders (2005): </w:t>
      </w:r>
      <w:r>
        <w:rPr>
          <w:rFonts w:eastAsia="Arial" w:cs="Arial" w:ascii="Arial" w:hAnsi="Arial"/>
          <w:i/>
          <w:sz w:val="22"/>
          <w:szCs w:val="22"/>
        </w:rPr>
        <w:t>Multi‐level Governance</w:t>
      </w:r>
      <w:r>
        <w:rPr>
          <w:rFonts w:eastAsia="Arial" w:cs="Arial" w:ascii="Arial" w:hAnsi="Arial"/>
          <w:sz w:val="22"/>
          <w:szCs w:val="22"/>
        </w:rPr>
        <w:t>. Oxford: Oxford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Wildavsky, A. (1988): </w:t>
      </w:r>
      <w:r>
        <w:rPr>
          <w:rFonts w:eastAsia="Arial" w:cs="Arial" w:ascii="Arial" w:hAnsi="Arial"/>
          <w:i/>
          <w:sz w:val="22"/>
          <w:szCs w:val="22"/>
        </w:rPr>
        <w:t>Searching for Safety</w:t>
      </w:r>
      <w:r>
        <w:rPr>
          <w:rFonts w:eastAsia="Arial" w:cs="Arial" w:ascii="Arial" w:hAnsi="Arial"/>
          <w:sz w:val="22"/>
          <w:szCs w:val="22"/>
        </w:rPr>
        <w:t>. New Brunswick, NJ: Transaction Books.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Tom Christensen, Per Lægreid and  Lise H. Rykkja (2014) :</w:t>
      </w:r>
      <w:r>
        <w:rPr>
          <w:rFonts w:eastAsia="Arial" w:cs="Arial" w:ascii="Arial" w:hAnsi="Arial"/>
          <w:i/>
          <w:sz w:val="22"/>
          <w:szCs w:val="22"/>
        </w:rPr>
        <w:t xml:space="preserve"> Crisis Management Organization: Building Governance Capacity and Legitimacy </w:t>
      </w:r>
      <w:r>
        <w:rPr>
          <w:rFonts w:eastAsia="Arial" w:cs="Arial" w:ascii="Arial" w:hAnsi="Arial"/>
          <w:sz w:val="22"/>
          <w:szCs w:val="22"/>
        </w:rPr>
        <w:t>. Rokkan Centre. Stein Rokkan Centre for Social Studies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Bache, I. and M. Flinders (2005): </w:t>
      </w:r>
      <w:r>
        <w:rPr>
          <w:rFonts w:eastAsia="Arial" w:cs="Arial" w:ascii="Arial" w:hAnsi="Arial"/>
          <w:i/>
          <w:sz w:val="22"/>
          <w:szCs w:val="22"/>
        </w:rPr>
        <w:t>Multi‐level Governance</w:t>
      </w:r>
      <w:r>
        <w:rPr>
          <w:rFonts w:eastAsia="Arial" w:cs="Arial" w:ascii="Arial" w:hAnsi="Arial"/>
          <w:sz w:val="22"/>
          <w:szCs w:val="22"/>
        </w:rPr>
        <w:t xml:space="preserve">. Oxford: Oxford University Press. Bjørgo, T. (2013): </w:t>
      </w:r>
      <w:r>
        <w:rPr>
          <w:rFonts w:eastAsia="Arial" w:cs="Arial" w:ascii="Arial" w:hAnsi="Arial"/>
          <w:i/>
          <w:sz w:val="22"/>
          <w:szCs w:val="22"/>
        </w:rPr>
        <w:t>Strategies for Preventing Terrorism</w:t>
      </w:r>
      <w:r>
        <w:rPr>
          <w:rFonts w:eastAsia="Arial" w:cs="Arial" w:ascii="Arial" w:hAnsi="Arial"/>
          <w:sz w:val="22"/>
          <w:szCs w:val="22"/>
        </w:rPr>
        <w:t xml:space="preserve">. Basingstoke: Palgrave Macmillan. Boin, A. (2004): «Lessons from Crisis Research» </w:t>
      </w:r>
      <w:r>
        <w:rPr>
          <w:rFonts w:eastAsia="Arial" w:cs="Arial" w:ascii="Arial" w:hAnsi="Arial"/>
          <w:i/>
          <w:sz w:val="22"/>
          <w:szCs w:val="22"/>
        </w:rPr>
        <w:t>International Studies Review</w:t>
      </w:r>
      <w:r>
        <w:rPr>
          <w:rFonts w:eastAsia="Arial" w:cs="Arial" w:ascii="Arial" w:hAnsi="Arial"/>
          <w:sz w:val="22"/>
          <w:szCs w:val="22"/>
        </w:rPr>
        <w:t>, 6:165–74.</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Busuioc and M. Groenleer (2013): </w:t>
      </w:r>
      <w:r>
        <w:rPr>
          <w:rFonts w:eastAsia="Arial" w:cs="Arial" w:ascii="Arial" w:hAnsi="Arial"/>
          <w:i/>
          <w:sz w:val="22"/>
          <w:szCs w:val="22"/>
        </w:rPr>
        <w:t xml:space="preserve">Building European Union capacity to manage transboundary crisis. Networked or lead agency model? </w:t>
      </w:r>
      <w:r>
        <w:rPr>
          <w:rFonts w:eastAsia="Arial" w:cs="Arial" w:ascii="Arial" w:hAnsi="Arial"/>
          <w:sz w:val="22"/>
          <w:szCs w:val="22"/>
        </w:rPr>
        <w:t>Regulation &amp; Governance, DOI: 10.1111/rego.12035.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Ekengren and M. Rhinard (2013): </w:t>
      </w:r>
      <w:r>
        <w:rPr>
          <w:rFonts w:eastAsia="Arial" w:cs="Arial" w:ascii="Arial" w:hAnsi="Arial"/>
          <w:i/>
          <w:sz w:val="22"/>
          <w:szCs w:val="22"/>
        </w:rPr>
        <w:t>The European Union as Crisis Manager</w:t>
      </w:r>
      <w:r>
        <w:rPr>
          <w:rFonts w:eastAsia="Arial" w:cs="Arial" w:ascii="Arial" w:hAnsi="Arial"/>
          <w:sz w:val="22"/>
          <w:szCs w:val="22"/>
        </w:rPr>
        <w:t>. Cambridge: Cambridge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Boin, A., M. Ekengren and M. Rhinard (2014): Transboundary crisis governance In Sperling, J. (ed.): </w:t>
      </w:r>
      <w:r>
        <w:rPr>
          <w:rFonts w:eastAsia="Arial" w:cs="Arial" w:ascii="Arial" w:hAnsi="Arial"/>
          <w:i/>
          <w:sz w:val="22"/>
          <w:szCs w:val="22"/>
        </w:rPr>
        <w:t xml:space="preserve">Handbook of Governance and Security. </w:t>
      </w:r>
      <w:r>
        <w:rPr>
          <w:rFonts w:eastAsia="Arial" w:cs="Arial" w:ascii="Arial" w:hAnsi="Arial"/>
          <w:sz w:val="22"/>
          <w:szCs w:val="22"/>
        </w:rPr>
        <w:t>Cheltenham: Edward Elgar.</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Christensen, T., O. Danielsen, P. Lægreid and L. H. Rykkja (2014): </w:t>
      </w:r>
      <w:r>
        <w:rPr>
          <w:rFonts w:eastAsia="Arial" w:cs="Arial" w:ascii="Arial" w:hAnsi="Arial"/>
          <w:i/>
          <w:sz w:val="22"/>
          <w:szCs w:val="22"/>
        </w:rPr>
        <w:t>The Governance of Wicked Issues: A European Cross‐Country Analysis of Coordination for Societal Security</w:t>
      </w:r>
      <w:r>
        <w:rPr>
          <w:rFonts w:eastAsia="Arial" w:cs="Arial" w:ascii="Arial" w:hAnsi="Arial"/>
          <w:sz w:val="22"/>
          <w:szCs w:val="22"/>
        </w:rPr>
        <w:t>. Paper presented at the IPSA Conference in Montreal, 20–25 July 2014.</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Christensen, T. and P. Lægreid (forthcoming): Organizational innovations and accountability – Hybrid forms in the post‐New Public Management era In Torfing, J. (ed.): </w:t>
      </w:r>
      <w:r>
        <w:rPr>
          <w:rFonts w:eastAsia="Arial" w:cs="Arial" w:ascii="Arial" w:hAnsi="Arial"/>
          <w:i/>
          <w:sz w:val="22"/>
          <w:szCs w:val="22"/>
        </w:rPr>
        <w:t>Transforming Governance, Enhancing Innovation</w:t>
      </w:r>
      <w:r>
        <w:rPr>
          <w:rFonts w:eastAsia="Arial" w:cs="Arial" w:ascii="Arial" w:hAnsi="Arial"/>
          <w:sz w:val="22"/>
          <w:szCs w:val="22"/>
        </w:rPr>
        <w:t>. Cambridge: Cambridge University Press.</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Lægreid, P., L. H. Rykkja, K. Sarapuu and T. Ramnda‐Liiv (eds) (2014):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Lægreid, P., L. H. Rykkja, K. Sarapuu and T. Ramnda‐Liiv (eds) (2014):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Rykkja, L. H., P. Lægreid and A. L. Fimreite (2011): «Attitudes towards anti‐terror measures: the role of trust, political orientation and civil liberties support» </w:t>
      </w:r>
      <w:r>
        <w:rPr>
          <w:rFonts w:eastAsia="Arial" w:cs="Arial" w:ascii="Arial" w:hAnsi="Arial"/>
          <w:i/>
          <w:sz w:val="22"/>
          <w:szCs w:val="22"/>
        </w:rPr>
        <w:t>Critical Studies of Terrorism</w:t>
      </w:r>
      <w:r>
        <w:rPr>
          <w:rFonts w:eastAsia="Arial" w:cs="Arial" w:ascii="Arial" w:hAnsi="Arial"/>
          <w:sz w:val="22"/>
          <w:szCs w:val="22"/>
        </w:rPr>
        <w:t>, 4 (2): 219– 37.</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Rykkja. L. H. and P. Lægreid (2014): Coordinating for Crisis Management in Norway after the Terrorist Attack in 2011 In Lægreid, P., K. Sarapuu, L. H. Rykkja and T. Randma‐Liiv (eds) (forthcoming): </w:t>
      </w:r>
      <w:r>
        <w:rPr>
          <w:rFonts w:eastAsia="Arial" w:cs="Arial" w:ascii="Arial" w:hAnsi="Arial"/>
          <w:i/>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spacing w:lineRule="auto" w:line="312" w:before="240" w:after="240"/>
        <w:jc w:val="both"/>
        <w:rPr>
          <w:rFonts w:ascii="Arial" w:hAnsi="Arial" w:eastAsia="Arial" w:cs="Arial"/>
          <w:color w:val="2A2A2A"/>
          <w:sz w:val="23"/>
          <w:szCs w:val="23"/>
          <w:highlight w:val="white"/>
        </w:rPr>
      </w:pPr>
      <w:r>
        <w:rPr>
          <w:rFonts w:eastAsia="Arial" w:cs="Arial" w:ascii="Arial" w:hAnsi="Arial"/>
          <w:color w:val="2A2A2A"/>
          <w:sz w:val="23"/>
          <w:szCs w:val="23"/>
        </w:rPr>
        <w:t>Azfar OSpector BICorruption and the delivery of health and education services</w:t>
      </w:r>
      <w:r>
        <w:rPr>
          <w:rFonts w:eastAsia="Arial" w:cs="Arial" w:ascii="Arial" w:hAnsi="Arial"/>
          <w:color w:val="2A2A2A"/>
          <w:sz w:val="23"/>
          <w:szCs w:val="23"/>
          <w:highlight w:val="white"/>
        </w:rPr>
        <w:t xml:space="preserve">, </w:t>
      </w:r>
      <w:r>
        <w:rPr>
          <w:rFonts w:eastAsia="Arial" w:cs="Arial" w:ascii="Arial" w:hAnsi="Arial"/>
          <w:i/>
          <w:color w:val="2A2A2A"/>
          <w:sz w:val="23"/>
          <w:szCs w:val="23"/>
        </w:rPr>
        <w:t>Fighting corruption in developing countries: strategies and analysis</w:t>
      </w:r>
      <w:r>
        <w:rPr>
          <w:rFonts w:eastAsia="Arial" w:cs="Arial" w:ascii="Arial" w:hAnsi="Arial"/>
          <w:color w:val="2A2A2A"/>
          <w:sz w:val="23"/>
          <w:szCs w:val="23"/>
          <w:highlight w:val="white"/>
        </w:rPr>
        <w:t xml:space="preserve">, </w:t>
      </w:r>
      <w:r>
        <w:rPr>
          <w:rFonts w:eastAsia="Arial" w:cs="Arial" w:ascii="Arial" w:hAnsi="Arial"/>
          <w:color w:val="2A2A2A"/>
          <w:sz w:val="23"/>
          <w:szCs w:val="23"/>
        </w:rPr>
        <w:t>2005 Bloomfield, CTKumarian Press</w:t>
      </w:r>
      <w:r>
        <w:rPr>
          <w:rFonts w:eastAsia="Arial" w:cs="Arial" w:ascii="Arial" w:hAnsi="Arial"/>
          <w:color w:val="2A2A2A"/>
          <w:sz w:val="23"/>
          <w:szCs w:val="23"/>
          <w:highlight w:val="white"/>
        </w:rPr>
        <w:t xml:space="preserve">(pg. </w:t>
      </w:r>
      <w:r>
        <w:rPr>
          <w:rFonts w:eastAsia="Arial" w:cs="Arial" w:ascii="Arial" w:hAnsi="Arial"/>
          <w:color w:val="2A2A2A"/>
          <w:sz w:val="23"/>
          <w:szCs w:val="23"/>
        </w:rPr>
        <w:t>181</w:t>
      </w:r>
      <w:r>
        <w:rPr>
          <w:rFonts w:eastAsia="Arial" w:cs="Arial" w:ascii="Arial" w:hAnsi="Arial"/>
          <w:color w:val="2A2A2A"/>
          <w:sz w:val="23"/>
          <w:szCs w:val="23"/>
          <w:highlight w:val="white"/>
        </w:rPr>
        <w:t>-</w:t>
      </w:r>
      <w:r>
        <w:rPr>
          <w:rFonts w:eastAsia="Arial" w:cs="Arial" w:ascii="Arial" w:hAnsi="Arial"/>
          <w:color w:val="2A2A2A"/>
          <w:sz w:val="23"/>
          <w:szCs w:val="23"/>
        </w:rPr>
        <w:t>212</w:t>
      </w:r>
      <w:r>
        <w:rPr>
          <w:rFonts w:eastAsia="Arial" w:cs="Arial" w:ascii="Arial" w:hAnsi="Arial"/>
          <w:color w:val="2A2A2A"/>
          <w:sz w:val="23"/>
          <w:szCs w:val="23"/>
          <w:highlight w:val="white"/>
        </w:rPr>
        <w:t>)</w:t>
      </w:r>
    </w:p>
    <w:p>
      <w:pPr>
        <w:pStyle w:val="normal1"/>
        <w:spacing w:lineRule="auto" w:line="312" w:before="240" w:after="240"/>
        <w:jc w:val="both"/>
        <w:rPr>
          <w:rFonts w:ascii="Arial" w:hAnsi="Arial" w:eastAsia="Arial" w:cs="Arial"/>
          <w:color w:val="2A2A2A"/>
          <w:sz w:val="23"/>
          <w:szCs w:val="23"/>
          <w:highlight w:val="white"/>
        </w:rPr>
      </w:pPr>
      <w:r>
        <w:rPr>
          <w:rFonts w:eastAsia="Arial" w:cs="Arial" w:ascii="Arial" w:hAnsi="Arial"/>
          <w:color w:val="222222"/>
          <w:sz w:val="20"/>
          <w:szCs w:val="20"/>
          <w:highlight w:val="white"/>
        </w:rPr>
        <w:t xml:space="preserve">Anderson, T. (2006). Outlook: Anti-corruption plan aims to slash drug prices. </w:t>
      </w:r>
      <w:r>
        <w:rPr>
          <w:rFonts w:eastAsia="Arial" w:cs="Arial" w:ascii="Arial" w:hAnsi="Arial"/>
          <w:i/>
          <w:color w:val="222222"/>
          <w:sz w:val="20"/>
          <w:szCs w:val="20"/>
          <w:highlight w:val="white"/>
        </w:rPr>
        <w:t>The Guardian Weekly</w:t>
      </w:r>
      <w:r>
        <w:rPr>
          <w:rFonts w:eastAsia="Arial" w:cs="Arial" w:ascii="Arial" w:hAnsi="Arial"/>
          <w:color w:val="222222"/>
          <w:sz w:val="20"/>
          <w:szCs w:val="20"/>
          <w:highlight w:val="white"/>
        </w:rPr>
        <w:t xml:space="preserve">, </w:t>
      </w:r>
      <w:r>
        <w:rPr>
          <w:rFonts w:eastAsia="Arial" w:cs="Arial" w:ascii="Arial" w:hAnsi="Arial"/>
          <w:i/>
          <w:color w:val="222222"/>
          <w:sz w:val="20"/>
          <w:szCs w:val="20"/>
          <w:highlight w:val="white"/>
        </w:rPr>
        <w:t>28</w:t>
      </w:r>
      <w:r>
        <w:rPr>
          <w:rFonts w:eastAsia="Arial" w:cs="Arial" w:ascii="Arial" w:hAnsi="Arial"/>
          <w:color w:val="222222"/>
          <w:sz w:val="20"/>
          <w:szCs w:val="20"/>
          <w:highlight w:val="white"/>
        </w:rPr>
        <w:t>.</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hyperlink r:id="rId33">
        <w:r>
          <w:rPr>
            <w:rStyle w:val="ListLabel83"/>
            <w:rFonts w:eastAsia="Arial" w:cs="Arial" w:ascii="Arial" w:hAnsi="Arial"/>
            <w:color w:val="1155CC"/>
            <w:sz w:val="22"/>
            <w:szCs w:val="22"/>
            <w:u w:val="single"/>
          </w:rPr>
          <w:t>https://www.bankingsupervision.europa.eu/press/publications/newsletter/2020/html/ssm.nl201118.en.html</w:t>
        </w:r>
      </w:hyperlink>
    </w:p>
    <w:p>
      <w:pPr>
        <w:pStyle w:val="normal1"/>
        <w:spacing w:lineRule="auto" w:line="312" w:before="240" w:after="240"/>
        <w:jc w:val="both"/>
        <w:rPr>
          <w:rFonts w:ascii="Arial" w:hAnsi="Arial" w:eastAsia="Arial" w:cs="Arial"/>
          <w:sz w:val="22"/>
          <w:szCs w:val="22"/>
        </w:rPr>
      </w:pPr>
      <w:hyperlink r:id="rId34">
        <w:r>
          <w:rPr>
            <w:rStyle w:val="ListLabel83"/>
            <w:rFonts w:eastAsia="Arial" w:cs="Arial" w:ascii="Arial" w:hAnsi="Arial"/>
            <w:color w:val="1155CC"/>
            <w:sz w:val="22"/>
            <w:szCs w:val="22"/>
            <w:u w:val="single"/>
          </w:rPr>
          <w:t>https://www.who.int/data/stories/the-true-death-toll-of-covid-19-estimating-global-excess-mortality</w:t>
        </w:r>
      </w:hyperlink>
    </w:p>
    <w:p>
      <w:pPr>
        <w:pStyle w:val="normal1"/>
        <w:spacing w:lineRule="auto" w:line="312" w:before="240" w:after="240"/>
        <w:jc w:val="both"/>
        <w:rPr>
          <w:rFonts w:ascii="Arial" w:hAnsi="Arial" w:eastAsia="Arial" w:cs="Arial"/>
          <w:sz w:val="22"/>
          <w:szCs w:val="22"/>
        </w:rPr>
      </w:pPr>
      <w:hyperlink r:id="rId35">
        <w:r>
          <w:rPr>
            <w:rStyle w:val="ListLabel83"/>
            <w:rFonts w:eastAsia="Arial" w:cs="Arial" w:ascii="Arial" w:hAnsi="Arial"/>
            <w:color w:val="1155CC"/>
            <w:sz w:val="22"/>
            <w:szCs w:val="22"/>
            <w:u w:val="single"/>
          </w:rPr>
          <w:t>https://blog.mygov.in/editorial/the-vajpayee-doctrine-of-good-governance/</w:t>
        </w:r>
      </w:hyperlink>
    </w:p>
    <w:p>
      <w:pPr>
        <w:pStyle w:val="normal1"/>
        <w:spacing w:lineRule="auto" w:line="312" w:before="240" w:after="240"/>
        <w:jc w:val="both"/>
        <w:rPr>
          <w:rFonts w:ascii="Arial" w:hAnsi="Arial" w:eastAsia="Arial" w:cs="Arial"/>
          <w:sz w:val="22"/>
          <w:szCs w:val="22"/>
        </w:rPr>
      </w:pPr>
      <w:hyperlink r:id="rId36">
        <w:r>
          <w:rPr>
            <w:rStyle w:val="ListLabel83"/>
            <w:rFonts w:eastAsia="Arial" w:cs="Arial" w:ascii="Arial" w:hAnsi="Arial"/>
            <w:color w:val="1155CC"/>
            <w:sz w:val="22"/>
            <w:szCs w:val="22"/>
            <w:u w:val="single"/>
          </w:rPr>
          <w:t>https://web.archive.org/web/20230718035603/https://link.springer.com/content/pdf/10.1007/s40647-017-0197-4.pdf?error=cookies_not_supported&amp;code=eb741fde-e70d-4588-8418-c29cc8e46f34</w:t>
        </w:r>
      </w:hyperlink>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Coase, Ronald [2000], “The nature of the firm”, Nicolai J. Foss (coordinador), The Theory of the Firm , New York, Routledge, vol. 2, pp.</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Kaufmann, Daniel, Aart Kraay, and Massimo Mastruzzi (2007a). "The Worldwide Governance Indicators Project”</w:t>
      </w:r>
    </w:p>
    <w:p>
      <w:pPr>
        <w:pStyle w:val="normal1"/>
        <w:spacing w:lineRule="auto" w:line="312" w:before="240" w:after="240"/>
        <w:jc w:val="both"/>
        <w:rPr>
          <w:rFonts w:ascii="Arial" w:hAnsi="Arial" w:eastAsia="Arial" w:cs="Arial"/>
          <w:sz w:val="22"/>
          <w:szCs w:val="22"/>
        </w:rPr>
      </w:pPr>
      <w:r>
        <w:fldChar w:fldCharType="begin"/>
      </w:r>
      <w:r>
        <w:rPr>
          <w:rStyle w:val="ListLabel83"/>
          <w:sz w:val="22"/>
          <w:u w:val="single"/>
          <w:szCs w:val="22"/>
          <w:rFonts w:eastAsia="Arial" w:cs="Arial" w:ascii="Arial" w:hAnsi="Arial"/>
          <w:color w:val="1155CC"/>
        </w:rPr>
        <w:instrText xml:space="preserve"> HYPERLINK "https://www.who.int/health-topics/health-systems-governance" \l "tab=tab_1"</w:instrText>
      </w:r>
      <w:r>
        <w:rPr>
          <w:rStyle w:val="ListLabel83"/>
          <w:sz w:val="22"/>
          <w:u w:val="single"/>
          <w:szCs w:val="22"/>
          <w:rFonts w:eastAsia="Arial" w:cs="Arial" w:ascii="Arial" w:hAnsi="Arial"/>
          <w:color w:val="1155CC"/>
        </w:rPr>
        <w:fldChar w:fldCharType="separate"/>
      </w:r>
      <w:r>
        <w:rPr>
          <w:rStyle w:val="ListLabel83"/>
          <w:rFonts w:eastAsia="Arial" w:cs="Arial" w:ascii="Arial" w:hAnsi="Arial"/>
          <w:color w:val="1155CC"/>
          <w:sz w:val="22"/>
          <w:szCs w:val="22"/>
          <w:u w:val="single"/>
        </w:rPr>
        <w:t>https://www.who.int/health-topics/health-systems-governance#tab=tab_1</w:t>
      </w:r>
      <w:r>
        <w:rPr>
          <w:rStyle w:val="ListLabel83"/>
          <w:sz w:val="22"/>
          <w:u w:val="single"/>
          <w:szCs w:val="22"/>
          <w:rFonts w:eastAsia="Arial" w:cs="Arial" w:ascii="Arial" w:hAnsi="Arial"/>
          <w:color w:val="1155CC"/>
        </w:rPr>
        <w:fldChar w:fldCharType="end"/>
      </w:r>
    </w:p>
    <w:p>
      <w:pPr>
        <w:pStyle w:val="normal1"/>
        <w:spacing w:lineRule="auto" w:line="312" w:before="240" w:after="240"/>
        <w:jc w:val="both"/>
        <w:rPr>
          <w:rFonts w:ascii="Arial" w:hAnsi="Arial" w:eastAsia="Arial" w:cs="Arial"/>
          <w:sz w:val="22"/>
          <w:szCs w:val="22"/>
        </w:rPr>
      </w:pPr>
      <w:hyperlink r:id="rId37">
        <w:r>
          <w:rPr>
            <w:rStyle w:val="ListLabel83"/>
            <w:rFonts w:eastAsia="Arial" w:cs="Arial" w:ascii="Arial" w:hAnsi="Arial"/>
            <w:color w:val="1155CC"/>
            <w:sz w:val="22"/>
            <w:szCs w:val="22"/>
            <w:u w:val="single"/>
          </w:rPr>
          <w:t>https://www.hfgproject.org/wp-content/uploads/2015/02/Health-Governance-Concepts-Experience-and-Programming-Options.pdf</w:t>
        </w:r>
      </w:hyperlink>
    </w:p>
    <w:p>
      <w:pPr>
        <w:pStyle w:val="normal1"/>
        <w:spacing w:lineRule="auto" w:line="312"/>
        <w:jc w:val="both"/>
        <w:rPr>
          <w:rFonts w:ascii="Arial" w:hAnsi="Arial" w:eastAsia="Arial" w:cs="Arial"/>
          <w:sz w:val="22"/>
          <w:szCs w:val="22"/>
        </w:rPr>
      </w:pPr>
      <w:hyperlink r:id="rId38">
        <w:r>
          <w:rPr>
            <w:rStyle w:val="ListLabel83"/>
            <w:rFonts w:eastAsia="Arial" w:cs="Arial" w:ascii="Arial" w:hAnsi="Arial"/>
            <w:color w:val="1155CC"/>
            <w:sz w:val="22"/>
            <w:szCs w:val="22"/>
            <w:u w:val="single"/>
          </w:rPr>
          <w:t>https://academic.oup.com/heapol/article/29/6/663/570318?login=false</w:t>
        </w:r>
      </w:hyperlink>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hyperlink r:id="rId40">
        <w:r>
          <w:rPr>
            <w:rStyle w:val="Hyperlink"/>
            <w:rFonts w:eastAsia="Arial" w:cs="Arial" w:ascii="Arial" w:hAnsi="Arial"/>
            <w:sz w:val="22"/>
            <w:szCs w:val="22"/>
          </w:rPr>
          <w:t>https://pmc.ncbi.nlm.nih.gov/articles/PMC8599507/</w:t>
        </w:r>
      </w:hyperlink>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Otros:</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Otros estudios: hablan directamente de democracia, más que de gobernanza.</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Si bien investigaciones anteriores han informado que la eficacia del gobierno está negativamente correlacionada con las muertes por COVID-19 [18,19], no se apoya tan firmemente que los gobiernos democráticos tiendan a ser menos efectivos que los gobiernos no democráticos. (Covid-19 mortality is negatively associated with test number and government effectiveness, State capacity in responding toCOVID-19) de hecho, el nivel de democracia no está necesariamente relacionado con la función de los gobiernos, mientras que la efectividad del gobierno está directamente relacionada con su desempeño.3 Persson y Povitkina [21] explican tanto la diferencia como la relación entre los dos en su estudio sobre desastres naturales, como utilizan el término “calidad institucional” como sinónimo de eficacia del gobierno4: “Mientras que el nivel de democracia da forma a cómo se toman las decisiones en un sistema de gobierno y hasta cierto punto determina qué tan amplio es el círculo de intereses representados en el gobierno, la calidad institucional determina si las decisiones se implementan y llegan al público.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En su propio análisis empírico, Persson y Povitkina [21] muestran que los países democráticos con una mayor calidad de gobierno tienden a tener menos personas afectadas por desastres naturales. En la medida en que la pandemia de COVID-19 se asemeje a un desastre natural, se pueden esperar los mismos resultados. PERO ES DIFERENTE , en salud ya hay antecedentes, comorbilidades. </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Algunos aspectos fundamentales de la gobernanza de la salud incluyen:</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Formulación de políticas de salud</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Implica el desarrollo de estrategias y planes para abordar los desafíos de salud y mejorar el bienestar de la población.</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Regulación y supervisión</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Garantiza que los servicios de salud cumplan con estándares de calidad y seguridad, y supervisa la práctica de profesionales de la salud y la eficacia de los tratamientos.</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Asignación de recursos</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Implica la distribución eficiente y equitativa de los recursos financieros, humanos y tecnológicos en el sistema de salud.</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Participación y rendición de cuentas</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Involucra a la sociedad civil y a los ciudadanos en la toma de decisiones sobre políticas de salud y asegura que los responsables de la toma de decisiones rindan cuentas por sus acciones.</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Coordinación intersectorial</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Fomenta la colaboración entre diferentes sectores, como educación, medio ambiente, transporte, etc., para abordar determinantes sociales de la salud y promover un enfoque integral.</w:t>
      </w:r>
    </w:p>
    <w:p>
      <w:pPr>
        <w:pStyle w:val="normal1"/>
        <w:keepNext w:val="false"/>
        <w:keepLines w:val="false"/>
        <w:pageBreakBefore w:val="false"/>
        <w:widowControl/>
        <w:numPr>
          <w:ilvl w:val="0"/>
          <w:numId w:val="7"/>
        </w:numPr>
        <w:shd w:val="clear" w:fill="auto"/>
        <w:spacing w:lineRule="auto" w:line="240" w:before="0" w:after="0"/>
        <w:ind w:hanging="360" w:left="7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2"/>
          <w:sz w:val="22"/>
          <w:szCs w:val="22"/>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Monitoreo y evaluación</w:t>
      </w: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 Permite medir el impacto de las políticas y programas de salud, identificar áreas de mejora y adaptar las estrategias según sea necesario.</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t>La buena gobernanza de la salud es esencial para lograr un sistema de salud efectivo y equitativo que responda a las necesidades de la población y mejore su calidad de vida. Además, es fundamental en situaciones de emergencia y crisis, como pandemias, donde la toma de decisiones rápida y basada en evidencia puede salvar vidas y proteger la salud pública</w:t>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shd w:val="clear" w:fill="auto"/>
        <w:spacing w:lineRule="auto" w:line="240" w:before="0" w:after="0"/>
        <w:ind w:hanging="0" w:left="0" w:right="0"/>
        <w:jc w:val="left"/>
        <w:rPr>
          <w:rFonts w:ascii="Arial" w:hAnsi="Arial" w:eastAsia="Arial" w:cs="Arial"/>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i w:val="false"/>
          <w:caps w:val="false"/>
          <w:smallCaps w:val="false"/>
          <w:strike w:val="false"/>
          <w:dstrike w:val="false"/>
          <w:color w:val="000000"/>
          <w:position w:val="0"/>
          <w:sz w:val="22"/>
          <w:sz w:val="22"/>
          <w:szCs w:val="22"/>
          <w:u w:val="none"/>
          <w:shd w:fill="auto" w:val="clear"/>
          <w:vertAlign w:val="baseline"/>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Otros estudios: hablan directamente de democracia, más que de gobernanza.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 bien investigaciones anteriores han informado que la eficacia del gobierno está negativamente correlacionada con las muertes por COVID-19 [18,19], no se apoya tan firmemente que los gobiernos democráticos tiendan a ser menos efectivos que los gobiernos no democráticos. (</w:t>
      </w:r>
      <w:r>
        <w:rPr>
          <w:rFonts w:eastAsia="Arial" w:cs="Arial" w:ascii="Arial" w:hAnsi="Arial"/>
          <w:color w:val="2E2E2E"/>
          <w:sz w:val="22"/>
          <w:szCs w:val="22"/>
          <w:highlight w:val="white"/>
        </w:rPr>
        <w:t xml:space="preserve">Covid-19 mortality is negatively associated with test number and government effectiveness, State capacity in responding toCOVID-19) </w:t>
      </w:r>
      <w:r>
        <w:rPr>
          <w:rFonts w:eastAsia="Arial" w:cs="Arial" w:ascii="Arial" w:hAnsi="Arial"/>
          <w:color w:val="201F1E"/>
          <w:sz w:val="22"/>
          <w:szCs w:val="22"/>
        </w:rPr>
        <w:t>de hecho, el nivel de democracia no está necesariamente relacionado con la función de los gobiernos, mientras que la efectividad del gobierno está directamente relacionada con su desempeño.3 Persson y Povitkina [21] explican tanto la diferencia como la relación entre los dos en su estudio sobre desastres naturales, como utilizan el término “calidad institucional” como sinónimo de eficacia del gobierno4: “Mientras que el nivel de democracia da forma a cómo se toman las decisiones en un sistema de gobierno y hasta cierto punto determina qué tan amplio es el círculo de intereses representados en el gobierno, la calidad institucional determina si las decisiones se implementan y llegan al público.</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En su propio análisis empírico, Persson y Povitkina [21] muestran que los países democráticos con una mayor calidad de gobierno tienden a tener menos personas afectadas por desastres naturales. En la medida en que la pandemia de COVID-19 se asemeje a un desastre natural, se pueden esperar los mismos resultados. PERO ES DIFERENTE , en salud ya hay antecedentes, comorbilidades. </w:t>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jc w:val="both"/>
        <w:rPr>
          <w:rFonts w:ascii="Arial" w:hAnsi="Arial" w:eastAsia="Arial" w:cs="Arial"/>
          <w:color w:val="2E2E2E"/>
          <w:sz w:val="22"/>
          <w:szCs w:val="22"/>
          <w:highlight w:val="white"/>
        </w:rPr>
      </w:pPr>
      <w:r>
        <w:rPr>
          <w:rFonts w:eastAsia="Arial" w:cs="Arial" w:ascii="Arial" w:hAnsi="Arial"/>
          <w:color w:val="2E2E2E"/>
          <w:sz w:val="22"/>
          <w:szCs w:val="22"/>
          <w:highlight w:val="white"/>
        </w:rPr>
      </w:r>
    </w:p>
    <w:p>
      <w:pPr>
        <w:pStyle w:val="normal1"/>
        <w:spacing w:lineRule="auto" w:line="276" w:before="0" w:after="300"/>
        <w:jc w:val="both"/>
        <w:rPr>
          <w:rFonts w:ascii="Arial" w:hAnsi="Arial" w:eastAsia="Arial" w:cs="Arial"/>
          <w:color w:val="D1D5DB"/>
          <w:sz w:val="22"/>
          <w:szCs w:val="22"/>
          <w:highlight w:val="white"/>
        </w:rPr>
      </w:pPr>
      <w:r>
        <w:rPr>
          <w:rFonts w:eastAsia="Arial" w:cs="Arial" w:ascii="Arial" w:hAnsi="Arial"/>
          <w:color w:val="D1D5DB"/>
          <w:sz w:val="22"/>
          <w:szCs w:val="22"/>
          <w:highlight w:val="white"/>
        </w:rPr>
        <w:t>La gobernanza de la salud se refiere al conjunto de procesos, estructuras y políticas mediante los cuales se gestiona y regula el sistema de salud de un país o una región. Es un concepto que abarca tanto la toma de decisiones como la implementación de acciones para garantizar que los servicios de salud sean efectivos, accesibles, equitativos y de alta calidad.</w:t>
      </w:r>
    </w:p>
    <w:p>
      <w:pPr>
        <w:pStyle w:val="normal1"/>
        <w:spacing w:lineRule="auto" w:line="276" w:before="300" w:after="300"/>
        <w:jc w:val="both"/>
        <w:rPr>
          <w:rFonts w:ascii="Arial" w:hAnsi="Arial" w:eastAsia="Arial" w:cs="Arial"/>
          <w:sz w:val="22"/>
          <w:szCs w:val="22"/>
          <w:highlight w:val="white"/>
        </w:rPr>
      </w:pPr>
      <w:r>
        <w:rPr>
          <w:rFonts w:eastAsia="Arial" w:cs="Arial" w:ascii="Arial" w:hAnsi="Arial"/>
          <w:sz w:val="22"/>
          <w:szCs w:val="22"/>
          <w:highlight w:val="white"/>
        </w:rPr>
        <w:t>La gobernanza de la salud implica la coordinación entre los actores clave del sistema de salud, que incluyen el gobierno, los proveedores de atención médica, las instituciones de salud, las organizaciones no gubernamentales, el sector privado y la sociedad civil. También abarca la participación activa de la población en la toma de decisiones relacionadas con la salud.</w:t>
      </w:r>
    </w:p>
    <w:p>
      <w:pPr>
        <w:pStyle w:val="normal1"/>
        <w:spacing w:lineRule="auto" w:line="276" w:before="300" w:after="300"/>
        <w:jc w:val="both"/>
        <w:rPr>
          <w:rFonts w:ascii="Arial" w:hAnsi="Arial" w:eastAsia="Arial" w:cs="Arial"/>
          <w:sz w:val="22"/>
          <w:szCs w:val="22"/>
          <w:highlight w:val="white"/>
        </w:rPr>
      </w:pPr>
      <w:r>
        <w:rPr>
          <w:rFonts w:eastAsia="Arial" w:cs="Arial" w:ascii="Arial" w:hAnsi="Arial"/>
          <w:sz w:val="22"/>
          <w:szCs w:val="22"/>
          <w:highlight w:val="white"/>
        </w:rPr>
        <w:t>Algunos aspectos fundamentales de la gobernanza de la salud incluyen:</w:t>
      </w:r>
    </w:p>
    <w:p>
      <w:pPr>
        <w:pStyle w:val="normal1"/>
        <w:numPr>
          <w:ilvl w:val="0"/>
          <w:numId w:val="1"/>
        </w:numPr>
        <w:spacing w:lineRule="auto" w:line="276" w:before="300" w:after="0"/>
        <w:ind w:hanging="360" w:left="720"/>
        <w:rPr>
          <w:color w:val="000000"/>
          <w:sz w:val="22"/>
          <w:szCs w:val="22"/>
          <w:highlight w:val="white"/>
        </w:rPr>
      </w:pPr>
      <w:r>
        <w:rPr>
          <w:rFonts w:eastAsia="Arial" w:cs="Arial" w:ascii="Arial" w:hAnsi="Arial"/>
          <w:b/>
          <w:sz w:val="22"/>
          <w:szCs w:val="22"/>
          <w:highlight w:val="white"/>
        </w:rPr>
        <w:t>Formulación de políticas de salud</w:t>
      </w:r>
      <w:r>
        <w:rPr>
          <w:rFonts w:eastAsia="Arial" w:cs="Arial" w:ascii="Arial" w:hAnsi="Arial"/>
          <w:sz w:val="22"/>
          <w:szCs w:val="22"/>
          <w:highlight w:val="white"/>
        </w:rPr>
        <w:t>: Implica el desarrollo de estrategias y planes para abordar los desafíos de salud y mejorar el bienestar de la población.</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Regulación y supervisión</w:t>
      </w:r>
      <w:r>
        <w:rPr>
          <w:rFonts w:eastAsia="Arial" w:cs="Arial" w:ascii="Arial" w:hAnsi="Arial"/>
          <w:sz w:val="22"/>
          <w:szCs w:val="22"/>
          <w:highlight w:val="white"/>
        </w:rPr>
        <w:t>: Garantiza que los servicios de salud cumplan con estándares de calidad y seguridad, y supervisa la práctica de profesionales de la salud y la eficacia de los tratamientos.</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Asignación de recursos</w:t>
      </w:r>
      <w:r>
        <w:rPr>
          <w:rFonts w:eastAsia="Arial" w:cs="Arial" w:ascii="Arial" w:hAnsi="Arial"/>
          <w:sz w:val="22"/>
          <w:szCs w:val="22"/>
          <w:highlight w:val="white"/>
        </w:rPr>
        <w:t>: Implica la distribución eficiente y equitativa de los recursos financieros, humanos y tecnológicos en el sistema de salud.</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Participación y rendición de cuentas</w:t>
      </w:r>
      <w:r>
        <w:rPr>
          <w:rFonts w:eastAsia="Arial" w:cs="Arial" w:ascii="Arial" w:hAnsi="Arial"/>
          <w:sz w:val="22"/>
          <w:szCs w:val="22"/>
          <w:highlight w:val="white"/>
        </w:rPr>
        <w:t>: Involucra a la sociedad civil y a los ciudadanos en la toma de decisiones sobre políticas de salud y asegura que los responsables de la toma de decisiones rindan cuentas por sus acciones.</w:t>
      </w:r>
    </w:p>
    <w:p>
      <w:pPr>
        <w:pStyle w:val="normal1"/>
        <w:numPr>
          <w:ilvl w:val="0"/>
          <w:numId w:val="1"/>
        </w:numPr>
        <w:spacing w:lineRule="auto" w:line="276"/>
        <w:ind w:hanging="360" w:left="720"/>
        <w:rPr>
          <w:color w:val="000000"/>
          <w:sz w:val="22"/>
          <w:szCs w:val="22"/>
          <w:highlight w:val="white"/>
        </w:rPr>
      </w:pPr>
      <w:r>
        <w:rPr>
          <w:rFonts w:eastAsia="Arial" w:cs="Arial" w:ascii="Arial" w:hAnsi="Arial"/>
          <w:b/>
          <w:sz w:val="22"/>
          <w:szCs w:val="22"/>
          <w:highlight w:val="white"/>
        </w:rPr>
        <w:t>Coordinación intersectorial</w:t>
      </w:r>
      <w:r>
        <w:rPr>
          <w:rFonts w:eastAsia="Arial" w:cs="Arial" w:ascii="Arial" w:hAnsi="Arial"/>
          <w:sz w:val="22"/>
          <w:szCs w:val="22"/>
          <w:highlight w:val="white"/>
        </w:rPr>
        <w:t>: Fomenta la colaboración entre diferentes sectores, como educación, medio ambiente, transporte, etc., para abordar determinantes sociales de la salud y promover un enfoque integral.</w:t>
      </w:r>
    </w:p>
    <w:p>
      <w:pPr>
        <w:pStyle w:val="normal1"/>
        <w:numPr>
          <w:ilvl w:val="0"/>
          <w:numId w:val="1"/>
        </w:numPr>
        <w:spacing w:lineRule="auto" w:line="276" w:before="0" w:after="300"/>
        <w:ind w:hanging="360" w:left="720"/>
        <w:rPr>
          <w:color w:val="000000"/>
          <w:sz w:val="22"/>
          <w:szCs w:val="22"/>
          <w:highlight w:val="white"/>
        </w:rPr>
      </w:pPr>
      <w:r>
        <w:rPr>
          <w:rFonts w:eastAsia="Arial" w:cs="Arial" w:ascii="Arial" w:hAnsi="Arial"/>
          <w:b/>
          <w:sz w:val="22"/>
          <w:szCs w:val="22"/>
          <w:highlight w:val="white"/>
        </w:rPr>
        <w:t>Monitoreo y evaluación</w:t>
      </w:r>
      <w:r>
        <w:rPr>
          <w:rFonts w:eastAsia="Arial" w:cs="Arial" w:ascii="Arial" w:hAnsi="Arial"/>
          <w:sz w:val="22"/>
          <w:szCs w:val="22"/>
          <w:highlight w:val="white"/>
        </w:rPr>
        <w:t>: Permite medir el impacto de las políticas y programas de salud, identificar áreas de mejora y adaptar las estrategias según sea necesario.</w:t>
      </w:r>
    </w:p>
    <w:p>
      <w:pPr>
        <w:pStyle w:val="normal1"/>
        <w:spacing w:lineRule="auto" w:line="276"/>
        <w:jc w:val="both"/>
        <w:rPr>
          <w:rFonts w:ascii="Arial" w:hAnsi="Arial" w:eastAsia="Arial" w:cs="Arial"/>
          <w:sz w:val="22"/>
          <w:szCs w:val="22"/>
          <w:highlight w:val="white"/>
        </w:rPr>
      </w:pPr>
      <w:r>
        <w:rPr>
          <w:rFonts w:eastAsia="Arial" w:cs="Arial" w:ascii="Arial" w:hAnsi="Arial"/>
          <w:sz w:val="22"/>
          <w:szCs w:val="22"/>
          <w:highlight w:val="white"/>
        </w:rPr>
        <w:t>La buena gobernanza de la salud es esencial para lograr un sistema de salud efectivo y equitativo que responda a las necesidades de la población y mejore su calidad de vida. Además, es fundamental en situaciones de emergencia y crisis, como pandemias, donde la toma de decisiones rápida y basada en evidencia puede salvar vidas y proteger la salud pública.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Helvetica Neue Light" w:hAnsi="Helvetica Neue Light" w:eastAsia="Helvetica Neue Light" w:cs="Helvetica Neue Light"/>
          <w:sz w:val="20"/>
          <w:szCs w:val="20"/>
        </w:rPr>
      </w:pPr>
      <w:r>
        <w:rPr>
          <w:rFonts w:eastAsia="Helvetica Neue Light" w:cs="Helvetica Neue Light" w:ascii="Helvetica Neue Light" w:hAnsi="Helvetica Neue Light"/>
          <w:sz w:val="20"/>
          <w:szCs w:val="20"/>
        </w:rPr>
      </w:r>
    </w:p>
    <w:sectPr>
      <w:headerReference w:type="even" r:id="rId41"/>
      <w:headerReference w:type="default" r:id="rId42"/>
      <w:headerReference w:type="first" r:id="rId43"/>
      <w:footerReference w:type="even" r:id="rId44"/>
      <w:footerReference w:type="default" r:id="rId45"/>
      <w:footerReference w:type="first" r:id="rId46"/>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VIDAL ROMERO" w:date="2023-06-21T07:58:00Z" w:initials="">
    <w:p>
      <w:pPr>
        <w:overflowPunct w:val="fals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Define gobernanza para entender cuál es la fuente de varianza que estudiarás.</w:t>
      </w:r>
    </w:p>
  </w:comment>
  <w:comment w:id="1" w:author="VIDAL ROMERO" w:date="2023-06-21T07:58:00Z" w:initials="">
    <w:p>
      <w:pPr>
        <w:overflowPunct w:val="fals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Define exceso de mortalidad.</w:t>
      </w:r>
    </w:p>
  </w:comment>
  <w:comment w:id="2" w:author="VIDAL ROMERO" w:date="2023-06-21T08:01:00Z" w:initials="">
    <w:p>
      <w:pPr>
        <w:overflowPunct w:val="fals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Si esto ya está demostrado, precisa cuál es tu contribución.</w:t>
      </w:r>
    </w:p>
  </w:comment>
  <w:comment w:id="3" w:author="VIDAL ROMERO" w:date="2023-06-21T08:01:00Z" w:initials="">
    <w:p>
      <w:pPr>
        <w:overflowPunct w:val="false"/>
        <w:rPr/>
      </w:pPr>
      <w:r>
        <w:rPr>
          <w:rFonts w:ascii="Arial" w:hAnsi="Arial" w:eastAsia="Arial" w:cs="Arial"/>
          <w:b w:val="false"/>
          <w:i w:val="false"/>
          <w:caps w:val="false"/>
          <w:smallCaps w:val="false"/>
          <w:strike w:val="false"/>
          <w:dstrike w:val="false"/>
          <w:color w:val="000000"/>
          <w:position w:val="0"/>
          <w:sz w:val="22"/>
          <w:sz w:val="22"/>
          <w:szCs w:val="22"/>
          <w:u w:val="none"/>
          <w:shd w:fill="auto" w:val="clear"/>
          <w:vertAlign w:val="baseline"/>
          <w:lang w:val="en-US" w:eastAsia="en-US" w:bidi="en-US"/>
        </w:rPr>
        <w:t>En tu pregunta hablas de “tipo de gobierno”, pero tus hipótesis se refieren sólo a gobernanza.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swiss"/>
    <w:pitch w:val="variable"/>
  </w:font>
  <w:font w:name="OpenSymbol">
    <w:altName w:val="Arial Unicode MS"/>
    <w:charset w:val="02"/>
    <w:family w:val="auto"/>
    <w:pitch w:val="default"/>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Roboto">
    <w:charset w:val="01"/>
    <w:family w:val="auto"/>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Noto Sans Symbols">
    <w:charset w:val="01"/>
    <w:family w:val="swiss"/>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jc w:val="both"/>
        <w:rPr>
          <w:rFonts w:ascii="Arial" w:hAnsi="Arial" w:eastAsia="Arial" w:cs="Arial"/>
          <w:sz w:val="12"/>
          <w:szCs w:val="12"/>
        </w:rPr>
      </w:pPr>
      <w:r>
        <w:rPr>
          <w:rStyle w:val="FootnoteCharacters"/>
        </w:rPr>
        <w:footnoteRef/>
      </w:r>
      <w:r>
        <w:rPr>
          <w:rFonts w:eastAsia="Arial" w:cs="Arial" w:ascii="Arial" w:hAnsi="Arial"/>
          <w:sz w:val="20"/>
          <w:szCs w:val="20"/>
        </w:rPr>
        <w:t xml:space="preserve"> </w:t>
      </w:r>
      <w:r>
        <w:rPr>
          <w:rFonts w:eastAsia="Arial" w:cs="Arial" w:ascii="Arial" w:hAnsi="Arial"/>
          <w:sz w:val="12"/>
          <w:szCs w:val="12"/>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3">
              <wp:simplePos x="0" y="0"/>
              <wp:positionH relativeFrom="page">
                <wp:posOffset>6951345</wp:posOffset>
              </wp:positionH>
              <wp:positionV relativeFrom="page">
                <wp:posOffset>646430</wp:posOffset>
              </wp:positionV>
              <wp:extent cx="635" cy="38100"/>
              <wp:effectExtent l="19685" t="1270" r="19050" b="635"/>
              <wp:wrapNone/>
              <wp:docPr id="22"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47.35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5">
              <wp:simplePos x="0" y="0"/>
              <wp:positionH relativeFrom="page">
                <wp:posOffset>742950</wp:posOffset>
              </wp:positionH>
              <wp:positionV relativeFrom="page">
                <wp:posOffset>9163050</wp:posOffset>
              </wp:positionV>
              <wp:extent cx="635" cy="12700"/>
              <wp:effectExtent l="6985" t="635" r="6350" b="1270"/>
              <wp:wrapNone/>
              <wp:docPr id="23"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3">
              <wp:simplePos x="0" y="0"/>
              <wp:positionH relativeFrom="page">
                <wp:posOffset>6951345</wp:posOffset>
              </wp:positionH>
              <wp:positionV relativeFrom="page">
                <wp:posOffset>646430</wp:posOffset>
              </wp:positionV>
              <wp:extent cx="635" cy="38100"/>
              <wp:effectExtent l="19685" t="1270" r="19050" b="635"/>
              <wp:wrapNone/>
              <wp:docPr id="24"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47.35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5">
              <wp:simplePos x="0" y="0"/>
              <wp:positionH relativeFrom="page">
                <wp:posOffset>742950</wp:posOffset>
              </wp:positionH>
              <wp:positionV relativeFrom="page">
                <wp:posOffset>9163050</wp:posOffset>
              </wp:positionV>
              <wp:extent cx="635" cy="12700"/>
              <wp:effectExtent l="6985" t="635" r="6350" b="1270"/>
              <wp:wrapNone/>
              <wp:docPr id="25"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Roboto" w:hAnsi="Roboto" w:cs="Roboto" w:hint="default"/>
        <w:sz w:val="24"/>
        <w:u w:val="none"/>
        <w:szCs w:val="24"/>
        <w:color w:val="D1D5DB"/>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style w:type="paragraph" w:styleId="Normal" w:default="1">
    <w:name w:val="Normal"/>
    <w:next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Hyperlink">
    <w:name w:val="Hyperlink"/>
    <w:rPr>
      <w:u w:val="single"/>
    </w:rPr>
  </w:style>
  <w:style w:type="character" w:styleId="LineNumber" w:customStyle="1">
    <w:name w:val="Line Number"/>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Bullets">
    <w:name w:val="Bullets"/>
    <w:qFormat/>
    <w:rPr>
      <w:rFonts w:ascii="OpenSymbol" w:hAnsi="OpenSymbol" w:eastAsia="OpenSymbol" w:cs="OpenSymbol"/>
    </w:rPr>
  </w:style>
  <w:style w:type="paragraph" w:styleId="Heading" w:customStyle="1">
    <w:name w:val="Heading"/>
    <w:basedOn w:val="normal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
    <w:pPr>
      <w:spacing w:lineRule="auto" w:line="276" w:before="0" w:after="140"/>
    </w:pPr>
    <w:rPr/>
  </w:style>
  <w:style w:type="paragraph" w:styleId="List">
    <w:name w:val="List"/>
    <w:basedOn w:val="BodyText"/>
    <w:pPr/>
    <w:rPr/>
  </w:style>
  <w:style w:type="paragraph" w:styleId="Caption">
    <w:name w:val="Caption"/>
    <w:basedOn w:val="normal1"/>
    <w:qFormat/>
    <w:pPr>
      <w:suppressLineNumbers/>
      <w:spacing w:before="120" w:after="120"/>
    </w:pPr>
    <w:rPr>
      <w:i/>
      <w:iCs/>
    </w:rPr>
  </w:style>
  <w:style w:type="paragraph" w:styleId="Index" w:customStyle="1">
    <w:name w:val="Index"/>
    <w:basedOn w:val="normal1"/>
    <w:qFormat/>
    <w:pPr>
      <w:suppressLineNumbers/>
    </w:pPr>
    <w:rPr/>
  </w:style>
  <w:style w:type="paragraph" w:styleId="normal1" w:default="1">
    <w:name w:val="normal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cap="flat" w14:cmpd="sng" w14:algn="ctr">
        <w14:noFill/>
        <w14:prstDash w14:val="solid"/>
        <w14:bevel/>
      </w14:textOutline>
    </w:rPr>
  </w:style>
  <w:style w:type="paragraph" w:styleId="LO-normal" w:customStyle="1">
    <w:name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cap="flat" w14:cmpd="sng" w14:algn="ctr">
        <w14:noFill/>
        <w14:prstDash w14:val="solid"/>
        <w14:bevel/>
      </w14:textOutline>
    </w:rPr>
  </w:style>
  <w:style w:type="paragraph" w:styleId="Subtitle">
    <w:name w:val="Subtitle"/>
    <w:basedOn w:val="normal1"/>
    <w:next w:val="normal1"/>
    <w:uiPriority w:val="11"/>
    <w:qFormat/>
    <w:pPr>
      <w:keepNext w:val="true"/>
      <w:keepLines/>
      <w:spacing w:lineRule="auto" w:line="240"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customStyle="1">
    <w:name w:val="Header and Footer"/>
    <w:basedOn w:val="normal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
    <w:uiPriority w:val="99"/>
    <w:semiHidden/>
    <w:unhideWhenUsed/>
    <w:qFormat/>
    <w:rsid w:val="00660591"/>
    <w:pPr/>
    <w:rPr>
      <w:rFonts w:cs="Times New Roman"/>
    </w:rPr>
  </w:style>
  <w:style w:type="paragraph" w:styleId="ListParagraph">
    <w:name w:val="List Paragraph"/>
    <w:basedOn w:val="normal1"/>
    <w:uiPriority w:val="34"/>
    <w:qFormat/>
    <w:rsid w:val="00660591"/>
    <w:pPr>
      <w:spacing w:before="0" w:after="0"/>
      <w:ind w:left="720"/>
      <w:contextualSpacing/>
    </w:pPr>
    <w:rPr/>
  </w:style>
  <w:style w:type="paragraph" w:styleId="FootnoteText">
    <w:name w:val="Footnote Text"/>
    <w:basedOn w:val="Normal"/>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ieeexplore.ieee.org/document/1100705" TargetMode="External"/><Relationship Id="rId9" Type="http://schemas.openxmlformats.org/officeDocument/2006/relationships/hyperlink" Target="https://en.wikipedia.org/wiki/List_of_sovereign_states_by_body_mass_index" TargetMode="External"/><Relationship Id="rId10" Type="http://schemas.openxmlformats.org/officeDocument/2006/relationships/hyperlink" Target="https://en.wikipedia.org/wiki/List_of_countries_and_dependencies_by_population" TargetMode="External"/><Relationship Id="rId11" Type="http://schemas.openxmlformats.org/officeDocument/2006/relationships/hyperlink" Target="https://data.worldbank.org/indicator/SH.STA.DIAB.ZS" TargetMode="External"/><Relationship Id="rId12" Type="http://schemas.openxmlformats.org/officeDocument/2006/relationships/hyperlink" Target="https://en.wikipedia.org/wiki/List_of_countries_by_GDP_(nomina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hyperlink" Target="https://www.worldbank.org/en/topic/governance/brief/governance-institutions-covid-19-response-resources" TargetMode="External"/><Relationship Id="rId33" Type="http://schemas.openxmlformats.org/officeDocument/2006/relationships/hyperlink" Target="https://www.bankingsupervision.europa.eu/press/publications/newsletter/2020/html/ssm.nl201118.en.html" TargetMode="External"/><Relationship Id="rId34" Type="http://schemas.openxmlformats.org/officeDocument/2006/relationships/hyperlink" Target="https://www.who.int/data/stories/the-true-death-toll-of-covid-19-estimating-global-excess-mortality" TargetMode="External"/><Relationship Id="rId35" Type="http://schemas.openxmlformats.org/officeDocument/2006/relationships/hyperlink" Target="https://blog.mygov.in/editorial/the-vajpayee-doctrine-of-good-governance/" TargetMode="External"/><Relationship Id="rId36" Type="http://schemas.openxmlformats.org/officeDocument/2006/relationships/hyperlink" Target="https://web.archive.org/web/20230718035603/https://link.springer.com/content/pdf/10.1007/s40647-017-0197-4.pdf?error=cookies_not_supported&amp;code=eb741fde-e70d-4588-8418-c29cc8e46f34" TargetMode="External"/><Relationship Id="rId37" Type="http://schemas.openxmlformats.org/officeDocument/2006/relationships/hyperlink" Target="https://www.hfgproject.org/wp-content/uploads/2015/02/Health-Governance-Concepts-Experience-and-Programming-Options.pdf" TargetMode="External"/><Relationship Id="rId38" Type="http://schemas.openxmlformats.org/officeDocument/2006/relationships/hyperlink" Target="https://academic.oup.com/heapol/article/29/6/663/570318?login=false" TargetMode="External"/><Relationship Id="rId39" Type="http://schemas.openxmlformats.org/officeDocument/2006/relationships/hyperlink" Target="https://pmc.ncbi.nlm.nih.gov/articles/PMC8599507/" TargetMode="External"/><Relationship Id="rId40" Type="http://schemas.openxmlformats.org/officeDocument/2006/relationships/hyperlink" Target=""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footer" Target="footer3.xml"/><Relationship Id="rId47" Type="http://schemas.openxmlformats.org/officeDocument/2006/relationships/footnotes" Target="footnotes.xml"/><Relationship Id="rId48" Type="http://schemas.openxmlformats.org/officeDocument/2006/relationships/comments" Target="comments.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lWQtyVbNRucYgUY0m/q59L5Vt7w==">CgMxLjAaJwoBMBIiCiAIBCocCgtBQUFBejhGa2tPaxAIGgtBQUFBejhGa2tPaxonCgExEiIKIAgEKhwKC0FBQUF6OEZra09VEAgaC0FBQUF6OEZra09VGicKATISIgogCAQqHAoLQUFBQXo4RmtrT28QCBoLQUFBQXo4RmtrT28aJwoBMxIiCiAIBCocCgtBQUFBejhGa2tPZxAIGgtBQUFBejhGa2tPZyKHBAoLQUFBQXo4RmtrT2sS3QMKC0FBQUF6OEZra09rEgtBQUFBejhGa2tPaxpcCgl0ZXh0L2h0bWwST0RlZmluZSBnb2Jlcm5hbnphIHBhcmEgZW50ZW5kZXIgY3XDoWwgZXMgbGEgZnVlbnRlIGRlIHZhcmlhbnphIHF1ZSBlc3R1ZGlhcsOhcy4iXQoKdGV4dC9wbGFpbhJPRGVmaW5lIGdvYmVybmFuemEgcGFyYSBlbnRlbmRlciBjdcOhbCBlcyBsYSBmdWVudGUgZGUgdmFyaWFuemEgcXVlIGVzdHVkaWFyw6FzLipFCgxWSURBTCBST01FUk8aNS8vc3NsLmdzdGF0aWMuY29tL2RvY3MvY29tbW9uL2JsdWVfc2lsaG91ZXR0ZTk2LTAucG5nMMC21+eNMTjAttfnjTFyRwoMVklEQUwgUk9NRVJPGjcKNS8vc3NsLmdzdGF0aWMuY29tL2RvY3MvY29tbW9uL2JsdWVfc2lsaG91ZXR0ZTk2LTAucG5neACIAQGaAQYIABAAGACqAVEST0RlZmluZSBnb2Jlcm5hbnphIHBhcmEgZW50ZW5kZXIgY3XDoWwgZXMgbGEgZnVlbnRlIGRlIHZhcmlhbnphIHF1ZSBlc3R1ZGlhcsOhcy6wAQC4AQEYwLbX540xIMC21+eNMTAAQghraXguY210MSLGBAoLQUFBQXo4RmtrT2cSnAQKC0FBQUF6OEZra09nEgtBQUFBejhGa2tPZxpxCgl0ZXh0L2h0bWwSZEVuIHR1IHByZWd1bnRhIGhhYmxhcyBkZSDigJx0aXBvIGRlIGdvYmllcm5v4oCdLCBwZXJvIHR1cyBoaXDDs3Rlc2lzIHNlIHJlZmllcmVuIHPDs2xvIGEgZ29iZXJuYW56YS4icgoKdGV4dC9wbGFpbhJkRW4gdHUgcHJlZ3VudGEgaGFibGFzIGRlIOKAnHRpcG8gZGUgZ29iaWVybm/igJ0sIHBlcm8gdHVzIGhpcMOzdGVzaXMgc2UgcmVmaWVyZW4gc8OzbG8gYSBnb2Jlcm5hbnphLipFCgxWSURBTCBST01FUk8aNS8vc3NsLmdzdGF0aWMuY29tL2RvY3MvY29tbW9uL2JsdWVfc2lsaG91ZXR0ZTk2LTAucG5nMOC04ueNMTjgtOLnjTFyRwoMVklEQUwgUk9NRVJPGjcKNS8vc3NsLmdzdGF0aWMuY29tL2RvY3MvY29tbW9uL2JsdWVfc2lsaG91ZXR0ZTk2LTAucG5neACIAQGaAQYIABAAGACqAWYSZEVuIHR1IHByZWd1bnRhIGhhYmxhcyBkZSDigJx0aXBvIGRlIGdvYmllcm5v4oCdLCBwZXJvIHR1cyBoaXDDs3Rlc2lzIHNlIHJlZmllcmVuIHPDs2xvIGEgZ29iZXJuYW56YS6wAQC4AQEY4LTi540xIOC04ueNMTAAQghraXguY210NCLuAgoLQUFBQXo4RmtrT1USxAIKC0FBQUF6OEZra09VEgtBQUFBejhGa2tPVRopCgl0ZXh0L2h0bWwSHERlZmluZSBleGNlc28gZGUgbW9ydGFsaWRhZC4iKgoKdGV4dC9wbGFpbhIcRGVmaW5lIGV4Y2VzbyBkZSBtb3J0YWxpZGFkLipFCgxWSURBTCBST01FUk8aNS8vc3NsLmdzdGF0aWMuY29tL2RvY3MvY29tbW9uL2JsdWVfc2lsaG91ZXR0ZTk2LTAucG5nMMC21+eNMTjAttfnjTFyRwoMVklEQUwgUk9NRVJPGjcKNS8vc3NsLmdzdGF0aWMuY29tL2RvY3MvY29tbW9uL2JsdWVfc2lsaG91ZXR0ZTk2LTAucG5neACIAQGaAQYIABAAGACqAR4SHERlZmluZSBleGNlc28gZGUgbW9ydGFsaWRhZC6wAQC4AQEYwLbX540xIMC21+eNMTAAQghraXguY210MiLXAwoLQUFBQXo4RmtrT28SrQMKC0FBQUF6OEZra09vEgtBQUFBejhGa2tPbxpMCgl0ZXh0L2h0bWwSP1NpIGVzdG8geWEgZXN0w6EgZGVtb3N0cmFkbywgcHJlY2lzYSBjdcOhbCBlcyB0dSBjb250cmlidWNpw7NuLiJNCgp0ZXh0L3BsYWluEj9TaSBlc3RvIHlhIGVzdMOhIGRlbW9zdHJhZG8sIHByZWNpc2EgY3XDoWwgZXMgdHUgY29udHJpYnVjacOzbi4qRQoMVklEQUwgUk9NRVJPGjUvL3NzbC5nc3RhdGljLmNvbS9kb2NzL2NvbW1vbi9ibHVlX3NpbGhvdWV0dGU5Ni0wLnBuZzDgtOLnjTE44LTi540xckcKDFZJREFMIFJPTUVSTxo3CjUvL3NzbC5nc3RhdGljLmNvbS9kb2NzL2NvbW1vbi9ibHVlX3NpbGhvdWV0dGU5Ni0wLnBuZ3gAiAEBmgEGCAAQABgAqgFBEj9TaSBlc3RvIHlhIGVzdMOhIGRlbW9zdHJhZG8sIHByZWNpc2EgY3XDoWwgZXMgdHUgY29udHJpYnVjacOzbi6wAQC4AQEY4LTi540xIOC04ueNMTAAQghraXguY210MzgAciExWGhrMFo2cWFBR0JHZmkzRWVQbV9CVHl0eGQ0bElke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863</TotalTime>
  <Application>LibreOffice/24.2.7.2$Linux_X86_64 LibreOffice_project/420$Build-2</Application>
  <AppVersion>15.0000</AppVersion>
  <Pages>41</Pages>
  <Words>11297</Words>
  <Characters>62649</Characters>
  <CharactersWithSpaces>73788</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2023-06-21T13:53:00Z</dcterms:created>
  <dc:creator/>
  <dc:description/>
  <dc:language>en-US</dc:language>
  <cp:lastModifiedBy/>
  <dcterms:modified xsi:type="dcterms:W3CDTF">2025-02-10T20:35:26Z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