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Расходы и доходы предприятия с 2022-03-12 до 2024-03-31:</w:t>
      </w:r>
    </w:p>
    <w:p>
      <w:pPr>
        <w:pStyle w:val="Normal"/>
        <w:bidi w:val="0"/>
        <w:jc w:val="left"/>
        <w:rPr/>
      </w:pPr>
      <w:r>
        <w:rPr/>
        <w:t>Расходы на покупку расходных материалов: 39000</w:t>
      </w:r>
    </w:p>
    <w:p>
      <w:pPr>
        <w:pStyle w:val="Normal"/>
        <w:bidi w:val="0"/>
        <w:jc w:val="left"/>
        <w:rPr/>
      </w:pPr>
      <w:r>
        <w:rPr/>
        <w:t>Доходы с проведенных ремонтных работ: 40000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LibreOffice/7.5.9.2$Linux_X86_64 LibreOffice_project/50$Build-2</Application>
  <AppVersion>15.0000</AppVersion>
  <Pages>1</Pages>
  <Words>20</Words>
  <Characters>165</Characters>
  <CharactersWithSpaces>182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2024-03-15T12:01:57Z</dcterms:modified>
  <cp:revision>1</cp:revision>
  <dc:subject/>
  <dc:title/>
</cp:coreProperties>
</file>