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val="000000" w:themeColor="text1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$</w:t>
            </w:r>
            <w:r>
              <w:rPr>
                <w:rFonts w:cs="Arial" w:ascii="Arial" w:hAnsi="Arial"/>
                <w:color w:val="000000" w:themeColor="text1"/>
                <w:u w:val="single"/>
                <w:shd w:fill="auto" w:val="clear"/>
              </w:rPr>
              <w:t>{uuid}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$</w:t>
            </w:r>
            <w:r>
              <w:rPr>
                <w:rFonts w:cs="Arial" w:ascii="Arial" w:hAnsi="Arial"/>
                <w:color w:val="000000" w:themeColor="text1"/>
                <w:u w:val="single"/>
                <w:shd w:fill="auto" w:val="clear"/>
              </w:rPr>
              <w:t>{datetime}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${client_fio}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${mark} ${model}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${registration_plate}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${engine}</w:t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${tech_passport}</w:t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${vin}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${mileage}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${color}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${comment}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${uservice_index}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${service_uuid}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${name}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${quantity}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${price}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${full_uservices_sum}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${uconsumable_index}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${consumable_uuid}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${name}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${quantity}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${price}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${full_uconsumables_sum}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${full_sum}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val="000000" w:themeColor="text1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val="000000" w:themeColor="text1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LibreOffice/7.5.9.2$Linux_X86_64 LibreOffice_project/50$Build-2</Application>
  <AppVersion>15.0000</AppVersion>
  <Pages>1</Pages>
  <Words>163</Words>
  <Characters>1266</Characters>
  <CharactersWithSpaces>1371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2024-03-24T21:56:40Z</dcterms:modified>
  <cp:revision>24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