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themeColor="text1" w:val="000000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8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2024-05-24 21:58:01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Пользовательский Пользователь Пользователевич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Volvo 740 Wagon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А 123 АА 39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7HLWFHLKFJLEFJLEF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162631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Бирюзовый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Все сломалось(((((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масла и фильтра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Моторное масло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3000.5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3000.5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8000.5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themeColor="text1" w:val="000000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themeColor="text1" w:val="000000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LibreOffice/24.2.3.2$Linux_X86_64 LibreOffice_project/420$Build-2</Application>
  <AppVersion>15.0000</AppVersion>
  <Pages>1</Pages>
  <Words>161</Words>
  <Characters>1235</Characters>
  <CharactersWithSpaces>1340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2024-05-22T22:15:23Z</dcterms:modified>
  <cp:revision>35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