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lnj5gobxgq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SLP-ISMS-001 Context of the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Context of the Organization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 January 2026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 *"DISCLAIMER: SLOVPACK s.r.o. is a fictional company created for portfolio purposes. All data, names and scenarios are invented."*</w:t>
        <w:br w:type="textWrapping"/>
        <w:br w:type="textWrapping"/>
      </w:r>
    </w:p>
    <w:p w:rsidR="00000000" w:rsidDel="00000000" w:rsidP="00000000" w:rsidRDefault="00000000" w:rsidRPr="00000000" w14:paraId="00000012">
      <w:pPr>
        <w:pStyle w:val="Heading1"/>
        <w:rPr>
          <w:sz w:val="24"/>
          <w:szCs w:val="24"/>
        </w:rPr>
      </w:pPr>
      <w:bookmarkStart w:colFirst="0" w:colLast="0" w:name="_7q4w462x8s5" w:id="1"/>
      <w:bookmarkEnd w:id="1"/>
      <w:r w:rsidDel="00000000" w:rsidR="00000000" w:rsidRPr="00000000">
        <w:rPr>
          <w:sz w:val="27"/>
          <w:szCs w:val="27"/>
          <w:rtl w:val="0"/>
        </w:rPr>
        <w:t xml:space="preserve">Internal and External Issues (Clause 4.1)</w:t>
      </w:r>
      <w:r w:rsidDel="00000000" w:rsidR="00000000" w:rsidRPr="00000000">
        <w:rPr>
          <w:sz w:val="46"/>
          <w:szCs w:val="46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 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– Customer requirements 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 pharmaceutical customers (PharmaVital, MediPack) require evidence of an ISMS as a condition of contract renewal from 2027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Loss of ~1/3 of revenue if requirements are not met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– Legal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GDPR obligations for customer and employee personal data; Slovak NIS2 transposition affecting the supply chain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Fines, mandatory breach notification, customer assurance demands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– Threat landscape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Phishing and ransomware campaigns targeting Slovak SMEs; company already experienced a BEC-style phishing attack in 10/2025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 precedent of attack; finance processes at risk </w:t>
            </w:r>
          </w:p>
        </w:tc>
      </w:tr>
      <w:tr>
        <w:trPr>
          <w:cantSplit w:val="0"/>
          <w:trHeight w:val="1232.929687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External – Suppliers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Critical dependence on MSP (NetAdmin), e-shop agency (WebFront), VPS provider (HostPoint) and WMS vendor (LogisSoft)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Third parties hold privileged access and host key systems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– People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internal IT administrator; no security awareness training; high warehouse staff turnover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Key-person risk; human error likelihood; account management burden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– Technology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Ageing on-premise ERP (Win Server 2016), Windows 7 production terminals, flat network, no patching schedule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Elevated vulnerability exposure of the most critical systems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– Processes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security policies in force (only an obsolete 2019 password directive); no access reviews; informal offboarding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Systemic control gaps across the organisation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Internal – Business priority 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Production continuity and protection of proprietary recipes/specifications are management's top concerns 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Defines protection priorities of the ISMS 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ori1zunkhwgv" w:id="2"/>
      <w:bookmarkEnd w:id="2"/>
      <w:r w:rsidDel="00000000" w:rsidR="00000000" w:rsidRPr="00000000">
        <w:rPr>
          <w:rtl w:val="0"/>
        </w:rPr>
        <w:t xml:space="preserve">Interested Parties and Their Requirements (Clause 4.2)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INTERESTED PARTY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REQUIREMENTS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ADDRESSED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 – pharma (PharmaVital, MediPack)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security questionnaire; ISMS evidence; confidentiality of specifications; incident notification within 24 h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ISMS implementation; Incident Management Policy; NDAs; questionnaire response (target 30 Jun 2026)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 – other B2B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Confidentiality of individual pricing and contracts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control in ERP; information classification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Employees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Protection of HR/payroll data; clear and realistic security rules; training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restriction to HR data; new policy set replacing the 2019 directive; awareness training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Regulator – Data Protection Office SR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GDPR compliance; breach notification within 72 h; records of processing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Incident process with GDPR step; records of processing activities (action for HR)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Suppliers (NetAdmin, WebFront, HostPoint, LogisSoft, PayWell)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Clear security requirements; contractual clarit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Supplier Security Policy; contract amendments; TPRM assessments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/ management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continuity (warehouse link!); protection of recipes; cost-effective controls (approval &gt; €2,000 by MD)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Risk-based prioritisation; management review; budget gates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Insurer (cyber insurance under consideration) 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Baseline controls (MFA, backups, incident process) as underwriting condition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implementation evidenced by ISMS documentation 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