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jxp88ynxan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SLP-ISMS-004 "ISMS 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Roles and Responsibilities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January 2026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 *"DISCLAIMER: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document defines information security roles using the RACI model (R = Responsible, A = Accountable, C = Consulted, I = Informed). It addresses the current absence of defined security responsibilities identified during the initial assessment.</w:t>
        <w:br w:type="textWrapping"/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MANAGING DIRECTOR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MANAGER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ADMIN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DEPT.</w:t>
              <w:br w:type="textWrapping"/>
              <w:t xml:space="preserve">HEADS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 ISMS policies and risk acceptance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Operate the risk assessment process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and maintain technical controls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supplier security (contracts, assessments)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  <w:br w:type="textWrapping"/>
              <w:t xml:space="preserve">(Contract owners)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awareness training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  <w:br w:type="textWrapping"/>
              <w:t xml:space="preserve">(Attend)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 security events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  <w:br w:type="textWrapping"/>
              <w:t xml:space="preserve">(Triage)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  <w:br w:type="textWrapping"/>
              <w:t xml:space="preserve">(Report)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audits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review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provisioning and same-day deprovisioning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ISMS Manager reports directly to the Managing Director. Access deprovisioning is triggered by a mandatory HR checklist (see Access Control Policy), replacing the previous informal e-mail process.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