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hrumlkt4jh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SLP-ISMS-005 Risk Assessment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Risk Assessment Methodology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SLP-ISMS-005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February 2026 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 DISCLAIMER: SLOVPACK s.r.o. is a fictional company created for portfolio purposes. All data, names and scenarios are invented.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1. Approach</w:t>
      </w:r>
      <w:r w:rsidDel="00000000" w:rsidR="00000000" w:rsidRPr="00000000">
        <w:rPr>
          <w:rtl w:val="0"/>
        </w:rPr>
        <w:t xml:space="preserve"> — SLOVPACK applies an asset-based risk assessment. Risks are identified by analysing threats and vulnerabilities affecting assets in the Asset Register (SLP-ISMS-006), using evidence gathered through interviews, document review and site walkthroughs. Assessment is repeated at least annually and after significant change. </w:t>
      </w:r>
      <w:r w:rsidDel="00000000" w:rsidR="00000000" w:rsidRPr="00000000">
        <w:rPr>
          <w:b w:val="1"/>
          <w:bCs w:val="1"/>
          <w:rtl w:val="0"/>
        </w:rPr>
        <w:t xml:space="preserve">2. Likelihood scale (1–5):</w:t>
      </w:r>
      <w:r w:rsidDel="00000000" w:rsidR="00000000" w:rsidRPr="00000000">
        <w:rPr>
          <w:rtl w:val="0"/>
        </w:rPr>
        <w:t xml:space="preserve"> 1 Rare (&lt; once/5 yrs) · 2 Unlikely (once/2–5 yrs) · 3 Possible (once/1–2 yrs) · 4 Likely (several times/yr) · 5 Almost certain (monthly+). </w:t>
      </w:r>
      <w:r w:rsidDel="00000000" w:rsidR="00000000" w:rsidRPr="00000000">
        <w:rPr>
          <w:b w:val="1"/>
          <w:bCs w:val="1"/>
          <w:rtl w:val="0"/>
        </w:rPr>
        <w:t xml:space="preserve">3. Impact scale (1–5):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Negligible (no disruption, &lt; €1k) · 2 Minor (&lt; 4 h disruption, &lt; €10k) · 3 Moderate (≤ 1 day, confidential data affected, &lt; €50k) · 4 Major (multi-day disruption or personal-data breach requiring notification, &lt; €250k) · 5 Severe (prolonged production halt, loss of a major customer, ≥ €250k). </w:t>
      </w:r>
      <w:r w:rsidDel="00000000" w:rsidR="00000000" w:rsidRPr="00000000">
        <w:rPr>
          <w:b w:val="1"/>
          <w:bCs w:val="1"/>
          <w:rtl w:val="0"/>
        </w:rPr>
        <w:t xml:space="preserve">4. Risk level:</w:t>
      </w:r>
      <w:r w:rsidDel="00000000" w:rsidR="00000000" w:rsidRPr="00000000">
        <w:rPr>
          <w:rtl w:val="0"/>
        </w:rPr>
        <w:t xml:space="preserve"> score = Likelihood × Impact. 1–5 Low · 6–11 Medium · 12–19 High · 20–25 Critical. </w:t>
      </w:r>
      <w:r w:rsidDel="00000000" w:rsidR="00000000" w:rsidRPr="00000000">
        <w:rPr>
          <w:b w:val="1"/>
          <w:bCs w:val="1"/>
          <w:rtl w:val="0"/>
        </w:rPr>
        <w:t xml:space="preserve">5. Acceptance criteria: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score ≥ 12 must be treated. Medium treated where cost-effective, otherwise acceptable by the ISMS Manager; any acceptance of High/Critical requires written approval by the Managing Director. (Aligned with the MD's €2,000 budget-approval threshold: treatments above it are presented with cost estimates.) </w:t>
      </w:r>
      <w:r w:rsidDel="00000000" w:rsidR="00000000" w:rsidRPr="00000000">
        <w:rPr>
          <w:b w:val="1"/>
          <w:bCs w:val="1"/>
          <w:rtl w:val="0"/>
        </w:rPr>
        <w:t xml:space="preserve">6. Treatment options:</w:t>
      </w:r>
      <w:r w:rsidDel="00000000" w:rsidR="00000000" w:rsidRPr="00000000">
        <w:rPr>
          <w:rtl w:val="0"/>
        </w:rPr>
        <w:t xml:space="preserve"> Modify, Retain, Avoid, Share.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