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3jnwgl23s43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SLP-ISMS-002 ISMS Scope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89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5"/>
        <w:gridCol w:w="4500"/>
        <w:tblGridChange w:id="0">
          <w:tblGrid>
            <w:gridCol w:w="4485"/>
            <w:gridCol w:w="4500"/>
          </w:tblGrid>
        </w:tblGridChange>
      </w:tblGrid>
      <w:tr>
        <w:trPr>
          <w:cantSplit w:val="0"/>
          <w:tblHeader w:val="0"/>
        </w:trPr>
        <w:tc>
          <w:tcPr/>
          <w:p w:rsidR="00000000" w:rsidDel="00000000" w:rsidP="00000000" w:rsidRDefault="00000000" w:rsidRPr="00000000" w14:paraId="00000004">
            <w:pPr>
              <w:widowControl w:val="0"/>
              <w:spacing w:line="240" w:lineRule="auto"/>
              <w:rPr/>
            </w:pPr>
            <w:r w:rsidDel="00000000" w:rsidR="00000000" w:rsidRPr="00000000">
              <w:rPr>
                <w:sz w:val="21"/>
                <w:szCs w:val="21"/>
                <w:rtl w:val="0"/>
              </w:rPr>
              <w:t xml:space="preserve">Document title</w:t>
            </w:r>
            <w:r w:rsidDel="00000000" w:rsidR="00000000" w:rsidRPr="00000000">
              <w:rPr>
                <w:rtl w:val="0"/>
              </w:rPr>
              <w:t xml:space="preserve"> </w:t>
            </w:r>
          </w:p>
        </w:tc>
        <w:tc>
          <w:tcPr/>
          <w:p w:rsidR="00000000" w:rsidDel="00000000" w:rsidP="00000000" w:rsidRDefault="00000000" w:rsidRPr="00000000" w14:paraId="00000005">
            <w:pPr>
              <w:widowControl w:val="0"/>
              <w:spacing w:line="240" w:lineRule="auto"/>
              <w:rPr/>
            </w:pPr>
            <w:r w:rsidDel="00000000" w:rsidR="00000000" w:rsidRPr="00000000">
              <w:rPr>
                <w:sz w:val="21"/>
                <w:szCs w:val="21"/>
                <w:rtl w:val="0"/>
              </w:rPr>
              <w:t xml:space="preserve">ISMS Scope </w:t>
            </w:r>
            <w:r w:rsidDel="00000000" w:rsidR="00000000" w:rsidRPr="00000000">
              <w:rPr>
                <w:rtl w:val="0"/>
              </w:rPr>
            </w:r>
          </w:p>
        </w:tc>
      </w:tr>
      <w:tr>
        <w:trPr>
          <w:cantSplit w:val="0"/>
          <w:tblHeader w:val="0"/>
        </w:trPr>
        <w:tc>
          <w:tcPr/>
          <w:p w:rsidR="00000000" w:rsidDel="00000000" w:rsidP="00000000" w:rsidRDefault="00000000" w:rsidRPr="00000000" w14:paraId="00000006">
            <w:pPr>
              <w:widowControl w:val="0"/>
              <w:spacing w:line="240" w:lineRule="auto"/>
              <w:rPr/>
            </w:pPr>
            <w:r w:rsidDel="00000000" w:rsidR="00000000" w:rsidRPr="00000000">
              <w:rPr>
                <w:sz w:val="21"/>
                <w:szCs w:val="21"/>
                <w:rtl w:val="0"/>
              </w:rPr>
              <w:t xml:space="preserve">Document ID</w:t>
            </w:r>
            <w:r w:rsidDel="00000000" w:rsidR="00000000" w:rsidRPr="00000000">
              <w:rPr>
                <w:rtl w:val="0"/>
              </w:rPr>
              <w:t xml:space="preserve"> </w:t>
            </w:r>
          </w:p>
        </w:tc>
        <w:tc>
          <w:tcPr/>
          <w:p w:rsidR="00000000" w:rsidDel="00000000" w:rsidP="00000000" w:rsidRDefault="00000000" w:rsidRPr="00000000" w14:paraId="00000007">
            <w:pPr>
              <w:rPr/>
            </w:pPr>
            <w:r w:rsidDel="00000000" w:rsidR="00000000" w:rsidRPr="00000000">
              <w:rPr>
                <w:sz w:val="21"/>
                <w:szCs w:val="21"/>
                <w:rtl w:val="0"/>
              </w:rPr>
              <w:t xml:space="preserve">SLP-ISMS-002</w:t>
            </w:r>
            <w:r w:rsidDel="00000000" w:rsidR="00000000" w:rsidRPr="00000000">
              <w:rPr>
                <w:rtl w:val="0"/>
              </w:rPr>
            </w:r>
          </w:p>
        </w:tc>
      </w:tr>
      <w:tr>
        <w:trPr>
          <w:cantSplit w:val="0"/>
          <w:tblHeader w:val="0"/>
        </w:trPr>
        <w:tc>
          <w:tcPr/>
          <w:p w:rsidR="00000000" w:rsidDel="00000000" w:rsidP="00000000" w:rsidRDefault="00000000" w:rsidRPr="00000000" w14:paraId="00000008">
            <w:pPr>
              <w:widowControl w:val="0"/>
              <w:spacing w:line="240" w:lineRule="auto"/>
              <w:rPr/>
            </w:pPr>
            <w:r w:rsidDel="00000000" w:rsidR="00000000" w:rsidRPr="00000000">
              <w:rPr>
                <w:sz w:val="21"/>
                <w:szCs w:val="21"/>
                <w:rtl w:val="0"/>
              </w:rPr>
              <w:t xml:space="preserve">Version</w:t>
            </w:r>
            <w:r w:rsidDel="00000000" w:rsidR="00000000" w:rsidRPr="00000000">
              <w:rPr>
                <w:rtl w:val="0"/>
              </w:rPr>
              <w:t xml:space="preserve"> </w:t>
            </w:r>
          </w:p>
        </w:tc>
        <w:tc>
          <w:tcPr/>
          <w:p w:rsidR="00000000" w:rsidDel="00000000" w:rsidP="00000000" w:rsidRDefault="00000000" w:rsidRPr="00000000" w14:paraId="00000009">
            <w:pPr>
              <w:widowControl w:val="0"/>
              <w:spacing w:line="240" w:lineRule="auto"/>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0A">
            <w:pPr>
              <w:widowControl w:val="0"/>
              <w:spacing w:line="240" w:lineRule="auto"/>
              <w:rPr/>
            </w:pPr>
            <w:r w:rsidDel="00000000" w:rsidR="00000000" w:rsidRPr="00000000">
              <w:rPr>
                <w:sz w:val="21"/>
                <w:szCs w:val="21"/>
                <w:rtl w:val="0"/>
              </w:rPr>
              <w:t xml:space="preserve">Classification</w:t>
            </w:r>
            <w:r w:rsidDel="00000000" w:rsidR="00000000" w:rsidRPr="00000000">
              <w:rPr>
                <w:rtl w:val="0"/>
              </w:rPr>
              <w:t xml:space="preserve"> </w:t>
            </w:r>
          </w:p>
        </w:tc>
        <w:tc>
          <w:tcPr/>
          <w:p w:rsidR="00000000" w:rsidDel="00000000" w:rsidP="00000000" w:rsidRDefault="00000000" w:rsidRPr="00000000" w14:paraId="0000000B">
            <w:pPr>
              <w:widowControl w:val="0"/>
              <w:spacing w:line="240" w:lineRule="auto"/>
              <w:rPr/>
            </w:pPr>
            <w:r w:rsidDel="00000000" w:rsidR="00000000" w:rsidRPr="00000000">
              <w:rPr>
                <w:sz w:val="21"/>
                <w:szCs w:val="21"/>
                <w:rtl w:val="0"/>
              </w:rPr>
              <w:t xml:space="preserve">Internal</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0C">
            <w:pPr>
              <w:widowControl w:val="0"/>
              <w:spacing w:line="240" w:lineRule="auto"/>
              <w:rPr/>
            </w:pPr>
            <w:r w:rsidDel="00000000" w:rsidR="00000000" w:rsidRPr="00000000">
              <w:rPr>
                <w:sz w:val="21"/>
                <w:szCs w:val="21"/>
                <w:rtl w:val="0"/>
              </w:rPr>
              <w:t xml:space="preserve">Owner</w:t>
            </w:r>
            <w:r w:rsidDel="00000000" w:rsidR="00000000" w:rsidRPr="00000000">
              <w:rPr>
                <w:rtl w:val="0"/>
              </w:rPr>
              <w:t xml:space="preserve"> </w:t>
            </w:r>
          </w:p>
        </w:tc>
        <w:tc>
          <w:tcPr/>
          <w:p w:rsidR="00000000" w:rsidDel="00000000" w:rsidP="00000000" w:rsidRDefault="00000000" w:rsidRPr="00000000" w14:paraId="0000000D">
            <w:pPr>
              <w:widowControl w:val="0"/>
              <w:spacing w:line="240" w:lineRule="auto"/>
              <w:rPr/>
            </w:pPr>
            <w:r w:rsidDel="00000000" w:rsidR="00000000" w:rsidRPr="00000000">
              <w:rPr>
                <w:sz w:val="21"/>
                <w:szCs w:val="21"/>
                <w:rtl w:val="0"/>
              </w:rPr>
              <w:t xml:space="preserve">ISMS Manager </w:t>
            </w:r>
            <w:r w:rsidDel="00000000" w:rsidR="00000000" w:rsidRPr="00000000">
              <w:rPr>
                <w:rtl w:val="0"/>
              </w:rPr>
            </w:r>
          </w:p>
        </w:tc>
      </w:tr>
      <w:tr>
        <w:trPr>
          <w:cantSplit w:val="0"/>
          <w:tblHeader w:val="0"/>
        </w:trPr>
        <w:tc>
          <w:tcPr/>
          <w:p w:rsidR="00000000" w:rsidDel="00000000" w:rsidP="00000000" w:rsidRDefault="00000000" w:rsidRPr="00000000" w14:paraId="0000000E">
            <w:pPr>
              <w:widowControl w:val="0"/>
              <w:spacing w:line="240" w:lineRule="auto"/>
              <w:rPr/>
            </w:pPr>
            <w:r w:rsidDel="00000000" w:rsidR="00000000" w:rsidRPr="00000000">
              <w:rPr>
                <w:sz w:val="21"/>
                <w:szCs w:val="21"/>
                <w:rtl w:val="0"/>
              </w:rPr>
              <w:t xml:space="preserve">Approved by</w:t>
            </w:r>
            <w:r w:rsidDel="00000000" w:rsidR="00000000" w:rsidRPr="00000000">
              <w:rPr>
                <w:rtl w:val="0"/>
              </w:rPr>
              <w:t xml:space="preserve"> </w:t>
            </w:r>
          </w:p>
        </w:tc>
        <w:tc>
          <w:tcPr/>
          <w:p w:rsidR="00000000" w:rsidDel="00000000" w:rsidP="00000000" w:rsidRDefault="00000000" w:rsidRPr="00000000" w14:paraId="0000000F">
            <w:pPr>
              <w:widowControl w:val="0"/>
              <w:spacing w:line="240" w:lineRule="auto"/>
              <w:rPr/>
            </w:pPr>
            <w:r w:rsidDel="00000000" w:rsidR="00000000" w:rsidRPr="00000000">
              <w:rPr>
                <w:sz w:val="21"/>
                <w:szCs w:val="21"/>
                <w:rtl w:val="0"/>
              </w:rPr>
              <w:t xml:space="preserve">Peter Kováč, Managing Director </w:t>
            </w:r>
            <w:r w:rsidDel="00000000" w:rsidR="00000000" w:rsidRPr="00000000">
              <w:rPr>
                <w:rtl w:val="0"/>
              </w:rPr>
            </w:r>
          </w:p>
        </w:tc>
      </w:tr>
      <w:tr>
        <w:trPr>
          <w:cantSplit w:val="0"/>
          <w:tblHeader w:val="0"/>
        </w:trPr>
        <w:tc>
          <w:tcPr/>
          <w:p w:rsidR="00000000" w:rsidDel="00000000" w:rsidP="00000000" w:rsidRDefault="00000000" w:rsidRPr="00000000" w14:paraId="00000010">
            <w:pPr>
              <w:widowControl w:val="0"/>
              <w:spacing w:line="240" w:lineRule="auto"/>
              <w:rPr/>
            </w:pPr>
            <w:r w:rsidDel="00000000" w:rsidR="00000000" w:rsidRPr="00000000">
              <w:rPr>
                <w:sz w:val="21"/>
                <w:szCs w:val="21"/>
                <w:rtl w:val="0"/>
              </w:rPr>
              <w:t xml:space="preserve">Date</w:t>
            </w:r>
            <w:r w:rsidDel="00000000" w:rsidR="00000000" w:rsidRPr="00000000">
              <w:rPr>
                <w:rtl w:val="0"/>
              </w:rPr>
              <w:t xml:space="preserve"> </w:t>
            </w:r>
          </w:p>
        </w:tc>
        <w:tc>
          <w:tcPr/>
          <w:p w:rsidR="00000000" w:rsidDel="00000000" w:rsidP="00000000" w:rsidRDefault="00000000" w:rsidRPr="00000000" w14:paraId="00000011">
            <w:pPr>
              <w:widowControl w:val="0"/>
              <w:spacing w:line="240" w:lineRule="auto"/>
              <w:rPr/>
            </w:pPr>
            <w:r w:rsidDel="00000000" w:rsidR="00000000" w:rsidRPr="00000000">
              <w:rPr>
                <w:sz w:val="21"/>
                <w:szCs w:val="21"/>
                <w:rtl w:val="0"/>
              </w:rPr>
              <w:t xml:space="preserve">23 January 2026</w:t>
            </w:r>
            <w:r w:rsidDel="00000000" w:rsidR="00000000" w:rsidRPr="00000000">
              <w:rPr>
                <w:rtl w:val="0"/>
              </w:rPr>
              <w:t xml:space="preserve"> </w:t>
            </w:r>
          </w:p>
        </w:tc>
      </w:tr>
    </w:tbl>
    <w:p w:rsidR="00000000" w:rsidDel="00000000" w:rsidP="00000000" w:rsidRDefault="00000000" w:rsidRPr="00000000" w14:paraId="00000012">
      <w:pPr>
        <w:rPr/>
      </w:pPr>
      <w:r w:rsidDel="00000000" w:rsidR="00000000" w:rsidRPr="00000000">
        <w:rPr>
          <w:rtl w:val="0"/>
        </w:rPr>
        <w:br w:type="textWrapping"/>
        <w:t xml:space="preserve"> *"DISCLAIMER: SLOVPACK s.r.o. is a fictional company created for portfolio purposes. All data, names and scenarios are invented."*</w:t>
        <w:br w:type="textWrapping"/>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SMS Scope Statement</w:t>
      </w:r>
      <w:r w:rsidDel="00000000" w:rsidR="00000000" w:rsidRPr="00000000">
        <w:rPr>
          <w:rtl w:val="0"/>
        </w:rPr>
        <w:t xml:space="preserve"> The Information Security Management System (ISMS) of SLOVPACK s.r.o. covers all information assets, business processes, personnel and technology involved in the design, production, sale and distribution of packaging products. This includes:</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tl w:val="0"/>
        </w:rPr>
        <w:t xml:space="preserve">the headquarters and production facility in Bratislava-Rača, including the on-premise OptiFlow ERP system and the server room;</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the leased warehouse in Senec, including use of the LogisSoft warehouse management system (WMS);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the Microsoft 365 environment and all company-managed endpoints and mobile devices;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the B2B e-shop platform, including oversight of the external development agency (WebFront Digital) and hosting provider (HostPoint SK);</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all 45 employees, and the activities of contracted service providers (NetAdmin Solutions, WebFront Digital, LogisSoft, PayWell) insofar as they affect SLOVPACK's information security.</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Exclusions:</w:t>
      </w:r>
      <w:r w:rsidDel="00000000" w:rsidR="00000000" w:rsidRPr="00000000">
        <w:rPr>
          <w:rtl w:val="0"/>
        </w:rPr>
        <w:t xml:space="preserve"> None. </w:t>
      </w:r>
      <w:r w:rsidDel="00000000" w:rsidR="00000000" w:rsidRPr="00000000">
        <w:rPr>
          <w:b w:val="1"/>
          <w:bCs w:val="1"/>
          <w:rtl w:val="0"/>
        </w:rPr>
        <w:t xml:space="preserve">Interfaces and dependencies:</w:t>
      </w:r>
      <w:r w:rsidDel="00000000" w:rsidR="00000000" w:rsidRPr="00000000">
        <w:rPr>
          <w:rtl w:val="0"/>
        </w:rPr>
        <w:t xml:space="preserve"> MSP remote administration (NetAdmin RMM access), VPS hosting of the e-shop, cloud payroll service (PayWell), site-to-site VPN between HQ and the Senec warehouse, physical security services provided by the warehouse landlord.</w:t>
      </w:r>
    </w:p>
    <w:p w:rsidR="00000000" w:rsidDel="00000000" w:rsidP="00000000" w:rsidRDefault="00000000" w:rsidRPr="00000000" w14:paraId="0000001A">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