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07ubkaa2gv2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SLP-ISMS-003 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00"/>
        <w:tblGridChange w:id="0">
          <w:tblGrid>
            <w:gridCol w:w="448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 Security Policy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SLP-ISMS-003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ISMS Manager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Peter Kováč, Managing Director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January 2026 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 *"DISCLAIMER: SLOVPACK s.r.o. is a fictional company created for portfolio purposes. All data, names and scenarios are invented."*</w:t>
        <w:br w:type="textWrapping"/>
      </w:r>
    </w:p>
    <w:p w:rsidR="00000000" w:rsidDel="00000000" w:rsidP="00000000" w:rsidRDefault="00000000" w:rsidRPr="00000000" w14:paraId="00000012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p0eb1vnlublg" w:id="1"/>
      <w:bookmarkEnd w:id="1"/>
      <w:r w:rsidDel="00000000" w:rsidR="00000000" w:rsidRPr="00000000">
        <w:rPr>
          <w:b w:val="1"/>
          <w:bCs w:val="1"/>
          <w:rtl w:val="0"/>
        </w:rPr>
        <w:t xml:space="preserve">1. Purpose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This policy establishes the framework for protecting the confidentiality, integrity and availability of SLOVPACK s.r.o. information assets — above all our proprietary production specifications, customer data and the continuity of production and logistics — and demonstrates management's commitment to information security.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7bc0dwwrajsi" w:id="2"/>
      <w:bookmarkEnd w:id="2"/>
      <w:r w:rsidDel="00000000" w:rsidR="00000000" w:rsidRPr="00000000">
        <w:rPr>
          <w:b w:val="1"/>
          <w:bCs w:val="1"/>
          <w:rtl w:val="0"/>
        </w:rPr>
        <w:t xml:space="preserve">2. Scope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This policy applies to all employees, contractors and third parties who access SLOVPACK information assets, as defined in the ISMS Scope (SLP-ISMS-002).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2hs63enq4ul5" w:id="3"/>
      <w:bookmarkEnd w:id="3"/>
      <w:r w:rsidDel="00000000" w:rsidR="00000000" w:rsidRPr="00000000">
        <w:rPr>
          <w:b w:val="1"/>
          <w:bCs w:val="1"/>
          <w:rtl w:val="0"/>
        </w:rPr>
        <w:t xml:space="preserve">3. Policy statements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management of SLOVPACK s.r.o. commits 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protecting information assets against unauthorised access, disclosure, modification and destruction;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complying with applicable legal, regulatory and contractual requirements, including GDPR and customer security requirements;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information security risks through a documented, repeatable risk assessment process;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 and reviewing measurable information security objectives;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resources and training necessary for the effective operation of the ISMS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continually improving the ISMS in line with ISO/IEC 27001:2022, with certification targeted within 18 months.</w:t>
      </w:r>
    </w:p>
    <w:p w:rsidR="00000000" w:rsidDel="00000000" w:rsidP="00000000" w:rsidRDefault="00000000" w:rsidRPr="00000000" w14:paraId="0000001B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cqkpiw5xde42" w:id="4"/>
      <w:bookmarkEnd w:id="4"/>
      <w:r w:rsidDel="00000000" w:rsidR="00000000" w:rsidRPr="00000000">
        <w:rPr>
          <w:b w:val="1"/>
          <w:bCs w:val="1"/>
          <w:rtl w:val="0"/>
        </w:rPr>
        <w:t xml:space="preserve">4. Responsibilities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The Managing Director holds ultimate accountability for information security. The ISMS Manager is responsible for the day-to-day operation of the ISMS. All employees are responsible for complying with security policies and reporting security events without delay. This policy supersedes Directive 2/2019 on computer passwords.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6j2bmmd41u6s" w:id="5"/>
      <w:bookmarkEnd w:id="5"/>
      <w:r w:rsidDel="00000000" w:rsidR="00000000" w:rsidRPr="00000000">
        <w:rPr>
          <w:b w:val="1"/>
          <w:bCs w:val="1"/>
          <w:rtl w:val="0"/>
        </w:rPr>
        <w:t xml:space="preserve">5. Consequences of non-compliance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Violations may result in disciplinary action in accordance with the Labour Code and internal HR procedures.</w:t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>
          <w:sz w:val="28"/>
          <w:szCs w:val="28"/>
        </w:rPr>
      </w:pPr>
      <w:bookmarkStart w:colFirst="0" w:colLast="0" w:name="_fjfq4qs7zag2" w:id="6"/>
      <w:bookmarkEnd w:id="6"/>
      <w:r w:rsidDel="00000000" w:rsidR="00000000" w:rsidRPr="00000000">
        <w:rPr>
          <w:b w:val="1"/>
          <w:bCs w:val="1"/>
          <w:rtl w:val="0"/>
        </w:rPr>
        <w:t xml:space="preserve">6. 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Reviewed at least annually and after significant changes to the business or threat environment.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Approved and signed: Peter Kováč</w:t>
        <w:br w:type="textWrapping"/>
        <w:t xml:space="preserve">Managing Director  </w:t>
        <w:br w:type="textWrapping"/>
        <w:t xml:space="preserve">Date: 30 January 2026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