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 Control Policy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SLP-POL-002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March 2026 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  <w:t xml:space="preserve"> This policy defines binding rules for granting, reviewing and removing access to SLOVPACK s.r.o. information systems, in support of the Information Security Policy (SLP-ISMS-003).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All employees, contractors and third parties accessing SLOVPACK information assets.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follows the principles of least privilege and need-to-know. Access to production specifications and recipes is restricted to production leads and the Managing Director.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role-based and approved by the asset owner before it is granted.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HR and payroll data is restricted to the Finance &amp; HR Manager and the payroll accountant.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reviews are performed quarterly for the ERP and Microsoft 365, and annually for other systems; results are documented and signed by asset owners.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termination, HR completes a mandatory offboarding checklist on the employee's last day; all accounts are disabled the same day and company assets are returned against the checklist.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(administrator) accounts are separate from standard accounts and protected by multi-factor authentication. Third-party administrators use named individual accounts, not shared credentials.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Responsibilities</w:t>
      </w:r>
      <w:r w:rsidDel="00000000" w:rsidR="00000000" w:rsidRPr="00000000">
        <w:rPr>
          <w:rtl w:val="0"/>
        </w:rPr>
        <w:t xml:space="preserve"> Policy owner: ISMS Manager. Enforcement: IT Administrator. All employees must comply and report violations.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Exceptions</w:t>
      </w:r>
      <w:r w:rsidDel="00000000" w:rsidR="00000000" w:rsidRPr="00000000">
        <w:rPr>
          <w:rtl w:val="0"/>
        </w:rPr>
        <w:t xml:space="preserve"> Exceptions require written approval by the ISMS Manager and are recorded with an expiry date.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Review</w:t>
      </w:r>
      <w:r w:rsidDel="00000000" w:rsidR="00000000" w:rsidRPr="00000000">
        <w:rPr>
          <w:rtl w:val="0"/>
        </w:rPr>
        <w:t xml:space="preserve"> Reviewed annually or after significant change.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