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glhge4a8j8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SLP-POL-003 Authentication and Password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Authentication and Password Policy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.70141601562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SLP-POL-003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ISMS Manager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Peter Kováč, Managing Director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March 2026  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DISCLAIMER: SLOVPACK s.r.o. is a fictional company created for portfolio purposes. All data, names and scenarios are invented.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Purpose</w:t>
      </w:r>
      <w:r w:rsidDel="00000000" w:rsidR="00000000" w:rsidRPr="00000000">
        <w:rPr>
          <w:rtl w:val="0"/>
        </w:rPr>
        <w:t xml:space="preserve"> This policy defines binding rules for authentication and password management at SLOVPACK s.r.o., in support of the Information Security Policy (SLP-ISMS-003). It replaces Directive 2/2019 on computer passwords.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Scope</w:t>
      </w:r>
      <w:r w:rsidDel="00000000" w:rsidR="00000000" w:rsidRPr="00000000">
        <w:rPr>
          <w:rtl w:val="0"/>
        </w:rPr>
        <w:t xml:space="preserve"> All employees, contractors and third parties accessing SLOVPACK information assets.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Policy statements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Passwords must be at least 12 characters long; passphrases are recommended. Periodic forced changes are not required; a change is required only on suspicion of compromise.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Multi-factor authentication is mandatory for all Microsoft 365 accounts, VPN access, the PayWell payroll system and all administrative access.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accounts are prohibited. The shared warehouse (WMS) accounts are converted to individual accounts by 15 May 2026.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Passwords must not be written on paper or displayed on monitors. The approved storage for passwords is the company password manager.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Responsibilities</w:t>
      </w:r>
      <w:r w:rsidDel="00000000" w:rsidR="00000000" w:rsidRPr="00000000">
        <w:rPr>
          <w:rtl w:val="0"/>
        </w:rPr>
        <w:t xml:space="preserve"> Policy owner: ISMS Manager. Enforcement: IT Administrator. All employees must comply and report violations.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Exceptions</w:t>
      </w:r>
      <w:r w:rsidDel="00000000" w:rsidR="00000000" w:rsidRPr="00000000">
        <w:rPr>
          <w:rtl w:val="0"/>
        </w:rPr>
        <w:t xml:space="preserve"> Exceptions require written approval by the ISMS Manager and are recorded with an expiry date.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Review</w:t>
      </w:r>
      <w:r w:rsidDel="00000000" w:rsidR="00000000" w:rsidRPr="00000000">
        <w:rPr>
          <w:rtl w:val="0"/>
        </w:rPr>
        <w:t xml:space="preserve"> Reviewed annually or after significant change.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