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Supplier Security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SLP-POL-006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This policy defines binding rules for managing information security in supplier relationships at SLOVPACK s.r.o., in support of the Information Security Policy (SLP-ISMS-003).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All employees, contractors and third parties accessing SLOVPACK information assets, and all suppliers with access to those assets.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 are classified as Critical (NetAdmin Solutions, WebFront Digital, HostPoint SK, LogisSoft, PayWell) or Standard.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with critical suppliers must include: confidentiality obligations, incident notification within 24 hours, named individual accounts with multi-factor authentication for privileged access, the right to audit, secure development requirements where applicable, return or deletion of data on termination, and disclosure of sub-contractors.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suppliers are assessed annually using the Third-Party Risk Questionnaire.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performance against SLA and security obligations is reviewed at the management review.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Policy owner: ISMS Manager. Enforcement: contract owners (department heads). All employees must comply and report violations.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Exceptions</w:t>
      </w:r>
      <w:r w:rsidDel="00000000" w:rsidR="00000000" w:rsidRPr="00000000">
        <w:rPr>
          <w:rtl w:val="0"/>
        </w:rPr>
        <w:t xml:space="preserve"> Exceptions require written approval by the ISMS Manager and are recorded with an expiry date.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Reviewed annually or after significant change.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