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Boundary Decision Prediction</w:t>
      </w:r>
    </w:p>
    <w:p>
      <w:pPr>
        <w:jc w:val="center"/>
      </w:pPr>
      <w:r>
        <w:rPr>
          <w:color w:val="646464"/>
          <w:sz w:val="24"/>
        </w:rPr>
        <w:t>Classification par frontières circulaires et estimation de probabilités ordinales</w:t>
      </w:r>
    </w:p>
    <w:p>
      <w:pPr>
        <w:pStyle w:val="Heading1"/>
      </w:pPr>
      <w:r>
        <w:t>1. Contexte</w:t>
      </w:r>
    </w:p>
    <w:p>
      <w:r>
        <w:t>On considère un problème de classification de données bidimensionnelles (I, F) en 4 classes ordonnées d'exposition E ∈ {1, 2, 3, 4}, où E = 1 correspond à une faible exposition énergétique et E = 4 à une exposition très élevée. Les deux variables I et F représentent respectivement l'intensité et la fréquence (ou la durée) de l'exposition. Les frontières de séparation sont des quarts de cercle dans le premier quadrant (I ≥ 0, F ≥ 0).</w:t>
      </w:r>
    </w:p>
    <w:p>
      <w:pPr>
        <w:pStyle w:val="Heading1"/>
      </w:pPr>
      <w:r>
        <w:t>2. Étape 1 — Détermination des frontières</w:t>
      </w:r>
    </w:p>
    <w:p>
      <w:r>
        <w:t>La variable d'exposition combinée est définie comme la distance à l'origine :</w:t>
      </w:r>
    </w:p>
    <w:p>
      <w:pPr>
        <w:pStyle w:val="NoSpacing"/>
      </w:pPr>
      <w:r>
        <w:t xml:space="preserve">    r = √(I² + F²)</w:t>
      </w:r>
    </w:p>
    <w:p>
      <w:r>
        <w:t>Les 4 classes sont séparées par 3 cercles concentriques de rayons r₁ &lt; r₂ &lt; r₃. Les rayons optimaux sont déterminés par minimisation du taux de mauvaise classification via l'algorithme de Nelder-Mead (scipy.optimize).</w:t>
      </w:r>
    </w:p>
    <w:p>
      <w:r>
        <w:t>Équations des frontières :</w:t>
      </w:r>
    </w:p>
    <w:p>
      <w:pPr>
        <w:pStyle w:val="NoSpacing"/>
      </w:pPr>
      <w:r>
        <w:t xml:space="preserve">    Frontière 1 :  I² + F² = 7.2359   (r1 = 2.6900)</w:t>
      </w:r>
    </w:p>
    <w:p>
      <w:pPr>
        <w:pStyle w:val="NoSpacing"/>
      </w:pPr>
      <w:r>
        <w:t xml:space="preserve">    Frontière 2 :  I² + F² = 32.0123   (r2 = 5.6579)</w:t>
      </w:r>
    </w:p>
    <w:p>
      <w:pPr>
        <w:pStyle w:val="NoSpacing"/>
      </w:pPr>
      <w:r>
        <w:t xml:space="preserve">    Frontière 3 :  I² + F² = 68.9500   (r3 = 8.3036)</w:t>
      </w:r>
    </w:p>
    <w:p>
      <w:r>
        <w:br/>
        <w:t>Précision de classification dure : 100.0%</w:t>
      </w:r>
    </w:p>
    <w:p>
      <w:pPr>
        <w:pStyle w:val="Heading1"/>
      </w:pPr>
      <w:r>
        <w:t>3. Étape 2 — Régression logistique ordinale cumulative</w:t>
      </w:r>
    </w:p>
    <w:p>
      <w:r>
        <w:t>Pour obtenir des probabilités d'appartenance à chaque classe, on utilise un modèle de régression logistique ordinale cumulative (proportional odds model). Ce modèle est particulièrement adapté car :</w:t>
      </w:r>
    </w:p>
    <w:p>
      <w:pPr>
        <w:pStyle w:val="ListBullet"/>
      </w:pPr>
      <w:r>
        <w:t>Les classes ont un ordre naturel (intensité d'exposition croissante).</w:t>
      </w:r>
    </w:p>
    <w:p>
      <w:pPr>
        <w:pStyle w:val="ListBullet"/>
      </w:pPr>
      <w:r>
        <w:t>La variable latente sous-jacente (l'exposition r) est continue.</w:t>
      </w:r>
    </w:p>
    <w:p>
      <w:pPr>
        <w:pStyle w:val="ListBullet"/>
      </w:pPr>
      <w:r>
        <w:t>Le modèle garantit la cohérence des probabilités avec l'ordinalité.</w:t>
      </w:r>
    </w:p>
    <w:p>
      <w:pPr>
        <w:pStyle w:val="Heading2"/>
      </w:pPr>
      <w:r>
        <w:t>3.1. Formulation mathématique</w:t>
      </w:r>
    </w:p>
    <w:p>
      <w:r>
        <w:t>Le modèle cumulative s'écrit :</w:t>
      </w:r>
    </w:p>
    <w:p>
      <w:pPr>
        <w:pStyle w:val="NoSpacing"/>
      </w:pPr>
      <w:r>
        <w:t xml:space="preserve">    P(E ≤ k | r) = σ(αₖ − β · r),    k = 1, 2, 3</w:t>
      </w:r>
    </w:p>
    <w:p>
      <w:r>
        <w:t>où σ(x) = 1 / (1 + exp(−x)) est la fonction sigmoïde logistique, α₁ &lt; α₂ &lt; α₃ sont les seuils (intercepts) et β &gt; 0 est la pente commune (proportional odds assumption).</w:t>
      </w:r>
    </w:p>
    <w:p>
      <w:r>
        <w:t>Les probabilités par classe se déduisent par différence :</w:t>
      </w:r>
    </w:p>
    <w:p>
      <w:pPr>
        <w:pStyle w:val="NoSpacing"/>
      </w:pPr>
      <w:r>
        <w:t xml:space="preserve">    P(E = 1 | r) = P(E ≤ 1 | r)</w:t>
      </w:r>
    </w:p>
    <w:p>
      <w:pPr>
        <w:pStyle w:val="NoSpacing"/>
      </w:pPr>
      <w:r>
        <w:t xml:space="preserve">    P(E = 2 | r) = P(E ≤ 2 | r) − P(E ≤ 1 | r)</w:t>
      </w:r>
    </w:p>
    <w:p>
      <w:pPr>
        <w:pStyle w:val="NoSpacing"/>
      </w:pPr>
      <w:r>
        <w:t xml:space="preserve">    P(E = 3 | r) = P(E ≤ 3 | r) − P(E ≤ 2 | r)</w:t>
      </w:r>
    </w:p>
    <w:p>
      <w:pPr>
        <w:pStyle w:val="NoSpacing"/>
      </w:pPr>
      <w:r>
        <w:t xml:space="preserve">    P(E = 4 | r) = 1 − P(E ≤ 3 | r)</w:t>
      </w:r>
    </w:p>
    <w:p>
      <w:pPr>
        <w:pStyle w:val="Heading2"/>
      </w:pPr>
      <w:r>
        <w:t>3.2. Estimation des paramètres</w:t>
      </w:r>
    </w:p>
    <w:p>
      <w:r>
        <w:t>Les paramètres sont estimés par maximum de vraisemblance (minimisation de la log-vraisemblance négative) via Nelder-Mead. Les valeurs initiales des seuils sont dérivées des rayons optimaux de l'étape 1 (αₖ⁰ = β⁰ · rₖ).</w:t>
      </w:r>
    </w:p>
    <w:p>
      <w:r>
        <w:t>Paramètres estimés :</w:t>
      </w:r>
    </w:p>
    <w:p>
      <w:pPr>
        <w:pStyle w:val="NoSpacing"/>
      </w:pPr>
      <w:r>
        <w:t xml:space="preserve">    α1 = 658.1425</w:t>
      </w:r>
    </w:p>
    <w:p>
      <w:pPr>
        <w:pStyle w:val="NoSpacing"/>
      </w:pPr>
      <w:r>
        <w:t xml:space="preserve">    α2 = 1387.4102</w:t>
      </w:r>
    </w:p>
    <w:p>
      <w:pPr>
        <w:pStyle w:val="NoSpacing"/>
      </w:pPr>
      <w:r>
        <w:t xml:space="preserve">    α3 = 2145.2095</w:t>
      </w:r>
    </w:p>
    <w:p>
      <w:pPr>
        <w:pStyle w:val="NoSpacing"/>
      </w:pPr>
      <w:r>
        <w:t xml:space="preserve">    β  = 232.6944</w:t>
      </w:r>
    </w:p>
    <w:p>
      <w:r>
        <w:br/>
        <w:t>Précision de la classification par probabilité maximale : 100.0%</w:t>
      </w:r>
    </w:p>
    <w:p>
      <w:pPr>
        <w:pStyle w:val="Heading2"/>
      </w:pPr>
      <w:r>
        <w:t>3.3. Interprétation physique</w:t>
      </w:r>
    </w:p>
    <w:p>
      <w:r>
        <w:t>Les seuils αₖ/β correspondent aux rayons de transition entre classes. La pente β contrôle la netteté de la transition : plus β est grand, plus la transition est abrupte. Aux frontières (r ≈ αₖ/β), l'incertitude est maximale, ce qui reflète l'ambiguïté physique de classification.</w:t>
      </w:r>
    </w:p>
    <w:p>
      <w:pPr>
        <w:pStyle w:val="NoSpacing"/>
      </w:pPr>
      <w:r>
        <w:t xml:space="preserve">    Transition E=1/E=2 : r = α1/β = 2.8284</w:t>
      </w:r>
    </w:p>
    <w:p>
      <w:pPr>
        <w:pStyle w:val="NoSpacing"/>
      </w:pPr>
      <w:r>
        <w:t xml:space="preserve">    Transition E=2/E=3 : r = α2/β = 5.9624</w:t>
      </w:r>
    </w:p>
    <w:p>
      <w:pPr>
        <w:pStyle w:val="NoSpacing"/>
      </w:pPr>
      <w:r>
        <w:t xml:space="preserve">    Transition E=3/E=4 : r = α3/β = 9.2190</w:t>
      </w:r>
    </w:p>
    <w:p>
      <w:pPr>
        <w:pStyle w:val="Heading1"/>
      </w:pPr>
      <w:r>
        <w:t>4. Conclusion</w:t>
      </w:r>
    </w:p>
    <w:p>
      <w:r>
        <w:t>La combinaison d'une classification par frontières circulaires et d'une régression logistique ordinale fournit un cadre complet pour :</w:t>
        <w:br/>
        <w:t xml:space="preserve">  (a) classifier les points en classes d'exposition,</w:t>
        <w:br/>
        <w:t xml:space="preserve">  (b) quantifier l'incertitude de cette classification via des probabilités calibrées,</w:t>
        <w:br/>
        <w:t xml:space="preserve">  (c) identifier les zones de transition où l'exposition est ambiguë.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