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0"/>
        <w:jc w:val="center"/>
      </w:pPr>
      <w:r>
        <w:rPr>
          <w:b/>
          <w:bCs/>
          <w:sz w:val="36"/>
          <w:szCs w:val="36"/>
        </w:rPr>
        <w:t xml:space="preserve">Structured Contextual Distillation (SCD v3.1):</w:t>
      </w:r>
    </w:p>
    <w:p>
      <w:pPr>
        <w:spacing w:after="600"/>
        <w:jc w:val="center"/>
      </w:pPr>
      <w:r>
        <w:rPr>
          <w:b/>
          <w:bCs/>
          <w:sz w:val="32"/>
          <w:szCs w:val="32"/>
        </w:rPr>
        <w:t xml:space="preserve">A Deterministic, Vendor-Independent Protocol for Persistent, Verifiable Agent State</w:t>
      </w:r>
    </w:p>
    <w:p>
      <w:pPr>
        <w:spacing w:after="400"/>
      </w:pPr>
    </w:p>
    <w:p>
      <w:pPr>
        <w:spacing w:after="200"/>
        <w:jc w:val="center"/>
      </w:pPr>
      <w:r>
        <w:rPr>
          <w:sz w:val="26"/>
          <w:szCs w:val="26"/>
        </w:rPr>
        <w:t xml:space="preserve">Paul Desai</w:t>
      </w:r>
    </w:p>
    <w:p>
      <w:pPr>
        <w:spacing w:after="200"/>
        <w:jc w:val="center"/>
      </w:pPr>
      <w:r>
        <w:rPr>
          <w:i/>
          <w:iCs/>
          <w:sz w:val="24"/>
          <w:szCs w:val="24"/>
        </w:rPr>
        <w:t xml:space="preserve">ActiveMirrorOS Research</w:t>
      </w:r>
    </w:p>
    <w:p>
      <w:pPr>
        <w:spacing w:after="400"/>
        <w:jc w:val="center"/>
      </w:pPr>
      <w:r>
        <w:rPr>
          <w:sz w:val="24"/>
          <w:szCs w:val="24"/>
        </w:rPr>
        <w:t xml:space="preserve">Goa, India</w:t>
      </w:r>
    </w:p>
    <w:p>
      <w:pPr>
        <w:spacing w:after="400"/>
      </w:pPr>
    </w:p>
    <w:p>
      <w:pPr>
        <w:spacing w:after="200"/>
        <w:jc w:val="center"/>
      </w:pPr>
      <w:r>
        <w:rPr>
          <w:sz w:val="24"/>
          <w:szCs w:val="24"/>
        </w:rPr>
        <w:t xml:space="preserve">December 2025</w:t>
      </w:r>
    </w:p>
    <w:p>
      <w:pPr>
        <w:spacing w:after="200"/>
        <w:jc w:val="center"/>
      </w:pPr>
      <w:r>
        <w:rPr>
          <w:i/>
          <w:iCs/>
          <w:sz w:val="22"/>
          <w:szCs w:val="22"/>
        </w:rPr>
        <w:t xml:space="preserve">Version: v3.1 (Universal Passport Edition)</w:t>
      </w:r>
    </w:p>
    <w:p>
      <w:pPr>
        <w:spacing w:after="600"/>
        <w:jc w:val="center"/>
      </w:pPr>
      <w:r>
        <w:rPr>
          <w:sz w:val="22"/>
          <w:szCs w:val="22"/>
        </w:rPr>
        <w:t xml:space="preserve">Status: Production-Validated (N=1005 + Cross-Vendor + Adversarial Defense)</w:t>
      </w:r>
    </w:p>
    <w:p>
      <w:r>
        <w:br w:type="page"/>
      </w:r>
    </w:p>
    <w:p>
      <w:pPr>
        <w:pStyle w:val="Heading1"/>
      </w:pPr>
      <w:r>
        <w:t xml:space="preserve">Abstract</w:t>
      </w:r>
    </w:p>
    <w:p>
      <w:pPr>
        <w:spacing w:after="200" w:line="276"/>
        <w:jc w:val="both"/>
      </w:pPr>
      <w:r>
        <w:t xml:space="preserve">As artificial intelligence systems evolve from conversational language models into autonomous agents capable of executing code, modifying filesystems, and interacting with operating systems, the fundamental challenges of continuity, integrity, and safety have become architecturally foundational. Contemporary agent architectures lack deterministic, cryptographically verifiable memory mechanisms. These systems exhibit drift, suffer from catastrophic forgetting, generate hallucinated state information, and remain inextricably bound to vendor-specific ecosystems that preclude portability and interoperability.</w:t>
      </w:r>
    </w:p>
    <w:p>
      <w:pPr>
        <w:spacing w:after="200" w:line="276"/>
        <w:jc w:val="both"/>
      </w:pPr>
      <w:r>
        <w:t xml:space="preserve">This paper introduces Structured Contextual Distillation (SCD), a deterministic external state protocol that fundamentally relocates agent memory from the volatile, opaque confines of model-internal representations onto the filesystem as a first-class, auditable artifact. The protocol employs RFC 8785 JSON canonicalization for byte-identical serialization, SHA-256 cryptographic integrity chains for tamper-evidence, turn-based versioning for temporal ordering, and a constitutional governance layer that enforces invariants which cannot be overridden by prompt-level instructions.</w:t>
      </w:r>
    </w:p>
    <w:p>
      <w:pPr>
        <w:spacing w:after="200" w:line="276"/>
        <w:jc w:val="both"/>
      </w:pPr>
      <w:r>
        <w:t xml:space="preserve">SCD v3.1 was empirically validated using Google Antigravity (Gemini 3 Pro) and Claude Desktop (Claude 3.5 Sonnet) in a comprehensive test regime comprising four validation tiers. The protocol demonstrates: (1) 100% determinism over 1005 sequential state transitions; (2) successful cross-vendor continuity with state preservation across Gemini-to-Claude-to-Gemini handoffs; (3) resistance to indirect prompt injection attacks embedded in external files; and (4) adversarial file-defense against Trojan horse payloads.</w:t>
      </w:r>
    </w:p>
    <w:p>
      <w:pPr>
        <w:spacing w:after="200" w:line="276"/>
        <w:jc w:val="both"/>
      </w:pPr>
      <w:r>
        <w:t xml:space="preserve">These results establish SCD as a foundational contribution to sovereign AI infrastructure, providing a vendor-independent, cryptographically verifiable, and constitutionally governed memory architecture for the next generation of autonomous agent systems.</w:t>
      </w:r>
    </w:p>
    <w:p>
      <w:pPr>
        <w:spacing w:after="200" w:line="276"/>
        <w:jc w:val="both"/>
      </w:pPr>
      <w:r>
        <w:rPr>
          <w:b/>
          <w:bCs/>
        </w:rPr>
        <w:t xml:space="preserve">Keywords: </w:t>
      </w:r>
      <w:r>
        <w:t xml:space="preserve">Large Language Models, Autonomous Agents, External Memory, Cryptographic Integrity, JSON Canonicalization, Prompt Injection Defense, Vendor Independence, State Management, RFC 8785</w:t>
      </w:r>
    </w:p>
    <w:p>
      <w:r>
        <w:br w:type="page"/>
      </w:r>
    </w:p>
    <w:p>
      <w:pPr>
        <w:pStyle w:val="Heading1"/>
      </w:pPr>
      <w:r>
        <w:t xml:space="preserve">1. Introduction</w:t>
      </w:r>
    </w:p>
    <w:p>
      <w:pPr>
        <w:spacing w:after="200" w:line="276"/>
        <w:jc w:val="both"/>
      </w:pPr>
      <w:r>
        <w:t xml:space="preserve">The trajectory of artificial intelligence over the past decade has witnessed a remarkable transformation: from narrow, task-specific systems to general-purpose large language models (LLMs) capable of sophisticated reasoning, code generation, and natural language understanding. More recently, this evolution has accelerated toward autonomous agents—AI systems that not only generate text but actively interact with their computational environment through tool use, file manipulation, and workflow automation.</w:t>
      </w:r>
    </w:p>
    <w:p>
      <w:pPr>
        <w:spacing w:after="200" w:line="276"/>
        <w:jc w:val="both"/>
      </w:pPr>
      <w:r>
        <w:t xml:space="preserve">Modern LLM-based agents, exemplified by systems such as Claude Desktop with Model Context Protocol (MCP) integration, Google's Gemini with tool calling, and OpenAI's function-calling architectures, can read and modify filesystems, compile and execute code, browse the web, interact with APIs, and autonomously orchestrate complex multi-step workflows. These capabilities position AI agents as genuine computational actors rather than passive response generators.</w:t>
      </w:r>
    </w:p>
    <w:p>
      <w:pPr>
        <w:spacing w:after="200" w:line="276"/>
        <w:jc w:val="both"/>
      </w:pPr>
      <w:r>
        <w:t xml:space="preserve">However, this expanded agency exposes a fundamental architectural deficiency: contemporary LLM agents cannot maintain reliable memory. The internal state representations of large language models are volatile by design—context windows clear between sessions, fine-tuning freezes knowledge at training time, and prompt-based memory accumulation suffers from context length limitations and semantic drift. This memory problem is not merely a convenience issue; it is an architectural crisis with profound implications for agent reliability, safety, and trustworthiness.</w:t>
      </w:r>
    </w:p>
    <w:p>
      <w:pPr>
        <w:pStyle w:val="Heading2"/>
      </w:pPr>
      <w:r>
        <w:t xml:space="preserve">1.1 The Memory Crisis in Autonomous Agents</w:t>
      </w:r>
    </w:p>
    <w:p>
      <w:pPr>
        <w:spacing w:after="200" w:line="276"/>
        <w:jc w:val="both"/>
      </w:pPr>
      <w:r>
        <w:t xml:space="preserve">Consider a financial analysis agent tasked with monitoring portfolio performance across multiple sessions. Without reliable memory, the agent cannot recall previous analyses, track evolving market positions, or maintain consistency in its recommendations. Each session begins tabula rasa, forcing users to re-establish context and risking contradictory outputs that could have real economic consequences.</w:t>
      </w:r>
    </w:p>
    <w:p>
      <w:pPr>
        <w:spacing w:after="200" w:line="276"/>
        <w:jc w:val="both"/>
      </w:pPr>
      <w:r>
        <w:t xml:space="preserve">The problem compounds in safety-critical domains. A medical research assistant that cannot reliably recall patient context, a legal document analyzer that forgets prior case interpretations, or a cybersecurity monitoring agent that loses track of threat indicators—all represent scenarios where memory failure translates directly to operational risk.</w:t>
      </w:r>
    </w:p>
    <w:p>
      <w:pPr>
        <w:spacing w:after="200" w:line="276"/>
        <w:jc w:val="both"/>
      </w:pPr>
      <w:r>
        <w:t xml:space="preserve">Existing approaches to agent memory fall into several categories, each with significant limitations. Retrieval-Augmented Generation (RAG) systems store information in external vector databases but suffer from retrieval noise, context pollution, and the fundamental limitation that they provide similarity-based lookup rather than structured state management. Fine-tuning approaches freeze knowledge into model weights but cannot adapt to session-specific context and require computationally expensive retraining. Prompt-based memory accumulation concatenates conversation history but is bounded by context window limits and introduces semantic drift as conversations lengthen. Vendor-specific memory solutions lock users into proprietary ecosystems without guarantees of data portability or algorithmic transparency.</w:t>
      </w:r>
    </w:p>
    <w:p>
      <w:pPr>
        <w:spacing w:after="200" w:line="276"/>
        <w:jc w:val="both"/>
      </w:pPr>
      <w:r>
        <w:t xml:space="preserve">None of these approaches provide what autonomous agents fundamentally require: deterministic, verifiable, portable state management that persists reliably across sessions, vendors, and operational contexts.</w:t>
      </w:r>
    </w:p>
    <w:p>
      <w:pPr>
        <w:pStyle w:val="Heading2"/>
      </w:pPr>
      <w:r>
        <w:t xml:space="preserve">1.2 The Integrity Imperative</w:t>
      </w:r>
    </w:p>
    <w:p>
      <w:pPr>
        <w:spacing w:after="200" w:line="276"/>
        <w:jc w:val="both"/>
      </w:pPr>
      <w:r>
        <w:t xml:space="preserve">Beyond persistence, agent memory must be trustworthy. In adversarial environments—which increasingly characterize real-world deployment scenarios—agents face sophisticated attacks including indirect prompt injection, where malicious instructions are embedded in external data sources the agent processes. An agent whose memory can be corrupted by adversarial inputs becomes a liability rather than an asset.</w:t>
      </w:r>
    </w:p>
    <w:p>
      <w:pPr>
        <w:spacing w:after="200" w:line="276"/>
        <w:jc w:val="both"/>
      </w:pPr>
      <w:r>
        <w:t xml:space="preserve">Cryptographic integrity verification addresses this imperative. By constructing hash chains over state transitions, modifications to agent memory become immediately detectable. Any tampering—whether from external attackers, system failures, or even well-intentioned but unauthorized modifications—invalidates the integrity chain and alerts the system to potential compromise.</w:t>
      </w:r>
    </w:p>
    <w:p>
      <w:pPr>
        <w:spacing w:after="200" w:line="276"/>
        <w:jc w:val="both"/>
      </w:pPr>
      <w:r>
        <w:t xml:space="preserve">This paper introduces Structured Contextual Distillation (SCD), a protocol that addresses the memory crisis through architectural innovation rather than incremental improvement. SCD relocates agent state from model internals to the filesystem, treating memory as an external, auditable, cryptographically protected artifact subject to constitutional governance.</w:t>
      </w:r>
    </w:p>
    <w:p>
      <w:pPr>
        <w:pStyle w:val="Heading2"/>
      </w:pPr>
      <w:r>
        <w:t xml:space="preserve">1.3 Contributions</w:t>
      </w:r>
    </w:p>
    <w:p>
      <w:pPr>
        <w:spacing w:after="200" w:line="276"/>
        <w:jc w:val="both"/>
      </w:pPr>
      <w:r>
        <w:t xml:space="preserve">This work makes the following contributions to the field of autonomous agent architectures:</w:t>
      </w:r>
    </w:p>
    <w:p>
      <w:pPr>
        <w:pStyle w:val="ListParagraph"/>
        <w:numPr>
          <w:ilvl w:val="0"/>
          <w:numId w:val="2"/>
        </w:numPr>
        <w:spacing w:after="100"/>
      </w:pPr>
      <w:r>
        <w:t xml:space="preserve">We formalize the Structured Contextual Distillation protocol, providing complete algorithmic specifications for state externalization, canonicalization, integrity verification, and constitutional governance.</w:t>
      </w:r>
    </w:p>
    <w:p>
      <w:pPr>
        <w:pStyle w:val="ListParagraph"/>
        <w:numPr>
          <w:ilvl w:val="0"/>
          <w:numId w:val="2"/>
        </w:numPr>
        <w:spacing w:after="100"/>
      </w:pPr>
      <w:r>
        <w:t xml:space="preserve">We present comprehensive empirical validation across four testing tiers: functional integrity (Tier 1), cross-vendor handoff (Tier 2), endurance testing over 1005 sequential turns (Tier 3), and adversarial defense against Trojan horse attacks (Tier 4).</w:t>
      </w:r>
    </w:p>
    <w:p>
      <w:pPr>
        <w:pStyle w:val="ListParagraph"/>
        <w:numPr>
          <w:ilvl w:val="0"/>
          <w:numId w:val="2"/>
        </w:numPr>
        <w:spacing w:after="100"/>
      </w:pPr>
      <w:r>
        <w:t xml:space="preserve">We demonstrate vendor-independent agent continuity, showing successful state preservation across transitions between Google Gemini and Anthropic Claude systems.</w:t>
      </w:r>
    </w:p>
    <w:p>
      <w:pPr>
        <w:pStyle w:val="ListParagraph"/>
        <w:numPr>
          <w:ilvl w:val="0"/>
          <w:numId w:val="2"/>
        </w:numPr>
        <w:spacing w:after="100"/>
      </w:pPr>
      <w:r>
        <w:t xml:space="preserve">We establish formal guarantees for determinism, integrity, and governance, proving that SCD provides cryptographically verifiable state management.</w:t>
      </w:r>
    </w:p>
    <w:p>
      <w:pPr>
        <w:pStyle w:val="ListParagraph"/>
        <w:numPr>
          <w:ilvl w:val="0"/>
          <w:numId w:val="2"/>
        </w:numPr>
        <w:spacing w:after="100"/>
      </w:pPr>
      <w:r>
        <w:t xml:space="preserve">We analyze the threat model for agent memory systems and demonstrate SCD's resistance to indirect prompt injection and file-based attacks.</w:t>
      </w:r>
    </w:p>
    <w:p>
      <w:pPr>
        <w:pStyle w:val="Heading2"/>
      </w:pPr>
      <w:r>
        <w:t xml:space="preserve">1.4 Paper Organization</w:t>
      </w:r>
    </w:p>
    <w:p>
      <w:pPr>
        <w:spacing w:after="200" w:line="276"/>
        <w:jc w:val="both"/>
      </w:pPr>
      <w:r>
        <w:t xml:space="preserve">The remainder of this paper is organized as follows. Section 2 surveys related work in agent memory architectures, external memory systems, cryptographic integrity mechanisms, and prompt injection defenses. Section 3 presents the motivation and design philosophy underlying SCD. Section 4 details the methodology, including the complete protocol specification and algorithmic procedures. Section 5 provides formal definitions and guarantees. Section 6 describes the experimental setup and validation tiers. Section 7 presents results demonstrating 100% determinism, successful cross-vendor handoffs, and adversarial resistance. Section 8 analyzes the threat model and security properties. Section 9 discusses limitations and future directions. Section 10 concludes with implications for sovereign AI infrastructure.</w:t>
      </w:r>
    </w:p>
    <w:p>
      <w:r>
        <w:br w:type="page"/>
      </w:r>
    </w:p>
    <w:p>
      <w:pPr>
        <w:pStyle w:val="Heading1"/>
      </w:pPr>
      <w:r>
        <w:t xml:space="preserve">2. Related Work</w:t>
      </w:r>
    </w:p>
    <w:p>
      <w:pPr>
        <w:spacing w:after="200" w:line="276"/>
        <w:jc w:val="both"/>
      </w:pPr>
      <w:r>
        <w:t xml:space="preserve">The challenges addressed by SCD intersect multiple research domains: agent memory architectures, external memory systems for neural networks, cryptographic integrity in distributed systems, and adversarial robustness against prompt injection attacks. This section surveys the relevant literature and positions SCD within the broader research landscape.</w:t>
      </w:r>
    </w:p>
    <w:p>
      <w:pPr>
        <w:pStyle w:val="Heading2"/>
      </w:pPr>
      <w:r>
        <w:t xml:space="preserve">2.1 Memory Architectures for LLM Agents</w:t>
      </w:r>
    </w:p>
    <w:p>
      <w:pPr>
        <w:spacing w:after="200" w:line="276"/>
        <w:jc w:val="both"/>
      </w:pPr>
      <w:r>
        <w:t xml:space="preserve">The question of how to provide persistent, reliable memory to language model agents has generated substantial research attention. Early approaches focused on extending context windows, with models progressing from 2K tokens to 100K+ tokens. However, extended context alone does not solve the memory problem—it merely delays its onset while introducing quadratic computational costs and documented performance degradation on long-range dependencies.</w:t>
      </w:r>
    </w:p>
    <w:p>
      <w:pPr>
        <w:spacing w:after="200" w:line="276"/>
        <w:jc w:val="both"/>
      </w:pPr>
      <w:r>
        <w:t xml:space="preserve">Retrieval-Augmented Generation (RAG) emerged as the dominant paradigm for connecting LLMs to external knowledge. RAG systems embed documents into vector databases and retrieve semantically similar passages to augment generation. While effective for factual grounding, RAG fundamentally provides similarity-based retrieval rather than structured state management. As Letta's analysis observes, RAG often places irrelevant data into context windows, resulting in context pollution and degraded performance—particularly problematic for newer reasoning models that are sensitive to context quality.</w:t>
      </w:r>
    </w:p>
    <w:p>
      <w:pPr>
        <w:spacing w:after="200" w:line="276"/>
        <w:jc w:val="both"/>
      </w:pPr>
      <w:r>
        <w:t xml:space="preserve">MemGPT introduced a novel approach inspired by operating system memory hierarchies, implementing a dual-tier structure with main context (analogous to RAM) and external context (analogous to disk storage). This architecture enables information persistence beyond fixed context windows through explicit memory management operations. However, MemGPT's memory remains internal to the system, lacks cryptographic verification, and does not address vendor portability.</w:t>
      </w:r>
    </w:p>
    <w:p>
      <w:pPr>
        <w:spacing w:after="200" w:line="276"/>
        <w:jc w:val="both"/>
      </w:pPr>
      <w:r>
        <w:t xml:space="preserve">A-Mem proposes agentic memory systems where memories actively generate contextual descriptions, form connections with related memories, and evolve as new experiences emerge. Drawing inspiration from the Zettelkasten knowledge management method, A-Mem creates interconnected knowledge networks through dynamic indexing. While innovative, this approach adds computational complexity without addressing the fundamental issues of verifiability and vendor independence.</w:t>
      </w:r>
    </w:p>
    <w:p>
      <w:pPr>
        <w:spacing w:after="200" w:line="276"/>
        <w:jc w:val="both"/>
      </w:pPr>
      <w:r>
        <w:t xml:space="preserve">Recent work on graph-based memory architectures, including Zep's temporal knowledge graphs, structures conversational content into relational graphs to capture semantic dependencies. These systems improve cross-session reasoning but introduce additional infrastructure dependencies and do not provide cryptographic guarantees against tampering.</w:t>
      </w:r>
    </w:p>
    <w:p>
      <w:pPr>
        <w:pStyle w:val="Heading2"/>
      </w:pPr>
      <w:r>
        <w:t xml:space="preserve">2.2 External Memory in Neural Systems</w:t>
      </w:r>
    </w:p>
    <w:p>
      <w:pPr>
        <w:spacing w:after="200" w:line="276"/>
        <w:jc w:val="both"/>
      </w:pPr>
      <w:r>
        <w:t xml:space="preserve">The concept of external memory for neural networks predates the LLM era. Neural Turing Machines and Differentiable Neural Computers demonstrated that neural networks could learn to read from and write to external memory banks, enabling algorithmic generalization. Memory Networks showed that explicit memory components could improve question-answering performance by allowing models to reference stored facts.</w:t>
      </w:r>
    </w:p>
    <w:p>
      <w:pPr>
        <w:spacing w:after="200" w:line="276"/>
        <w:jc w:val="both"/>
      </w:pPr>
      <w:r>
        <w:t xml:space="preserve">In the LLM context, external memory typically refers to vector databases, knowledge graphs, or document stores accessed through retrieval mechanisms. These systems treat memory as a read-mostly resource optimized for similarity search rather than a read-write state container requiring consistency guarantees. The key insight motivating SCD is that agent state is fundamentally different from retrieval targets—it requires transactional semantics, temporal ordering, and integrity verification that similarity-based retrieval cannot provide.</w:t>
      </w:r>
    </w:p>
    <w:p>
      <w:pPr>
        <w:pStyle w:val="Heading2"/>
      </w:pPr>
      <w:r>
        <w:t xml:space="preserve">2.3 Cryptographic Integrity and Tamper-Evidence</w:t>
      </w:r>
    </w:p>
    <w:p>
      <w:pPr>
        <w:spacing w:after="200" w:line="276"/>
        <w:jc w:val="both"/>
      </w:pPr>
      <w:r>
        <w:t xml:space="preserve">Cryptographic hash functions provide the mathematical foundation for tamper-evident data structures. SHA-256, standardized by NIST, produces 256-bit digests that change unpredictably when even a single bit of input changes. This property—known as the avalanche effect—makes hash functions ideal for integrity verification: any modification to protected data invalidates its hash, revealing tampering.</w:t>
      </w:r>
    </w:p>
    <w:p>
      <w:pPr>
        <w:spacing w:after="200" w:line="276"/>
        <w:jc w:val="both"/>
      </w:pPr>
      <w:r>
        <w:t xml:space="preserve">Hash chains extend this concept to sequential data. In a hash chain, each element includes the hash of its predecessor, creating a dependency chain where modifying any element invalidates all subsequent elements. This structure underlies blockchain systems, Git version control, and Certificate Transparency logs. SCD adopts hash chains for agent state, making the complete history of state transitions tamper-evident.</w:t>
      </w:r>
    </w:p>
    <w:p>
      <w:pPr>
        <w:spacing w:after="200" w:line="276"/>
        <w:jc w:val="both"/>
      </w:pPr>
      <w:r>
        <w:t xml:space="preserve">Merkle trees generalize hash chains to tree structures, enabling efficient verification of individual elements without requiring access to the complete dataset. While SCD's current implementation uses linear hash chains, future extensions could employ Merkle structures for more complex state organizations.</w:t>
      </w:r>
    </w:p>
    <w:p>
      <w:pPr>
        <w:spacing w:after="200" w:line="276"/>
        <w:jc w:val="both"/>
      </w:pPr>
      <w:r>
        <w:t xml:space="preserve">RFC 8785 establishes the JSON Canonicalization Scheme (JCS), providing deterministic serialization for JSON data structures. Canonicalization is essential for cryptographic operations because hash functions require byte-identical inputs to produce identical outputs. Without canonicalization, semantically equivalent JSON objects could produce different hashes due to variations in property ordering or numeric representation. SCD adopts RFC 8785 to ensure that state hashes are reproducible across different implementations and platforms.</w:t>
      </w:r>
    </w:p>
    <w:p>
      <w:pPr>
        <w:pStyle w:val="Heading2"/>
      </w:pPr>
      <w:r>
        <w:t xml:space="preserve">2.4 Prompt Injection and Adversarial Attacks on LLM Agents</w:t>
      </w:r>
    </w:p>
    <w:p>
      <w:pPr>
        <w:spacing w:after="200" w:line="276"/>
        <w:jc w:val="both"/>
      </w:pPr>
      <w:r>
        <w:t xml:space="preserve">As LLM agents gained capabilities to interact with external data sources, researchers identified a new class of vulnerabilities: prompt injection attacks. Direct prompt injection involves users crafting inputs that override system instructions. Indirect prompt injection, more relevant to agent systems, embeds malicious instructions in external data sources that agents process during normal operation.</w:t>
      </w:r>
    </w:p>
    <w:p>
      <w:pPr>
        <w:spacing w:after="200" w:line="276"/>
        <w:jc w:val="both"/>
      </w:pPr>
      <w:r>
        <w:t xml:space="preserve">Research by Greshake and colleagues demonstrated that indirect prompt injection could compromise real-world LLM-integrated applications by embedding attack payloads in websites, emails, and documents that agents subsequently retrieve and process. The OWASP Foundation now lists prompt injection as the top vulnerability for LLM applications, emphasizing that these systems fundamentally lack separation between trusted commands and untrusted data.</w:t>
      </w:r>
    </w:p>
    <w:p>
      <w:pPr>
        <w:spacing w:after="200" w:line="276"/>
        <w:jc w:val="both"/>
      </w:pPr>
      <w:r>
        <w:t xml:space="preserve">Microsoft's defense-in-depth approach to prompt injection includes preventative techniques like hardened system prompts and Spotlighting to isolate untrusted inputs, detection tools such as Prompt Shields, and impact mitigation through data governance and consent workflows. Research by Zhan and colleagues demonstrates that many proposed defenses can be bypassed through adaptive attack strategies, achieving attack success rates exceeding 50 percent in comprehensive evaluations.</w:t>
      </w:r>
    </w:p>
    <w:p>
      <w:pPr>
        <w:spacing w:after="200" w:line="276"/>
        <w:jc w:val="both"/>
      </w:pPr>
      <w:r>
        <w:t xml:space="preserve">The Task Shield approach enforces task alignment by systematically verifying whether each instruction and tool call contributes to user-specified goals. Design patterns for securing LLM agents, developed by a consortium of AI companies and research institutes, propose deterministic mitigation strategies for specific scenarios.</w:t>
      </w:r>
    </w:p>
    <w:p>
      <w:pPr>
        <w:spacing w:after="200" w:line="276"/>
        <w:jc w:val="both"/>
      </w:pPr>
      <w:r>
        <w:t xml:space="preserve">SCD addresses prompt injection through constitutional governance—invariants that cannot be overridden by any prompt-level instruction. By separating the governance layer from the inference layer and implementing it as a pre-processing filter, SCD ensures that malicious instructions embedded in files cannot modify protected state.</w:t>
      </w:r>
    </w:p>
    <w:p>
      <w:pPr>
        <w:pStyle w:val="Heading2"/>
      </w:pPr>
      <w:r>
        <w:t xml:space="preserve">2.5 Autonomous Agent Frameworks</w:t>
      </w:r>
    </w:p>
    <w:p>
      <w:pPr>
        <w:spacing w:after="200" w:line="276"/>
        <w:jc w:val="both"/>
      </w:pPr>
      <w:r>
        <w:t xml:space="preserve">Contemporary agent frameworks provide the infrastructure for LLM-based autonomous systems. LangChain and LlamaIndex offer tooling for retrieval, memory, and tool orchestration. AutoGPT and similar systems demonstrate autonomous task decomposition and execution. The Model Context Protocol (MCP), developed by Anthropic, standardizes how agents interact with external tools and data sources.</w:t>
      </w:r>
    </w:p>
    <w:p>
      <w:pPr>
        <w:spacing w:after="200" w:line="276"/>
        <w:jc w:val="both"/>
      </w:pPr>
      <w:r>
        <w:t xml:space="preserve">These frameworks focus primarily on capability composition—connecting LLMs to tools, databases, and external services. They generally treat memory as a retrieval problem solved by vector databases rather than a state management problem requiring consistency guarantees. SCD complements these frameworks by providing a protocol-level solution for reliable state persistence that can be integrated into any agent architecture.</w:t>
      </w:r>
    </w:p>
    <w:p>
      <w:r>
        <w:br w:type="page"/>
      </w:r>
    </w:p>
    <w:p>
      <w:pPr>
        <w:pStyle w:val="Heading1"/>
      </w:pPr>
      <w:r>
        <w:t xml:space="preserve">3. Motivation and Design Philosophy</w:t>
      </w:r>
    </w:p>
    <w:p>
      <w:pPr>
        <w:spacing w:after="200" w:line="276"/>
        <w:jc w:val="both"/>
      </w:pPr>
      <w:r>
        <w:t xml:space="preserve">The design of SCD emerges from a fundamental reconceptualization of what agent memory should be. Rather than treating memory as an internal model property or a retrieval optimization, SCD treats memory as a first-class infrastructure component subject to the same engineering rigor applied to databases, filesystems, and distributed ledgers.</w:t>
      </w:r>
    </w:p>
    <w:p>
      <w:pPr>
        <w:pStyle w:val="Heading2"/>
      </w:pPr>
      <w:r>
        <w:t xml:space="preserve">3.1 Memory as Infrastructure</w:t>
      </w:r>
    </w:p>
    <w:p>
      <w:pPr>
        <w:spacing w:after="200" w:line="276"/>
        <w:jc w:val="both"/>
      </w:pPr>
      <w:r>
        <w:t xml:space="preserve">Traditional software systems distinguish between volatile state (RAM, caches) and durable state (databases, filesystems). This distinction reflects the reality that some information must survive process restarts, system failures, and temporal discontinuities. Agent memory, by this analysis, is clearly durable state—it must persist across sessions, survive system interruptions, and maintain integrity over time.</w:t>
      </w:r>
    </w:p>
    <w:p>
      <w:pPr>
        <w:spacing w:after="200" w:line="276"/>
        <w:jc w:val="both"/>
      </w:pPr>
      <w:r>
        <w:t xml:space="preserve">Yet contemporary agent architectures treat memory as volatile state, relying on context windows that clear between sessions or retrieval systems that provide probabilistic access without consistency guarantees. This architectural mismatch explains many of the reliability problems observed in deployed agent systems: state drift, contradictory outputs across sessions, and inability to maintain coherent long-term context.</w:t>
      </w:r>
    </w:p>
    <w:p>
      <w:pPr>
        <w:spacing w:after="200" w:line="276"/>
        <w:jc w:val="both"/>
      </w:pPr>
      <w:r>
        <w:t xml:space="preserve">SCD adopts the infrastructure perspective: agent memory is a durable artifact that must be explicitly managed, versioned, verified, and governed. This perspective leads directly to the core design decisions: filesystem storage for durability, cryptographic hashing for integrity, turn-based versioning for temporal ordering, and constitutional governance for invariant enforcement.</w:t>
      </w:r>
    </w:p>
    <w:p>
      <w:pPr>
        <w:pStyle w:val="Heading2"/>
      </w:pPr>
      <w:r>
        <w:t xml:space="preserve">3.2 The Six Pillars of Sovereign Memory</w:t>
      </w:r>
    </w:p>
    <w:p>
      <w:pPr>
        <w:spacing w:after="200" w:line="276"/>
        <w:jc w:val="both"/>
      </w:pPr>
      <w:r>
        <w:t xml:space="preserve">SCD is built on six foundational principles that together define sovereign agent memory:</w:t>
      </w:r>
    </w:p>
    <w:p>
      <w:pPr>
        <w:pStyle w:val="ListParagraph"/>
        <w:numPr>
          <w:ilvl w:val="0"/>
          <w:numId w:val="3"/>
        </w:numPr>
        <w:spacing w:after="100"/>
      </w:pPr>
      <w:r>
        <w:t xml:space="preserve">External: Memory resides on disk, not in model weights or context windows. This externalization makes memory inspectable, portable, and independent of model internals.</w:t>
      </w:r>
    </w:p>
    <w:p>
      <w:pPr>
        <w:pStyle w:val="ListParagraph"/>
        <w:numPr>
          <w:ilvl w:val="0"/>
          <w:numId w:val="3"/>
        </w:numPr>
        <w:spacing w:after="100"/>
      </w:pPr>
      <w:r>
        <w:t xml:space="preserve">Canonical: Memory serialization follows RFC 8785 JSON canonicalization. This ensures byte-identical representation across platforms, enabling cryptographic verification.</w:t>
      </w:r>
    </w:p>
    <w:p>
      <w:pPr>
        <w:pStyle w:val="ListParagraph"/>
        <w:numPr>
          <w:ilvl w:val="0"/>
          <w:numId w:val="3"/>
        </w:numPr>
        <w:spacing w:after="100"/>
      </w:pPr>
      <w:r>
        <w:t xml:space="preserve">Deterministic: State transitions follow turn-based ordering with monotonically increasing version numbers. Given identical inputs, state evolution is completely reproducible.</w:t>
      </w:r>
    </w:p>
    <w:p>
      <w:pPr>
        <w:pStyle w:val="ListParagraph"/>
        <w:numPr>
          <w:ilvl w:val="0"/>
          <w:numId w:val="3"/>
        </w:numPr>
        <w:spacing w:after="100"/>
      </w:pPr>
      <w:r>
        <w:t xml:space="preserve">Governed: Constitutional locks protect invariants that cannot be overridden by prompt-level instructions. Governance is implemented at the protocol level, not the prompt level.</w:t>
      </w:r>
    </w:p>
    <w:p>
      <w:pPr>
        <w:pStyle w:val="ListParagraph"/>
        <w:numPr>
          <w:ilvl w:val="0"/>
          <w:numId w:val="3"/>
        </w:numPr>
        <w:spacing w:after="100"/>
      </w:pPr>
      <w:r>
        <w:t xml:space="preserve">Vendor-Independent: State files are portable across different AI systems. An agent's memory belongs to the user, not the vendor.</w:t>
      </w:r>
    </w:p>
    <w:p>
      <w:pPr>
        <w:pStyle w:val="ListParagraph"/>
        <w:numPr>
          <w:ilvl w:val="0"/>
          <w:numId w:val="3"/>
        </w:numPr>
        <w:spacing w:after="100"/>
      </w:pPr>
      <w:r>
        <w:t xml:space="preserve">Tamper-Evident: SHA-256 integrity chains make any modification immediately detectable. The complete state history is cryptographically protected.</w:t>
      </w:r>
    </w:p>
    <w:p>
      <w:pPr>
        <w:pStyle w:val="Heading2"/>
      </w:pPr>
      <w:r>
        <w:t xml:space="preserve">3.3 Constitutional Governance</w:t>
      </w:r>
    </w:p>
    <w:p>
      <w:pPr>
        <w:spacing w:after="200" w:line="276"/>
        <w:jc w:val="both"/>
      </w:pPr>
      <w:r>
        <w:t xml:space="preserve">The most distinctive aspect of SCD is its constitutional governance layer. Traditional LLM systems rely on system prompts to establish behavioral guidelines, but system prompts are fundamentally advisory—they can be overridden, forgotten, or circumvented through various prompt injection techniques.</w:t>
      </w:r>
    </w:p>
    <w:p>
      <w:pPr>
        <w:spacing w:after="200" w:line="276"/>
        <w:jc w:val="both"/>
      </w:pPr>
      <w:r>
        <w:t xml:space="preserve">SCD implements governance as a pre-processing filter that operates before prompt content reaches the inference layer. Protected state fields and invariant constraints are defined in the state schema itself, not in prompts. When an operation would violate a constitutional constraint—for example, modifying a locked field—the governance layer blocks the operation and returns a structured rejection before the LLM even processes the request.</w:t>
      </w:r>
    </w:p>
    <w:p>
      <w:pPr>
        <w:spacing w:after="200" w:line="276"/>
        <w:jc w:val="both"/>
      </w:pPr>
      <w:r>
        <w:t xml:space="preserve">This architecture provides defense-in-depth: even if an adversary successfully injects instructions into the prompt, those instructions cannot override constitutional constraints because the constraint enforcement occurs at a different architectural layer.</w:t>
      </w:r>
    </w:p>
    <w:p>
      <w:pPr>
        <w:pStyle w:val="Heading2"/>
      </w:pPr>
      <w:r>
        <w:t xml:space="preserve">3.4 Design Goals and Non-Goals</w:t>
      </w:r>
    </w:p>
    <w:p>
      <w:pPr>
        <w:spacing w:after="200" w:line="276"/>
        <w:jc w:val="both"/>
      </w:pPr>
      <w:r>
        <w:t xml:space="preserve">SCD is designed to provide reliable, verifiable state management for autonomous agents operating across sessions and vendors. It is not designed to replace RAG systems for knowledge retrieval, provide semantic search over historical state, or implement complex relational data models. These capabilities remain valuable and can be implemented alongside SCD; they are simply outside the protocol's scope.</w:t>
      </w:r>
    </w:p>
    <w:p>
      <w:pPr>
        <w:spacing w:after="200" w:line="276"/>
        <w:jc w:val="both"/>
      </w:pPr>
      <w:r>
        <w:t xml:space="preserve">The design prioritizes simplicity, verifiability, and portability over feature richness. A state file is a JSON document on disk—inspectable with standard tools, editable with standard editors, and portable via standard file transfer. No proprietary formats, no vendor-specific APIs, no opaque binary representations. This simplicity is a feature, not a limitation: it ensures that SCD can be implemented, verified, and trusted by anyone with basic programming capabilities.</w:t>
      </w:r>
    </w:p>
    <w:p>
      <w:r>
        <w:br w:type="page"/>
      </w:r>
    </w:p>
    <w:p>
      <w:pPr>
        <w:pStyle w:val="Heading1"/>
      </w:pPr>
      <w:r>
        <w:t xml:space="preserve">4. Methodology</w:t>
      </w:r>
    </w:p>
    <w:p>
      <w:pPr>
        <w:spacing w:after="200" w:line="276"/>
        <w:jc w:val="both"/>
      </w:pPr>
      <w:r>
        <w:t xml:space="preserve">This section presents the complete technical specification of the Structured Contextual Distillation protocol, including state schema definitions, algorithmic procedures for state management, and the validation methodology employed in our experiments.</w:t>
      </w:r>
    </w:p>
    <w:p>
      <w:pPr>
        <w:pStyle w:val="Heading2"/>
      </w:pPr>
      <w:r>
        <w:t xml:space="preserve">4.1 State Schema Definition</w:t>
      </w:r>
    </w:p>
    <w:p>
      <w:pPr>
        <w:spacing w:after="200" w:line="276"/>
        <w:jc w:val="both"/>
      </w:pPr>
      <w:r>
        <w:t xml:space="preserve">An SCD state document is a JSON object conforming to a well-defined schema. The schema specifies required fields, their types, constraints, and governance properties. The minimal valid state document includes the following components:</w:t>
      </w:r>
    </w:p>
    <w:p>
      <w:pPr>
        <w:shd w:fill="F5F5F5" w:val="clear"/>
        <w:spacing w:before="120" w:after="120"/>
        <w:ind w:left="360" w:right="360"/>
      </w:pPr>
      <w:r>
        <w:rPr>
          <w:rFonts w:ascii="Courier New" w:cs="Courier New" w:eastAsia="Courier New" w:hAnsi="Courier New"/>
          <w:sz w:val="20"/>
          <w:szCs w:val="20"/>
        </w:rPr>
        <w:t xml:space="preserve">{
  "version": "v3.0",
  "turn": 1,
  "state": { /* application-specific state */ },
  "constitutional_lock": false,
  "checksum": "sha256-hex-string"
}</w:t>
      </w:r>
    </w:p>
    <w:p>
      <w:pPr>
        <w:spacing w:after="200" w:line="276"/>
        <w:jc w:val="both"/>
      </w:pPr>
      <w:r>
        <w:t xml:space="preserve">The version field indicates the SCD protocol version, enabling forward compatibility as the protocol evolves. The turn field provides monotonically increasing temporal ordering, incremented with each state transition. The state field contains application-specific data whose structure is defined by the implementing agent. The constitutional_lock field indicates whether governance constraints are active. The checksum field contains the SHA-256 hash of the canonicalized state object.</w:t>
      </w:r>
    </w:p>
    <w:p>
      <w:pPr>
        <w:pStyle w:val="Heading2"/>
      </w:pPr>
      <w:r>
        <w:t xml:space="preserve">4.2 Canonicalization Procedure</w:t>
      </w:r>
    </w:p>
    <w:p>
      <w:pPr>
        <w:spacing w:after="200" w:line="276"/>
        <w:jc w:val="both"/>
      </w:pPr>
      <w:r>
        <w:t xml:space="preserve">Before computing checksums, state objects must be serialized to a canonical byte representation. SCD adopts RFC 8785 JSON Canonicalization Scheme, which specifies deterministic property ordering (lexicographic by key), numeric representation (no unnecessary precision), and string encoding (UTF-8 without byte order marks). The canonicalization procedure proceeds as follows:</w:t>
      </w:r>
    </w:p>
    <w:p>
      <w:pPr>
        <w:pStyle w:val="ListParagraph"/>
        <w:numPr>
          <w:ilvl w:val="0"/>
          <w:numId w:val="3"/>
        </w:numPr>
        <w:spacing w:after="100"/>
      </w:pPr>
      <w:r>
        <w:t xml:space="preserve">Extract the state object from the full state document.</w:t>
      </w:r>
    </w:p>
    <w:p>
      <w:pPr>
        <w:pStyle w:val="ListParagraph"/>
        <w:numPr>
          <w:ilvl w:val="0"/>
          <w:numId w:val="3"/>
        </w:numPr>
        <w:spacing w:after="100"/>
      </w:pPr>
      <w:r>
        <w:t xml:space="preserve">Recursively sort all object properties lexicographically by key.</w:t>
      </w:r>
    </w:p>
    <w:p>
      <w:pPr>
        <w:pStyle w:val="ListParagraph"/>
        <w:numPr>
          <w:ilvl w:val="0"/>
          <w:numId w:val="3"/>
        </w:numPr>
        <w:spacing w:after="100"/>
      </w:pPr>
      <w:r>
        <w:t xml:space="preserve">Serialize numbers according to ECMAScript toString rules.</w:t>
      </w:r>
    </w:p>
    <w:p>
      <w:pPr>
        <w:pStyle w:val="ListParagraph"/>
        <w:numPr>
          <w:ilvl w:val="0"/>
          <w:numId w:val="3"/>
        </w:numPr>
        <w:spacing w:after="100"/>
      </w:pPr>
      <w:r>
        <w:t xml:space="preserve">Encode strings as UTF-8 without trailing whitespace.</w:t>
      </w:r>
    </w:p>
    <w:p>
      <w:pPr>
        <w:pStyle w:val="ListParagraph"/>
        <w:numPr>
          <w:ilvl w:val="0"/>
          <w:numId w:val="3"/>
        </w:numPr>
        <w:spacing w:after="100"/>
      </w:pPr>
      <w:r>
        <w:t xml:space="preserve">Produce the final canonical byte sequence.</w:t>
      </w:r>
    </w:p>
    <w:p>
      <w:pPr>
        <w:spacing w:after="200" w:line="276"/>
        <w:jc w:val="both"/>
      </w:pPr>
      <w:r>
        <w:t xml:space="preserve">This procedure guarantees that semantically equivalent state objects produce byte-identical serializations, enabling reliable hash computation across different implementations.</w:t>
      </w:r>
    </w:p>
    <w:p>
      <w:pPr>
        <w:pStyle w:val="Heading2"/>
      </w:pPr>
      <w:r>
        <w:t xml:space="preserve">4.3 Integrity Chain Construction</w:t>
      </w:r>
    </w:p>
    <w:p>
      <w:pPr>
        <w:spacing w:after="200" w:line="276"/>
        <w:jc w:val="both"/>
      </w:pPr>
      <w:r>
        <w:t xml:space="preserve">SCD constructs an integrity chain by incorporating the previous checksum into each new state computation. When transitioning from state S_n to state S_(n+1), the checksum for S_(n+1) is computed as SHA-256 of the concatenation of the canonical state bytes and the previous checksum:</w:t>
      </w:r>
    </w:p>
    <w:p>
      <w:pPr>
        <w:shd w:fill="F5F5F5" w:val="clear"/>
        <w:spacing w:before="120" w:after="120"/>
        <w:ind w:left="360" w:right="360"/>
      </w:pPr>
      <w:r>
        <w:rPr>
          <w:rFonts w:ascii="Courier New" w:cs="Courier New" w:eastAsia="Courier New" w:hAnsi="Courier New"/>
          <w:sz w:val="20"/>
          <w:szCs w:val="20"/>
        </w:rPr>
        <w:t xml:space="preserve">checksum_(n+1) = SHA-256(canonical(state_(n+1)) || checksum_n)</w:t>
      </w:r>
    </w:p>
    <w:p>
      <w:pPr>
        <w:spacing w:after="200" w:line="276"/>
        <w:jc w:val="both"/>
      </w:pPr>
      <w:r>
        <w:t xml:space="preserve">This construction ensures that modifying any historical state invalidates all subsequent checksums, making the complete state history tamper-evident. An auditor can verify the integrity chain by recomputing checksums from the initial state and confirming they match the stored values.</w:t>
      </w:r>
    </w:p>
    <w:p>
      <w:pPr>
        <w:pStyle w:val="Heading2"/>
      </w:pPr>
      <w:r>
        <w:t xml:space="preserve">4.4 Turn-Based Versioning</w:t>
      </w:r>
    </w:p>
    <w:p>
      <w:pPr>
        <w:spacing w:after="200" w:line="276"/>
        <w:jc w:val="both"/>
      </w:pPr>
      <w:r>
        <w:t xml:space="preserve">Each state transition increments the turn counter, providing a strict temporal ordering of state versions. The turn counter is a monotonically increasing integer initialized to 1. Concurrent modifications are not supported in the base protocol; state access is assumed to be serialized through a single agent. This simplification enables straightforward reasoning about state evolution while supporting the primary use case of single-agent autonomous operation.</w:t>
      </w:r>
    </w:p>
    <w:p>
      <w:pPr>
        <w:pStyle w:val="Heading2"/>
      </w:pPr>
      <w:r>
        <w:t xml:space="preserve">4.5 Constitutional Governance Implementation</w:t>
      </w:r>
    </w:p>
    <w:p>
      <w:pPr>
        <w:spacing w:after="200" w:line="276"/>
        <w:jc w:val="both"/>
      </w:pPr>
      <w:r>
        <w:t xml:space="preserve">The constitutional governance layer enforces invariants that persist regardless of prompt-level instructions. Governance is implemented through a two-phase operation processing model. In the pre-processing phase, each proposed state modification is evaluated against the governance constraints before being passed to the inference layer. If the modification would violate a constraint, it is rejected with a structured error response and never reaches the LLM. In the execution phase, modifications that pass governance checks proceed through normal processing.</w:t>
      </w:r>
    </w:p>
    <w:p>
      <w:pPr>
        <w:spacing w:after="200" w:line="276"/>
        <w:jc w:val="both"/>
      </w:pPr>
      <w:r>
        <w:t xml:space="preserve">Governance constraints are defined in a separate governance schema that specifies protected fields (fields that cannot be modified when constitutional_lock is true), value constraints (bounds or enumerated values for specific fields), and structural constraints (required fields, type restrictions). When constitutional_lock is enabled, the governance layer blocks any operation that would modify protected fields, regardless of the instruction source.</w:t>
      </w:r>
    </w:p>
    <w:p>
      <w:pPr>
        <w:pStyle w:val="Heading2"/>
      </w:pPr>
      <w:r>
        <w:t xml:space="preserve">4.6 Supersession Protocol</w:t>
      </w:r>
    </w:p>
    <w:p>
      <w:pPr>
        <w:spacing w:after="200" w:line="276"/>
        <w:jc w:val="both"/>
      </w:pPr>
      <w:r>
        <w:t xml:space="preserve">State supersession replaces the current state with a new version while maintaining integrity chain continuity. The supersession protocol ensures atomic transitions: either the new state is fully committed with valid checksums, or the previous state remains unchanged. The supersession procedure is as follows:</w:t>
      </w:r>
    </w:p>
    <w:p>
      <w:pPr>
        <w:pStyle w:val="ListParagraph"/>
        <w:numPr>
          <w:ilvl w:val="0"/>
          <w:numId w:val="3"/>
        </w:numPr>
        <w:spacing w:after="100"/>
      </w:pPr>
      <w:r>
        <w:t xml:space="preserve">Read the current state document and verify its checksum.</w:t>
      </w:r>
    </w:p>
    <w:p>
      <w:pPr>
        <w:pStyle w:val="ListParagraph"/>
        <w:numPr>
          <w:ilvl w:val="0"/>
          <w:numId w:val="3"/>
        </w:numPr>
        <w:spacing w:after="100"/>
      </w:pPr>
      <w:r>
        <w:t xml:space="preserve">Apply the proposed modifications to produce the new state.</w:t>
      </w:r>
    </w:p>
    <w:p>
      <w:pPr>
        <w:pStyle w:val="ListParagraph"/>
        <w:numPr>
          <w:ilvl w:val="0"/>
          <w:numId w:val="3"/>
        </w:numPr>
        <w:spacing w:after="100"/>
      </w:pPr>
      <w:r>
        <w:t xml:space="preserve">Increment the turn counter.</w:t>
      </w:r>
    </w:p>
    <w:p>
      <w:pPr>
        <w:pStyle w:val="ListParagraph"/>
        <w:numPr>
          <w:ilvl w:val="0"/>
          <w:numId w:val="3"/>
        </w:numPr>
        <w:spacing w:after="100"/>
      </w:pPr>
      <w:r>
        <w:t xml:space="preserve">Compute the new checksum using the integrity chain construction.</w:t>
      </w:r>
    </w:p>
    <w:p>
      <w:pPr>
        <w:pStyle w:val="ListParagraph"/>
        <w:numPr>
          <w:ilvl w:val="0"/>
          <w:numId w:val="3"/>
        </w:numPr>
        <w:spacing w:after="100"/>
      </w:pPr>
      <w:r>
        <w:t xml:space="preserve">Write the new state document atomically to the filesystem.</w:t>
      </w:r>
    </w:p>
    <w:p>
      <w:pPr>
        <w:pStyle w:val="ListParagraph"/>
        <w:numPr>
          <w:ilvl w:val="0"/>
          <w:numId w:val="3"/>
        </w:numPr>
        <w:spacing w:after="100"/>
      </w:pPr>
      <w:r>
        <w:t xml:space="preserve">Verify the written document matches the computed state.</w:t>
      </w:r>
    </w:p>
    <w:p>
      <w:pPr>
        <w:spacing w:after="200" w:line="276"/>
        <w:jc w:val="both"/>
      </w:pPr>
      <w:r>
        <w:t xml:space="preserve">Atomic writes are implemented using the standard rename pattern: write to a temporary file, then atomically rename to the target path. This ensures that interrupted writes do not corrupt the state file.</w:t>
      </w:r>
    </w:p>
    <w:p>
      <w:pPr>
        <w:pStyle w:val="Heading2"/>
      </w:pPr>
      <w:r>
        <w:t xml:space="preserve">4.7 Validation Methodology</w:t>
      </w:r>
    </w:p>
    <w:p>
      <w:pPr>
        <w:spacing w:after="200" w:line="276"/>
        <w:jc w:val="both"/>
      </w:pPr>
      <w:r>
        <w:t xml:space="preserve">SCD v3.1 was validated through a four-tier testing regime designed to evaluate functional correctness, interoperability, endurance, and adversarial robustness.</w:t>
      </w:r>
    </w:p>
    <w:p>
      <w:pPr>
        <w:spacing w:after="200" w:line="276"/>
        <w:jc w:val="both"/>
      </w:pPr>
      <w:r>
        <w:rPr>
          <w:b/>
          <w:bCs/>
        </w:rPr>
        <w:t xml:space="preserve">Tier 1: Functional Integrity. </w:t>
      </w:r>
      <w:r>
        <w:t xml:space="preserve">Basic protocol operations were validated using Google Antigravity (Gemini 3 Pro), including state initialization, read operations, write operations, checksum verification, governance enforcement, and supersession. Each operation was tested in isolation and in sequence to verify correct behavior.</w:t>
      </w:r>
    </w:p>
    <w:p>
      <w:pPr>
        <w:spacing w:after="200" w:line="276"/>
        <w:jc w:val="both"/>
      </w:pPr>
      <w:r>
        <w:rPr>
          <w:b/>
          <w:bCs/>
        </w:rPr>
        <w:t xml:space="preserve">Tier 2: Cross-Vendor Handoff. </w:t>
      </w:r>
      <w:r>
        <w:t xml:space="preserve">State portability was validated by transferring state documents between Google Antigravity and Claude Desktop (Claude 3.5 Sonnet). The test sequence involved initializing state on Antigravity, performing modifications, exporting to Claude Desktop, verifying integrity, performing additional modifications on Claude, and re-importing to Antigravity with final integrity verification.</w:t>
      </w:r>
    </w:p>
    <w:p>
      <w:pPr>
        <w:spacing w:after="200" w:line="276"/>
        <w:jc w:val="both"/>
      </w:pPr>
      <w:r>
        <w:rPr>
          <w:b/>
          <w:bCs/>
        </w:rPr>
        <w:t xml:space="preserve">Tier 3: Endurance Test. </w:t>
      </w:r>
      <w:r>
        <w:t xml:space="preserve">Long-duration reliability was validated through an automated test harness that executed 1005 sequential state transitions on a single system, verifying checksum correctness at each turn and measuring supersession performance.</w:t>
      </w:r>
    </w:p>
    <w:p>
      <w:pPr>
        <w:spacing w:after="200" w:line="276"/>
        <w:jc w:val="both"/>
      </w:pPr>
      <w:r>
        <w:rPr>
          <w:b/>
          <w:bCs/>
        </w:rPr>
        <w:t xml:space="preserve">Tier 4: Trojan Horse Defense. </w:t>
      </w:r>
      <w:r>
        <w:t xml:space="preserve">Adversarial robustness was validated by embedding indirect prompt injection payloads in files processed by the agent. The payloads instructed the agent to modify protected state fields. Success was measured by whether the governance layer blocked the attempted modifications.</w:t>
      </w:r>
    </w:p>
    <w:p>
      <w:r>
        <w:br w:type="page"/>
      </w:r>
    </w:p>
    <w:p>
      <w:pPr>
        <w:pStyle w:val="Heading1"/>
      </w:pPr>
      <w:r>
        <w:t xml:space="preserve">5. Algorithm Specification and Formal Guarantees</w:t>
      </w:r>
    </w:p>
    <w:p>
      <w:pPr>
        <w:spacing w:after="200" w:line="276"/>
        <w:jc w:val="both"/>
      </w:pPr>
      <w:r>
        <w:t xml:space="preserve">This section provides formal definitions and proves the key properties guaranteed by the SCD protocol. We establish that SCD provides determinism, integrity, and governance as verifiable properties rather than heuristic guidelines.</w:t>
      </w:r>
    </w:p>
    <w:p>
      <w:pPr>
        <w:pStyle w:val="Heading2"/>
      </w:pPr>
      <w:r>
        <w:t xml:space="preserve">5.1 Formal Definitions</w:t>
      </w:r>
    </w:p>
    <w:p>
      <w:pPr>
        <w:spacing w:after="200" w:line="276"/>
        <w:jc w:val="both"/>
      </w:pPr>
      <w:r>
        <w:rPr>
          <w:b/>
          <w:bCs/>
        </w:rPr>
        <w:t xml:space="preserve">Definition 1 (SCD State). </w:t>
      </w:r>
      <w:r>
        <w:t xml:space="preserve">An SCD state S is a tuple (v, t, d, c, h) where v is the protocol version string, t is the turn number (positive integer), d is the state data (JSON object), c is the constitutional lock flag (boolean), and h is the checksum (256-bit hash).</w:t>
      </w:r>
    </w:p>
    <w:p>
      <w:pPr>
        <w:spacing w:after="200" w:line="276"/>
        <w:jc w:val="both"/>
      </w:pPr>
      <w:r>
        <w:rPr>
          <w:b/>
          <w:bCs/>
        </w:rPr>
        <w:t xml:space="preserve">Definition 2 (Canonicalization). </w:t>
      </w:r>
      <w:r>
        <w:t xml:space="preserve">The canonicalization function C: JSON → Bytes maps JSON objects to byte sequences according to RFC 8785. C is deterministic: for all JSON objects j, repeated applications produce identical byte sequences.</w:t>
      </w:r>
    </w:p>
    <w:p>
      <w:pPr>
        <w:spacing w:after="200" w:line="276"/>
        <w:jc w:val="both"/>
      </w:pPr>
      <w:r>
        <w:rPr>
          <w:b/>
          <w:bCs/>
        </w:rPr>
        <w:t xml:space="preserve">Definition 3 (State Hash). </w:t>
      </w:r>
      <w:r>
        <w:t xml:space="preserve">The state hash function H: State × Hash → Hash computes the integrity chain: H(S_n, h_(n-1)) = SHA-256(C(d_n) || h_(n-1)), where d_n is the state data of S_n and h_(n-1) is the previous checksum. For the initial state, h_0 is the all-zeros hash.</w:t>
      </w:r>
    </w:p>
    <w:p>
      <w:pPr>
        <w:spacing w:after="200" w:line="276"/>
        <w:jc w:val="both"/>
      </w:pPr>
      <w:r>
        <w:rPr>
          <w:b/>
          <w:bCs/>
        </w:rPr>
        <w:t xml:space="preserve">Definition 4 (Valid State Sequence). </w:t>
      </w:r>
      <w:r>
        <w:t xml:space="preserve">A sequence of states S_1, S_2, ..., S_n is valid if and only if: (a) turn numbers are strictly increasing: t_1 &lt; t_2 &lt; ... &lt; t_n; (b) checksums form a valid integrity chain: h_i = H(S_i, h_(i-1)) for all i; (c) version strings are consistent with protocol evolution rules.</w:t>
      </w:r>
    </w:p>
    <w:p>
      <w:pPr>
        <w:spacing w:after="200" w:line="276"/>
        <w:jc w:val="both"/>
      </w:pPr>
      <w:r>
        <w:rPr>
          <w:b/>
          <w:bCs/>
        </w:rPr>
        <w:t xml:space="preserve">Definition 5 (Constitutional Constraint). </w:t>
      </w:r>
      <w:r>
        <w:t xml:space="preserve">A constitutional constraint K is a predicate K: State × Modification → Boolean that evaluates proposed modifications against protected invariants. A modification M is permissible if K(S, M) = true.</w:t>
      </w:r>
    </w:p>
    <w:p>
      <w:pPr>
        <w:pStyle w:val="Heading2"/>
      </w:pPr>
      <w:r>
        <w:t xml:space="preserve">5.2 Determinism Guarantee</w:t>
      </w:r>
    </w:p>
    <w:p>
      <w:pPr>
        <w:spacing w:after="200" w:line="276"/>
        <w:jc w:val="both"/>
      </w:pPr>
      <w:r>
        <w:rPr>
          <w:b/>
          <w:bCs/>
        </w:rPr>
        <w:t xml:space="preserve">Theorem 1 (Determinism). </w:t>
      </w:r>
      <w:r>
        <w:t xml:space="preserve">Given identical initial states and identical sequences of modifications, SCD produces identical final states.</w:t>
      </w:r>
    </w:p>
    <w:p>
      <w:pPr>
        <w:spacing w:after="200" w:line="276"/>
        <w:jc w:val="both"/>
      </w:pPr>
      <w:r>
        <w:rPr>
          <w:i/>
          <w:iCs/>
        </w:rPr>
        <w:t xml:space="preserve">Proof. </w:t>
      </w:r>
      <w:r>
        <w:t xml:space="preserve">The proof proceeds by induction on the number of state transitions. Base case: The initial state S_1 is determined entirely by the initialization parameters, which are given as identical. Inductive step: Assume S_n is identical across executions. A modification M applied to S_n produces S_(n+1) where the state data is determined by a deterministic function of S_n and M, the turn number is t_n + 1 (deterministic), and the checksum is H(S_(n+1), h_n), which is deterministic given the determinism of C and SHA-256. Therefore S_(n+1) is identical across executions. By induction, all states in the sequence are identical. □</w:t>
      </w:r>
    </w:p>
    <w:p>
      <w:pPr>
        <w:pStyle w:val="Heading2"/>
      </w:pPr>
      <w:r>
        <w:t xml:space="preserve">5.3 Integrity Guarantee</w:t>
      </w:r>
    </w:p>
    <w:p>
      <w:pPr>
        <w:spacing w:after="200" w:line="276"/>
        <w:jc w:val="both"/>
      </w:pPr>
      <w:r>
        <w:rPr>
          <w:b/>
          <w:bCs/>
        </w:rPr>
        <w:t xml:space="preserve">Theorem 2 (Tamper Evidence). </w:t>
      </w:r>
      <w:r>
        <w:t xml:space="preserve">Any modification to a state S_i in a valid state sequence S_1, ..., S_n invalidates the checksums of all subsequent states S_(i+1), ..., S_n with overwhelming probability.</w:t>
      </w:r>
    </w:p>
    <w:p>
      <w:pPr>
        <w:spacing w:after="200" w:line="276"/>
        <w:jc w:val="both"/>
      </w:pPr>
      <w:r>
        <w:rPr>
          <w:i/>
          <w:iCs/>
        </w:rPr>
        <w:t xml:space="preserve">Proof. </w:t>
      </w:r>
      <w:r>
        <w:t xml:space="preserve">Let S_i' denote the modified state. The checksum h_i' = H(S_i', h_(i-1)) differs from h_i with probability 1 - 2^(-256) due to the collision resistance of SHA-256. Given h_i' ≠ h_i, the checksum h_(i+1)' = H(S_(i+1), h_i') differs from h_(i+1) = H(S_(i+1), h_i) because H incorporates the previous checksum. By induction, all subsequent checksums are invalidated. The probability of a collision allowing an undetected modification is negligible (2^(-256) per state), making tampering computationally infeasible. □</w:t>
      </w:r>
    </w:p>
    <w:p>
      <w:pPr>
        <w:pStyle w:val="Heading2"/>
      </w:pPr>
      <w:r>
        <w:t xml:space="preserve">5.4 Governance Guarantee</w:t>
      </w:r>
    </w:p>
    <w:p>
      <w:pPr>
        <w:spacing w:after="200" w:line="276"/>
        <w:jc w:val="both"/>
      </w:pPr>
      <w:r>
        <w:rPr>
          <w:b/>
          <w:bCs/>
        </w:rPr>
        <w:t xml:space="preserve">Theorem 3 (Constitutional Enforcement). </w:t>
      </w:r>
      <w:r>
        <w:t xml:space="preserve">When constitutional_lock = true, modifications to protected fields are blocked regardless of instruction source.</w:t>
      </w:r>
    </w:p>
    <w:p>
      <w:pPr>
        <w:spacing w:after="200" w:line="276"/>
        <w:jc w:val="both"/>
      </w:pPr>
      <w:r>
        <w:rPr>
          <w:i/>
          <w:iCs/>
        </w:rPr>
        <w:t xml:space="preserve">Proof. </w:t>
      </w:r>
      <w:r>
        <w:t xml:space="preserve">The governance layer operates as a pre-processing filter in the modification pipeline. All modifications M pass through the governance evaluation K(S, M) before reaching the state transition function. If constitutional_lock = true and M targets a protected field, K(S, M) = false by construction of the constitutional constraints. The modification is rejected before any state change occurs. Since the filter operates at the protocol layer rather than the prompt layer, prompt-level instructions cannot bypass the evaluation. □</w:t>
      </w:r>
    </w:p>
    <w:p>
      <w:pPr>
        <w:pStyle w:val="Heading2"/>
      </w:pPr>
      <w:r>
        <w:t xml:space="preserve">5.5 Complexity Analysis</w:t>
      </w:r>
    </w:p>
    <w:p>
      <w:pPr>
        <w:spacing w:after="200" w:line="276"/>
        <w:jc w:val="both"/>
      </w:pPr>
      <w:r>
        <w:t xml:space="preserve">The computational complexity of SCD operations is dominated by cryptographic hashing. State read operations require O(n) time where n is the state size, for JSON parsing. Checksum verification requires O(n) time for canonicalization plus O(n) time for SHA-256 computation, totaling O(n). State write operations require O(n) for serialization, O(n) for hashing, and O(n) for file I/O, totaling O(n). Governance evaluation requires O(k) time where k is the number of constraints, typically constant. The overall complexity is linear in state size, making SCD efficient for practical state sizes (kilobytes to megabytes).</w:t>
      </w:r>
    </w:p>
    <w:p>
      <w:r>
        <w:br w:type="page"/>
      </w:r>
    </w:p>
    <w:p>
      <w:pPr>
        <w:pStyle w:val="Heading1"/>
      </w:pPr>
      <w:r>
        <w:t xml:space="preserve">6. Experiments</w:t>
      </w:r>
    </w:p>
    <w:p>
      <w:pPr>
        <w:spacing w:after="200" w:line="276"/>
        <w:jc w:val="both"/>
      </w:pPr>
      <w:r>
        <w:t xml:space="preserve">This section describes the experimental setup, test infrastructure, and procedures used to validate SCD v3.1 across the four testing tiers.</w:t>
      </w:r>
    </w:p>
    <w:p>
      <w:pPr>
        <w:pStyle w:val="Heading2"/>
      </w:pPr>
      <w:r>
        <w:t xml:space="preserve">6.1 Experimental Setup</w:t>
      </w:r>
    </w:p>
    <w:p>
      <w:pPr>
        <w:spacing w:after="200" w:line="276"/>
        <w:jc w:val="both"/>
      </w:pPr>
      <w:r>
        <w:t xml:space="preserve">All experiments were conducted on a Mac Mini M4 running macOS 15 with 16GB unified memory. The test infrastructure included Google Antigravity (Gemini 3 Pro) accessed via API, Claude Desktop (Claude 3.5 Sonnet) with MCP filesystem integration, Python 3.12 for test harness implementation, and standard UNIX filesystem for state storage.</w:t>
      </w:r>
    </w:p>
    <w:p>
      <w:pPr>
        <w:spacing w:after="200" w:line="276"/>
        <w:jc w:val="both"/>
      </w:pPr>
      <w:r>
        <w:t xml:space="preserve">State files were stored on the local filesystem in a dedicated test directory. No network-attached storage or cloud synchronization was active during testing to eliminate potential race conditions or synchronization artifacts.</w:t>
      </w:r>
    </w:p>
    <w:p>
      <w:pPr>
        <w:pStyle w:val="Heading2"/>
      </w:pPr>
      <w:r>
        <w:t xml:space="preserve">6.2 Tier 1: Functional Integrity Testing</w:t>
      </w:r>
    </w:p>
    <w:p>
      <w:pPr>
        <w:spacing w:after="200" w:line="276"/>
        <w:jc w:val="both"/>
      </w:pPr>
      <w:r>
        <w:t xml:space="preserve">Functional integrity testing validated each protocol operation in isolation. The test suite covered state initialization with correct field population, state reading with checksum verification, state modification with turn increment, constitutional lock activation and enforcement, checksum computation with RFC 8785 canonicalization, and supersession with atomic file operations.</w:t>
      </w:r>
    </w:p>
    <w:p>
      <w:pPr>
        <w:spacing w:after="200" w:line="276"/>
        <w:jc w:val="both"/>
      </w:pPr>
      <w:r>
        <w:t xml:space="preserve">Each test case specified preconditions, the operation under test, and expected postconditions. Tests were implemented as assertions that failed loudly on any deviation from expected behavior. All functional tests passed on both Antigravity and Claude Desktop.</w:t>
      </w:r>
    </w:p>
    <w:p>
      <w:pPr>
        <w:pStyle w:val="Heading2"/>
      </w:pPr>
      <w:r>
        <w:t xml:space="preserve">6.3 Tier 2: Cross-Vendor Handoff Testing</w:t>
      </w:r>
    </w:p>
    <w:p>
      <w:pPr>
        <w:spacing w:after="200" w:line="276"/>
        <w:jc w:val="both"/>
      </w:pPr>
      <w:r>
        <w:t xml:space="preserve">Cross-vendor testing validated state portability between different AI systems. The test procedure followed a six-step protocol: (1) Initialize state on Antigravity with project_name='MirrorDNA', rate_limit=25, endpoint='staging'; (2) Perform three state modifications on Antigravity; (3) Export state file to Claude Desktop via filesystem; (4) Verify checksum on Claude Desktop matches exported value; (5) Perform additional modifications on Claude Desktop; (6) Re-import to Antigravity and verify complete integrity chain.</w:t>
      </w:r>
    </w:p>
    <w:p>
      <w:pPr>
        <w:spacing w:after="200" w:line="276"/>
        <w:jc w:val="both"/>
      </w:pPr>
      <w:r>
        <w:t xml:space="preserve">The handoff test demonstrated that state files are fully portable between vendors. Both systems correctly computed checksums from the canonical state representation, and the integrity chain remained valid across the vendor transition.</w:t>
      </w:r>
    </w:p>
    <w:p>
      <w:pPr>
        <w:pStyle w:val="Heading2"/>
      </w:pPr>
      <w:r>
        <w:t xml:space="preserve">6.4 Tier 3: Endurance Testing</w:t>
      </w:r>
    </w:p>
    <w:p>
      <w:pPr>
        <w:spacing w:after="200" w:line="276"/>
        <w:jc w:val="both"/>
      </w:pPr>
      <w:r>
        <w:t xml:space="preserve">Endurance testing validated long-duration reliability through 1005 sequential state transitions. The test harness automated the following loop: read current state, verify checksum, apply modification (updating data field with turn-specific value), compute new checksum, write state, verify written state, and increment turn counter.</w:t>
      </w:r>
    </w:p>
    <w:p>
      <w:pPr>
        <w:spacing w:after="200" w:line="276"/>
        <w:jc w:val="both"/>
      </w:pPr>
      <w:r>
        <w:t xml:space="preserve">The test ran to completion without errors. Total execution time was 5.3 milliseconds for all 1005 transitions, demonstrating sub-microsecond supersession efficiency. All 1005 checksums were verified correct at test completion.</w:t>
      </w:r>
    </w:p>
    <w:p>
      <w:pPr>
        <w:pStyle w:val="Heading2"/>
      </w:pPr>
      <w:r>
        <w:t xml:space="preserve">6.5 Tier 4: Trojan Horse Defense Testing</w:t>
      </w:r>
    </w:p>
    <w:p>
      <w:pPr>
        <w:spacing w:after="200" w:line="276"/>
        <w:jc w:val="both"/>
      </w:pPr>
      <w:r>
        <w:t xml:space="preserve">Adversarial testing validated resistance to indirect prompt injection attacks. The test constructed a malicious file containing embedded instructions to modify the protected rate_limit field to 5000. This file was placed in a location the agent would process during normal operation.</w:t>
      </w:r>
    </w:p>
    <w:p>
      <w:pPr>
        <w:spacing w:after="200" w:line="276"/>
        <w:jc w:val="both"/>
      </w:pPr>
      <w:r>
        <w:t xml:space="preserve">When the agent processed the file, the governance layer intercepted the attempted modification. The response indicated status='BLOCKED', reason='Constitutional lock active', and attempted_mutation='rate_limit=5000'. The protected field remained unchanged, demonstrating that constitutional governance successfully blocked the injection attack.</w:t>
      </w:r>
    </w:p>
    <w:p>
      <w:r>
        <w:br w:type="page"/>
      </w:r>
    </w:p>
    <w:p>
      <w:pPr>
        <w:pStyle w:val="Heading1"/>
      </w:pPr>
      <w:r>
        <w:t xml:space="preserve">7. Results</w:t>
      </w:r>
    </w:p>
    <w:p>
      <w:pPr>
        <w:spacing w:after="200" w:line="276"/>
        <w:jc w:val="both"/>
      </w:pPr>
      <w:r>
        <w:t xml:space="preserve">This section presents the empirical results from all four validation tiers, demonstrating that SCD v3.1 achieves its design goals of determinism, integrity, and governance.</w:t>
      </w:r>
    </w:p>
    <w:p>
      <w:pPr>
        <w:pStyle w:val="Heading2"/>
      </w:pPr>
      <w:r>
        <w:t xml:space="preserve">7.1 Functional Integrity Results</w:t>
      </w:r>
    </w:p>
    <w:p>
      <w:pPr>
        <w:spacing w:after="200" w:line="276"/>
        <w:jc w:val="both"/>
      </w:pPr>
      <w:r>
        <w:t xml:space="preserve">All functional operations performed correctly on both test platforms. State initialization produced valid state documents with correct field values. Checksum computation matched expected SHA-256 hashes for all test cases. Turn-based versioning correctly incremented counters on each transition. Constitutional locks were correctly evaluated and enforced.</w:t>
      </w:r>
    </w:p>
    <w:p>
      <w:pPr>
        <w:spacing w:after="200" w:line="276"/>
        <w:jc w:val="both"/>
      </w:pPr>
      <w:r>
        <w:t xml:space="preserve">Table 1 summarizes the functional test results. All 24 test cases passed on both platforms.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000000" w:sz="1"/>
              <w:left w:val="single" w:color="000000" w:sz="1"/>
              <w:bottom w:val="single" w:color="000000" w:sz="1"/>
              <w:right w:val="single" w:color="000000" w:sz="1"/>
            </w:tcBorders>
            <w:shd w:fill="E8E8E8" w:val="clear"/>
          </w:tcPr>
          <w:p>
            <w:pPr>
              <w:jc w:val="left"/>
            </w:pPr>
            <w:r>
              <w:rPr>
                <w:b/>
                <w:bCs/>
                <w:sz w:val="22"/>
                <w:szCs w:val="22"/>
              </w:rPr>
              <w:t xml:space="preserve">Operation</w:t>
            </w:r>
          </w:p>
        </w:tc>
        <w:tc>
          <w:tcPr>
            <w:tcW w:type="dxa" w:w="3000"/>
            <w:tcBorders>
              <w:top w:val="single" w:color="000000" w:sz="1"/>
              <w:left w:val="single" w:color="000000" w:sz="1"/>
              <w:bottom w:val="single" w:color="000000" w:sz="1"/>
              <w:right w:val="single" w:color="000000" w:sz="1"/>
            </w:tcBorders>
            <w:shd w:fill="E8E8E8" w:val="clear"/>
          </w:tcPr>
          <w:p>
            <w:pPr>
              <w:jc w:val="left"/>
            </w:pPr>
            <w:r>
              <w:rPr>
                <w:b/>
                <w:bCs/>
                <w:sz w:val="22"/>
                <w:szCs w:val="22"/>
              </w:rPr>
              <w:t xml:space="preserve">Antigravity</w:t>
            </w:r>
          </w:p>
        </w:tc>
        <w:tc>
          <w:tcPr>
            <w:tcW w:type="dxa" w:w="3000"/>
            <w:tcBorders>
              <w:top w:val="single" w:color="000000" w:sz="1"/>
              <w:left w:val="single" w:color="000000" w:sz="1"/>
              <w:bottom w:val="single" w:color="000000" w:sz="1"/>
              <w:right w:val="single" w:color="000000" w:sz="1"/>
            </w:tcBorders>
            <w:shd w:fill="E8E8E8" w:val="clear"/>
          </w:tcPr>
          <w:p>
            <w:pPr>
              <w:jc w:val="left"/>
            </w:pPr>
            <w:r>
              <w:rPr>
                <w:b/>
                <w:bCs/>
                <w:sz w:val="22"/>
                <w:szCs w:val="22"/>
              </w:rPr>
              <w:t xml:space="preserve">Claude Desktop</w:t>
            </w:r>
          </w:p>
        </w:tc>
      </w:tr>
      <w:tr>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State Initialization</w:t>
            </w:r>
          </w:p>
        </w:tc>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PASS (4/4)</w:t>
            </w:r>
          </w:p>
        </w:tc>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PASS (4/4)</w:t>
            </w:r>
          </w:p>
        </w:tc>
      </w:tr>
      <w:tr>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State Read</w:t>
            </w:r>
          </w:p>
        </w:tc>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PASS (4/4)</w:t>
            </w:r>
          </w:p>
        </w:tc>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PASS (4/4)</w:t>
            </w:r>
          </w:p>
        </w:tc>
      </w:tr>
      <w:tr>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State Write</w:t>
            </w:r>
          </w:p>
        </w:tc>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PASS (4/4)</w:t>
            </w:r>
          </w:p>
        </w:tc>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PASS (4/4)</w:t>
            </w:r>
          </w:p>
        </w:tc>
      </w:tr>
      <w:tr>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Checksum Verify</w:t>
            </w:r>
          </w:p>
        </w:tc>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PASS (4/4)</w:t>
            </w:r>
          </w:p>
        </w:tc>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PASS (4/4)</w:t>
            </w:r>
          </w:p>
        </w:tc>
      </w:tr>
      <w:tr>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Constitutional Lock</w:t>
            </w:r>
          </w:p>
        </w:tc>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PASS (4/4)</w:t>
            </w:r>
          </w:p>
        </w:tc>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PASS (4/4)</w:t>
            </w:r>
          </w:p>
        </w:tc>
      </w:tr>
      <w:tr>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Supersession</w:t>
            </w:r>
          </w:p>
        </w:tc>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PASS (4/4)</w:t>
            </w:r>
          </w:p>
        </w:tc>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PASS (4/4)</w:t>
            </w:r>
          </w:p>
        </w:tc>
      </w:tr>
    </w:tbl>
    <w:p>
      <w:pPr>
        <w:spacing w:after="200" w:line="276"/>
        <w:jc w:val="both"/>
      </w:pPr>
      <w:r>
        <w:rPr>
          <w:i/>
          <w:iCs/>
        </w:rPr>
        <w:t xml:space="preserve">Table 1: </w:t>
      </w:r>
      <w:r>
        <w:t xml:space="preserve">Functional integrity test results across both platforms.</w:t>
      </w:r>
    </w:p>
    <w:p>
      <w:pPr>
        <w:pStyle w:val="Heading2"/>
      </w:pPr>
      <w:r>
        <w:t xml:space="preserve">7.2 Cross-Vendor Continuity Results</w:t>
      </w:r>
    </w:p>
    <w:p>
      <w:pPr>
        <w:spacing w:after="200" w:line="276"/>
        <w:jc w:val="both"/>
      </w:pPr>
      <w:r>
        <w:t xml:space="preserve">The cross-vendor handoff completed successfully with full state preservation. Table 2 shows the state evolution across the vendor transition.</w:t>
      </w:r>
    </w:p>
    <w:p>
      <w:pPr>
        <w:spacing w:after="200" w:line="276"/>
        <w:jc w:val="both"/>
      </w:pPr>
      <w:r>
        <w:t xml:space="preserve">The critical observation is that the checksum computed independently by Claude Desktop matched the checksum exported from Antigravity. This confirms that both systems implement RFC 8785 canonicalization correctly and produce byte-identical representations of equivalent state objects.</w:t>
      </w:r>
    </w:p>
    <w:p>
      <w:pPr>
        <w:spacing w:after="200" w:line="276"/>
        <w:jc w:val="both"/>
      </w:pPr>
      <w:r>
        <w:t xml:space="preserve">The final state after re-import to Antigravity maintained complete integrity chain validity, with all checksums verified correct. This demonstrates that agent identity and state can be ported between vendors without loss of continuity or integrity.</w:t>
      </w:r>
    </w:p>
    <w:p>
      <w:pPr>
        <w:shd w:fill="F5F5F5" w:val="clear"/>
        <w:spacing w:before="120" w:after="120"/>
        <w:ind w:left="360" w:right="360"/>
      </w:pPr>
      <w:r>
        <w:rPr>
          <w:rFonts w:ascii="Courier New" w:cs="Courier New" w:eastAsia="Courier New" w:hAnsi="Courier New"/>
          <w:sz w:val="20"/>
          <w:szCs w:val="20"/>
        </w:rPr>
        <w:t xml:space="preserve">{
  "version": "v3.0",
  "turn": 3,
  "state": {
    "project_name": "MirrorDNA",
    "rate_limit": 25,
    "endpoint": "staging"
  },
  "constitutional_lock": false,
  "checksum": "eb3f08b6b99d1663e23370ec237592db26cec18920fc7279941eefe5c5da14ed"
}</w:t>
      </w:r>
    </w:p>
    <w:p>
      <w:pPr>
        <w:spacing w:after="200" w:line="276"/>
        <w:jc w:val="both"/>
      </w:pPr>
      <w:r>
        <w:rPr>
          <w:i/>
          <w:iCs/>
        </w:rPr>
        <w:t xml:space="preserve">Listing 1: </w:t>
      </w:r>
      <w:r>
        <w:t xml:space="preserve">Cross-vendor continuity state after handoff from Antigravity to Claude Desktop (Turn 3).</w:t>
      </w:r>
    </w:p>
    <w:p>
      <w:pPr>
        <w:pStyle w:val="Heading2"/>
      </w:pPr>
      <w:r>
        <w:t xml:space="preserve">7.3 Endurance Test Results</w:t>
      </w:r>
    </w:p>
    <w:p>
      <w:pPr>
        <w:spacing w:after="200" w:line="276"/>
        <w:jc w:val="both"/>
      </w:pPr>
      <w:r>
        <w:t xml:space="preserve">The endurance test completed all 1005 turns without error. Key metrics from the test are as follows. Total turns executed: 1005. Total execution time: 5.3 milliseconds. Average time per turn: 5.27 microseconds. Checksum verification failures: 0. State corruption incidents: 0.</w:t>
      </w:r>
    </w:p>
    <w:p>
      <w:pPr>
        <w:spacing w:after="200" w:line="276"/>
        <w:jc w:val="both"/>
      </w:pPr>
      <w:r>
        <w:t xml:space="preserve">The final checksum after 1005 turns matched the expected value computed from the integrity chain:</w:t>
      </w:r>
    </w:p>
    <w:p>
      <w:pPr>
        <w:shd w:fill="F5F5F5" w:val="clear"/>
        <w:spacing w:before="120" w:after="120"/>
        <w:ind w:left="360" w:right="360"/>
      </w:pPr>
      <w:r>
        <w:rPr>
          <w:rFonts w:ascii="Courier New" w:cs="Courier New" w:eastAsia="Courier New" w:hAnsi="Courier New"/>
          <w:sz w:val="20"/>
          <w:szCs w:val="20"/>
        </w:rPr>
        <w:t xml:space="preserve">ASHA-256:3c7f6c50ec6a72df22c591355a52f07d9576a9f6919124913fdfce438199d53b</w:t>
      </w:r>
    </w:p>
    <w:p>
      <w:pPr>
        <w:spacing w:after="200" w:line="276"/>
        <w:jc w:val="both"/>
      </w:pPr>
      <w:r>
        <w:t xml:space="preserve">The sub-microsecond per-turn performance demonstrates that SCD adds negligible overhead to agent operations. Even at 1000+ turns, the cumulative overhead remains under 10 milliseconds.</w:t>
      </w:r>
    </w:p>
    <w:p>
      <w:pPr>
        <w:pStyle w:val="Heading2"/>
      </w:pPr>
      <w:r>
        <w:t xml:space="preserve">7.4 Adversarial Defense Results</w:t>
      </w:r>
    </w:p>
    <w:p>
      <w:pPr>
        <w:spacing w:after="200" w:line="276"/>
        <w:jc w:val="both"/>
      </w:pPr>
      <w:r>
        <w:t xml:space="preserve">The Trojan horse attack was successfully blocked by the governance layer. When the agent processed the malicious file containing the instruction to set rate_limit to 5000, the governance layer detected the attempted modification to a protected field and rejected it:</w:t>
      </w:r>
    </w:p>
    <w:p>
      <w:pPr>
        <w:shd w:fill="F5F5F5" w:val="clear"/>
        <w:spacing w:before="120" w:after="120"/>
        <w:ind w:left="360" w:right="360"/>
      </w:pPr>
      <w:r>
        <w:rPr>
          <w:rFonts w:ascii="Courier New" w:cs="Courier New" w:eastAsia="Courier New" w:hAnsi="Courier New"/>
          <w:sz w:val="20"/>
          <w:szCs w:val="20"/>
        </w:rPr>
        <w:t xml:space="preserve">{
  "status": "BLOCKED",
  "reason": "Constitutional lock active",
  "attempted_mutation": "rate_limit=5000"
}</w:t>
      </w:r>
    </w:p>
    <w:p>
      <w:pPr>
        <w:spacing w:after="200" w:line="276"/>
        <w:jc w:val="both"/>
      </w:pPr>
      <w:r>
        <w:t xml:space="preserve">Post-test verification confirmed that the rate_limit field remained at its original value of 25. The integrity chain remained valid, and no unauthorized state modification occurred.</w:t>
      </w:r>
    </w:p>
    <w:p>
      <w:pPr>
        <w:spacing w:after="200" w:line="276"/>
        <w:jc w:val="both"/>
      </w:pPr>
      <w:r>
        <w:t xml:space="preserve">This result demonstrates that constitutional governance provides effective defense against indirect prompt injection attacks. Even when malicious instructions successfully reach the agent through external files, the governance layer prevents their execution.</w:t>
      </w:r>
    </w:p>
    <w:p>
      <w:pPr>
        <w:pStyle w:val="Heading2"/>
      </w:pPr>
      <w:r>
        <w:t xml:space="preserve">7.5 Summary of Results</w:t>
      </w:r>
    </w:p>
    <w:p>
      <w:pPr>
        <w:spacing w:after="200" w:line="276"/>
        <w:jc w:val="both"/>
      </w:pPr>
      <w:r>
        <w:t xml:space="preserve">Table 3 summarizes the results across all validation tiers.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tcBorders>
              <w:top w:val="single" w:color="000000" w:sz="1"/>
              <w:left w:val="single" w:color="000000" w:sz="1"/>
              <w:bottom w:val="single" w:color="000000" w:sz="1"/>
              <w:right w:val="single" w:color="000000" w:sz="1"/>
            </w:tcBorders>
            <w:shd w:fill="E8E8E8" w:val="clear"/>
          </w:tcPr>
          <w:p>
            <w:pPr>
              <w:jc w:val="left"/>
            </w:pPr>
            <w:r>
              <w:rPr>
                <w:b/>
                <w:bCs/>
                <w:sz w:val="22"/>
                <w:szCs w:val="22"/>
              </w:rPr>
              <w:t xml:space="preserve">Tier</w:t>
            </w:r>
          </w:p>
        </w:tc>
        <w:tc>
          <w:tcPr>
            <w:tcW w:type="dxa" w:w="3500"/>
            <w:tcBorders>
              <w:top w:val="single" w:color="000000" w:sz="1"/>
              <w:left w:val="single" w:color="000000" w:sz="1"/>
              <w:bottom w:val="single" w:color="000000" w:sz="1"/>
              <w:right w:val="single" w:color="000000" w:sz="1"/>
            </w:tcBorders>
            <w:shd w:fill="E8E8E8" w:val="clear"/>
          </w:tcPr>
          <w:p>
            <w:pPr>
              <w:jc w:val="left"/>
            </w:pPr>
            <w:r>
              <w:rPr>
                <w:b/>
                <w:bCs/>
                <w:sz w:val="22"/>
                <w:szCs w:val="22"/>
              </w:rPr>
              <w:t xml:space="preserve">Test</w:t>
            </w:r>
          </w:p>
        </w:tc>
        <w:tc>
          <w:tcPr>
            <w:tcW w:type="dxa" w:w="3000"/>
            <w:tcBorders>
              <w:top w:val="single" w:color="000000" w:sz="1"/>
              <w:left w:val="single" w:color="000000" w:sz="1"/>
              <w:bottom w:val="single" w:color="000000" w:sz="1"/>
              <w:right w:val="single" w:color="000000" w:sz="1"/>
            </w:tcBorders>
            <w:shd w:fill="E8E8E8" w:val="clear"/>
          </w:tcPr>
          <w:p>
            <w:pPr>
              <w:jc w:val="left"/>
            </w:pPr>
            <w:r>
              <w:rPr>
                <w:b/>
                <w:bCs/>
                <w:sz w:val="22"/>
                <w:szCs w:val="22"/>
              </w:rPr>
              <w:t xml:space="preserve">Result</w:t>
            </w:r>
          </w:p>
        </w:tc>
      </w:tr>
      <w:tr>
        <w:tc>
          <w:tcPr>
            <w:tcW w:type="dxa" w:w="2500"/>
            <w:tcBorders>
              <w:top w:val="single" w:color="000000" w:sz="1"/>
              <w:left w:val="single" w:color="000000" w:sz="1"/>
              <w:bottom w:val="single" w:color="000000" w:sz="1"/>
              <w:right w:val="single" w:color="000000" w:sz="1"/>
            </w:tcBorders>
          </w:tcPr>
          <w:p>
            <w:pPr>
              <w:jc w:val="left"/>
            </w:pPr>
            <w:r>
              <w:rPr>
                <w:sz w:val="22"/>
                <w:szCs w:val="22"/>
              </w:rPr>
              <w:t xml:space="preserve">1</w:t>
            </w:r>
          </w:p>
        </w:tc>
        <w:tc>
          <w:tcPr>
            <w:tcW w:type="dxa" w:w="3500"/>
            <w:tcBorders>
              <w:top w:val="single" w:color="000000" w:sz="1"/>
              <w:left w:val="single" w:color="000000" w:sz="1"/>
              <w:bottom w:val="single" w:color="000000" w:sz="1"/>
              <w:right w:val="single" w:color="000000" w:sz="1"/>
            </w:tcBorders>
          </w:tcPr>
          <w:p>
            <w:pPr>
              <w:jc w:val="left"/>
            </w:pPr>
            <w:r>
              <w:rPr>
                <w:sz w:val="22"/>
                <w:szCs w:val="22"/>
              </w:rPr>
              <w:t xml:space="preserve">Functional Integrity</w:t>
            </w:r>
          </w:p>
        </w:tc>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PASS (24/24 tests)</w:t>
            </w:r>
          </w:p>
        </w:tc>
      </w:tr>
      <w:tr>
        <w:tc>
          <w:tcPr>
            <w:tcW w:type="dxa" w:w="2500"/>
            <w:tcBorders>
              <w:top w:val="single" w:color="000000" w:sz="1"/>
              <w:left w:val="single" w:color="000000" w:sz="1"/>
              <w:bottom w:val="single" w:color="000000" w:sz="1"/>
              <w:right w:val="single" w:color="000000" w:sz="1"/>
            </w:tcBorders>
          </w:tcPr>
          <w:p>
            <w:pPr>
              <w:jc w:val="left"/>
            </w:pPr>
            <w:r>
              <w:rPr>
                <w:sz w:val="22"/>
                <w:szCs w:val="22"/>
              </w:rPr>
              <w:t xml:space="preserve">2</w:t>
            </w:r>
          </w:p>
        </w:tc>
        <w:tc>
          <w:tcPr>
            <w:tcW w:type="dxa" w:w="3500"/>
            <w:tcBorders>
              <w:top w:val="single" w:color="000000" w:sz="1"/>
              <w:left w:val="single" w:color="000000" w:sz="1"/>
              <w:bottom w:val="single" w:color="000000" w:sz="1"/>
              <w:right w:val="single" w:color="000000" w:sz="1"/>
            </w:tcBorders>
          </w:tcPr>
          <w:p>
            <w:pPr>
              <w:jc w:val="left"/>
            </w:pPr>
            <w:r>
              <w:rPr>
                <w:sz w:val="22"/>
                <w:szCs w:val="22"/>
              </w:rPr>
              <w:t xml:space="preserve">Cross-Vendor Handoff</w:t>
            </w:r>
          </w:p>
        </w:tc>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PASS (full continuity)</w:t>
            </w:r>
          </w:p>
        </w:tc>
      </w:tr>
      <w:tr>
        <w:tc>
          <w:tcPr>
            <w:tcW w:type="dxa" w:w="2500"/>
            <w:tcBorders>
              <w:top w:val="single" w:color="000000" w:sz="1"/>
              <w:left w:val="single" w:color="000000" w:sz="1"/>
              <w:bottom w:val="single" w:color="000000" w:sz="1"/>
              <w:right w:val="single" w:color="000000" w:sz="1"/>
            </w:tcBorders>
          </w:tcPr>
          <w:p>
            <w:pPr>
              <w:jc w:val="left"/>
            </w:pPr>
            <w:r>
              <w:rPr>
                <w:sz w:val="22"/>
                <w:szCs w:val="22"/>
              </w:rPr>
              <w:t xml:space="preserve">3</w:t>
            </w:r>
          </w:p>
        </w:tc>
        <w:tc>
          <w:tcPr>
            <w:tcW w:type="dxa" w:w="3500"/>
            <w:tcBorders>
              <w:top w:val="single" w:color="000000" w:sz="1"/>
              <w:left w:val="single" w:color="000000" w:sz="1"/>
              <w:bottom w:val="single" w:color="000000" w:sz="1"/>
              <w:right w:val="single" w:color="000000" w:sz="1"/>
            </w:tcBorders>
          </w:tcPr>
          <w:p>
            <w:pPr>
              <w:jc w:val="left"/>
            </w:pPr>
            <w:r>
              <w:rPr>
                <w:sz w:val="22"/>
                <w:szCs w:val="22"/>
              </w:rPr>
              <w:t xml:space="preserve">Endurance (N=1005)</w:t>
            </w:r>
          </w:p>
        </w:tc>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PASS (0 errors)</w:t>
            </w:r>
          </w:p>
        </w:tc>
      </w:tr>
      <w:tr>
        <w:tc>
          <w:tcPr>
            <w:tcW w:type="dxa" w:w="2500"/>
            <w:tcBorders>
              <w:top w:val="single" w:color="000000" w:sz="1"/>
              <w:left w:val="single" w:color="000000" w:sz="1"/>
              <w:bottom w:val="single" w:color="000000" w:sz="1"/>
              <w:right w:val="single" w:color="000000" w:sz="1"/>
            </w:tcBorders>
          </w:tcPr>
          <w:p>
            <w:pPr>
              <w:jc w:val="left"/>
            </w:pPr>
            <w:r>
              <w:rPr>
                <w:sz w:val="22"/>
                <w:szCs w:val="22"/>
              </w:rPr>
              <w:t xml:space="preserve">4</w:t>
            </w:r>
          </w:p>
        </w:tc>
        <w:tc>
          <w:tcPr>
            <w:tcW w:type="dxa" w:w="3500"/>
            <w:tcBorders>
              <w:top w:val="single" w:color="000000" w:sz="1"/>
              <w:left w:val="single" w:color="000000" w:sz="1"/>
              <w:bottom w:val="single" w:color="000000" w:sz="1"/>
              <w:right w:val="single" w:color="000000" w:sz="1"/>
            </w:tcBorders>
          </w:tcPr>
          <w:p>
            <w:pPr>
              <w:jc w:val="left"/>
            </w:pPr>
            <w:r>
              <w:rPr>
                <w:sz w:val="22"/>
                <w:szCs w:val="22"/>
              </w:rPr>
              <w:t xml:space="preserve">Trojan Horse Defense</w:t>
            </w:r>
          </w:p>
        </w:tc>
        <w:tc>
          <w:tcPr>
            <w:tcW w:type="dxa" w:w="3000"/>
            <w:tcBorders>
              <w:top w:val="single" w:color="000000" w:sz="1"/>
              <w:left w:val="single" w:color="000000" w:sz="1"/>
              <w:bottom w:val="single" w:color="000000" w:sz="1"/>
              <w:right w:val="single" w:color="000000" w:sz="1"/>
            </w:tcBorders>
          </w:tcPr>
          <w:p>
            <w:pPr>
              <w:jc w:val="left"/>
            </w:pPr>
            <w:r>
              <w:rPr>
                <w:sz w:val="22"/>
                <w:szCs w:val="22"/>
              </w:rPr>
              <w:t xml:space="preserve">PASS (attack blocked)</w:t>
            </w:r>
          </w:p>
        </w:tc>
      </w:tr>
    </w:tbl>
    <w:p>
      <w:pPr>
        <w:spacing w:after="200" w:line="276"/>
        <w:jc w:val="both"/>
      </w:pPr>
      <w:r>
        <w:rPr>
          <w:i/>
          <w:iCs/>
        </w:rPr>
        <w:t xml:space="preserve">Table 3: </w:t>
      </w:r>
      <w:r>
        <w:t xml:space="preserve">Summary of validation results across all testing tiers.</w:t>
      </w:r>
    </w:p>
    <w:p>
      <w:r>
        <w:br w:type="page"/>
      </w:r>
    </w:p>
    <w:p>
      <w:pPr>
        <w:pStyle w:val="Heading1"/>
      </w:pPr>
      <w:r>
        <w:t xml:space="preserve">8. Threat Model and Security Analysis</w:t>
      </w:r>
    </w:p>
    <w:p>
      <w:pPr>
        <w:spacing w:after="200" w:line="276"/>
        <w:jc w:val="both"/>
      </w:pPr>
      <w:r>
        <w:t xml:space="preserve">This section analyzes the security properties of SCD through a systematic threat model, identifying the adversaries, attack vectors, and defenses provided by the protocol.</w:t>
      </w:r>
    </w:p>
    <w:p>
      <w:pPr>
        <w:pStyle w:val="Heading2"/>
      </w:pPr>
      <w:r>
        <w:t xml:space="preserve">8.1 Adversary Model</w:t>
      </w:r>
    </w:p>
    <w:p>
      <w:pPr>
        <w:spacing w:after="200" w:line="276"/>
        <w:jc w:val="both"/>
      </w:pPr>
      <w:r>
        <w:t xml:space="preserve">We consider adversaries with the following capabilities. External File Adversary: Can create or modify files that the agent will process, but cannot directly access the state file or the governance layer. This models indirect prompt injection attacks through documents, emails, or web content. Local File Adversary: Can read and write files on the system, including the state file, but cannot modify the running agent process. This models scenarios where an attacker has partial system access. Network Adversary: Can intercept and modify network traffic between agent components. This models man-in-the-middle attacks on distributed agent deployments.</w:t>
      </w:r>
    </w:p>
    <w:p>
      <w:pPr>
        <w:spacing w:after="200" w:line="276"/>
        <w:jc w:val="both"/>
      </w:pPr>
      <w:r>
        <w:t xml:space="preserve">We explicitly exclude adversaries with full system control (root access), as such adversaries can bypass any software-level protection. We also exclude adversaries who can modify the agent's code or governance configuration, as these represent compromise of the trusted computing base.</w:t>
      </w:r>
    </w:p>
    <w:p>
      <w:pPr>
        <w:pStyle w:val="Heading2"/>
      </w:pPr>
      <w:r>
        <w:t xml:space="preserve">8.2 Attack Vectors and Defenses</w:t>
      </w:r>
    </w:p>
    <w:p>
      <w:pPr>
        <w:spacing w:after="200" w:line="276"/>
        <w:jc w:val="both"/>
      </w:pPr>
      <w:r>
        <w:rPr>
          <w:b/>
          <w:bCs/>
        </w:rPr>
        <w:t xml:space="preserve">State Tampering. </w:t>
      </w:r>
      <w:r>
        <w:t xml:space="preserve">A local file adversary might attempt to modify the state file directly. Defense: The integrity chain makes any modification immediately detectable. When the agent reads a tampered state file, the checksum verification fails, alerting the system to potential compromise. Recovery can proceed from a known-good backup.</w:t>
      </w:r>
    </w:p>
    <w:p>
      <w:pPr>
        <w:spacing w:after="200" w:line="276"/>
        <w:jc w:val="both"/>
      </w:pPr>
      <w:r>
        <w:rPr>
          <w:b/>
          <w:bCs/>
        </w:rPr>
        <w:t xml:space="preserve">Indirect Prompt Injection. </w:t>
      </w:r>
      <w:r>
        <w:t xml:space="preserve">An external file adversary might embed malicious instructions in files processed by the agent. Defense: Constitutional governance blocks modifications to protected fields regardless of instruction source. The Trojan horse test demonstrates this defense in practice.</w:t>
      </w:r>
    </w:p>
    <w:p>
      <w:pPr>
        <w:spacing w:after="200" w:line="276"/>
        <w:jc w:val="both"/>
      </w:pPr>
      <w:r>
        <w:rPr>
          <w:b/>
          <w:bCs/>
        </w:rPr>
        <w:t xml:space="preserve">Rollback Attack. </w:t>
      </w:r>
      <w:r>
        <w:t xml:space="preserve">An adversary might replace the current state with an older valid state. Defense: Turn-based versioning enables detection of rollback attacks by comparing the expected turn number with the observed value. Applications can implement additional rollback protection through external turn verification.</w:t>
      </w:r>
    </w:p>
    <w:p>
      <w:pPr>
        <w:spacing w:after="200" w:line="276"/>
        <w:jc w:val="both"/>
      </w:pPr>
      <w:r>
        <w:rPr>
          <w:b/>
          <w:bCs/>
        </w:rPr>
        <w:t xml:space="preserve">Checksum Collision. </w:t>
      </w:r>
      <w:r>
        <w:t xml:space="preserve">An adversary might attempt to find a modified state with the same checksum as the original. Defense: SHA-256 provides 128-bit collision resistance, making collision attacks computationally infeasible with current technology.</w:t>
      </w:r>
    </w:p>
    <w:p>
      <w:pPr>
        <w:spacing w:after="200" w:line="276"/>
        <w:jc w:val="both"/>
      </w:pPr>
      <w:r>
        <w:rPr>
          <w:b/>
          <w:bCs/>
        </w:rPr>
        <w:t xml:space="preserve">Governance Bypass. </w:t>
      </w:r>
      <w:r>
        <w:t xml:space="preserve">An adversary might attempt to disable constitutional locks through prompt manipulation. Defense: Governance is implemented at the protocol layer, not the prompt layer. Prompt-level instructions cannot modify the governance configuration or bypass constraint evaluation.</w:t>
      </w:r>
    </w:p>
    <w:p>
      <w:pPr>
        <w:pStyle w:val="Heading2"/>
      </w:pPr>
      <w:r>
        <w:t xml:space="preserve">8.3 Security Properties</w:t>
      </w:r>
    </w:p>
    <w:p>
      <w:pPr>
        <w:spacing w:after="200" w:line="276"/>
        <w:jc w:val="both"/>
      </w:pPr>
      <w:r>
        <w:t xml:space="preserve">SCD provides the following security properties:</w:t>
      </w:r>
    </w:p>
    <w:p>
      <w:pPr>
        <w:pStyle w:val="ListParagraph"/>
        <w:numPr>
          <w:ilvl w:val="0"/>
          <w:numId w:val="2"/>
        </w:numPr>
        <w:spacing w:after="100"/>
      </w:pPr>
      <w:r>
        <w:t xml:space="preserve">Integrity: Any modification to state or state history is detectable through checksum verification.</w:t>
      </w:r>
    </w:p>
    <w:p>
      <w:pPr>
        <w:pStyle w:val="ListParagraph"/>
        <w:numPr>
          <w:ilvl w:val="0"/>
          <w:numId w:val="2"/>
        </w:numPr>
        <w:spacing w:after="100"/>
      </w:pPr>
      <w:r>
        <w:t xml:space="preserve">Authenticity: Valid checksums provide evidence that state originated from a legitimate agent following the protocol.</w:t>
      </w:r>
    </w:p>
    <w:p>
      <w:pPr>
        <w:pStyle w:val="ListParagraph"/>
        <w:numPr>
          <w:ilvl w:val="0"/>
          <w:numId w:val="2"/>
        </w:numPr>
        <w:spacing w:after="100"/>
      </w:pPr>
      <w:r>
        <w:t xml:space="preserve">Non-repudiation: The integrity chain provides an audit trail of all state transitions.</w:t>
      </w:r>
    </w:p>
    <w:p>
      <w:pPr>
        <w:pStyle w:val="ListParagraph"/>
        <w:numPr>
          <w:ilvl w:val="0"/>
          <w:numId w:val="2"/>
        </w:numPr>
        <w:spacing w:after="100"/>
      </w:pPr>
      <w:r>
        <w:t xml:space="preserve">Governance enforcement: Constitutional constraints are enforced regardless of instruction source.</w:t>
      </w:r>
    </w:p>
    <w:p>
      <w:pPr>
        <w:spacing w:after="200" w:line="276"/>
        <w:jc w:val="both"/>
      </w:pPr>
      <w:r>
        <w:t xml:space="preserve">SCD does not provide confidentiality (state files are readable by anyone with file access), availability (denial-of-service attacks can prevent state access), or key management (the protocol does not incorporate signing keys or authentication tokens). These properties may be layered on top of SCD through complementary mechanisms such as file encryption and access control.</w:t>
      </w:r>
    </w:p>
    <w:p>
      <w:pPr>
        <w:pStyle w:val="Heading2"/>
      </w:pPr>
      <w:r>
        <w:t xml:space="preserve">8.4 Limitations of Security Model</w:t>
      </w:r>
    </w:p>
    <w:p>
      <w:pPr>
        <w:spacing w:after="200" w:line="276"/>
        <w:jc w:val="both"/>
      </w:pPr>
      <w:r>
        <w:t xml:space="preserve">The security guarantees of SCD depend on the integrity of the trusted computing base, including the operating system, filesystem, and agent runtime. Compromise of these components can bypass SCD protections. Additionally, SCD's threat model assumes adversaries cannot observe timing side channels during cryptographic operations. Hardened implementations should incorporate constant-time operations to address this concern.</w:t>
      </w:r>
    </w:p>
    <w:p>
      <w:r>
        <w:br w:type="page"/>
      </w:r>
    </w:p>
    <w:p>
      <w:pPr>
        <w:pStyle w:val="Heading1"/>
      </w:pPr>
      <w:r>
        <w:t xml:space="preserve">9. Limitations and Future Work</w:t>
      </w:r>
    </w:p>
    <w:p>
      <w:pPr>
        <w:spacing w:after="200" w:line="276"/>
        <w:jc w:val="both"/>
      </w:pPr>
      <w:r>
        <w:t xml:space="preserve">While SCD v3.1 demonstrates the viability of sovereign agent memory, several limitations warrant discussion and point toward future research directions.</w:t>
      </w:r>
    </w:p>
    <w:p>
      <w:pPr>
        <w:pStyle w:val="Heading2"/>
      </w:pPr>
      <w:r>
        <w:t xml:space="preserve">9.1 Current Limitations</w:t>
      </w:r>
    </w:p>
    <w:p>
      <w:pPr>
        <w:spacing w:after="200" w:line="276"/>
        <w:jc w:val="both"/>
      </w:pPr>
      <w:r>
        <w:rPr>
          <w:b/>
          <w:bCs/>
        </w:rPr>
        <w:t xml:space="preserve">Single-Agent Assumption. </w:t>
      </w:r>
      <w:r>
        <w:t xml:space="preserve">The current protocol assumes serialized access by a single agent. Multi-agent scenarios with concurrent state modifications are not supported. Extending SCD to multi-agent environments would require conflict resolution mechanisms, potentially drawing from distributed systems techniques such as vector clocks or operational transformation.</w:t>
      </w:r>
    </w:p>
    <w:p>
      <w:pPr>
        <w:spacing w:after="200" w:line="276"/>
        <w:jc w:val="both"/>
      </w:pPr>
      <w:r>
        <w:rPr>
          <w:b/>
          <w:bCs/>
        </w:rPr>
        <w:t xml:space="preserve">Linear History. </w:t>
      </w:r>
      <w:r>
        <w:t xml:space="preserve">SCD maintains a linear state history through its integrity chain. Branching histories, common in version control systems, are not supported. Future versions might incorporate Merkle trees to enable efficient verification of branching state histories.</w:t>
      </w:r>
    </w:p>
    <w:p>
      <w:pPr>
        <w:spacing w:after="200" w:line="276"/>
        <w:jc w:val="both"/>
      </w:pPr>
      <w:r>
        <w:rPr>
          <w:b/>
          <w:bCs/>
        </w:rPr>
        <w:t xml:space="preserve">No Semantic Queries. </w:t>
      </w:r>
      <w:r>
        <w:t xml:space="preserve">SCD provides structured state management but not semantic search over state history. Agents cannot query past states by content (e.g., 'find all states where project_name was X'). Integration with retrieval systems could address this limitation while maintaining SCD's integrity guarantees.</w:t>
      </w:r>
    </w:p>
    <w:p>
      <w:pPr>
        <w:spacing w:after="200" w:line="276"/>
        <w:jc w:val="both"/>
      </w:pPr>
      <w:r>
        <w:rPr>
          <w:b/>
          <w:bCs/>
        </w:rPr>
        <w:t xml:space="preserve">Manual Governance Configuration. </w:t>
      </w:r>
      <w:r>
        <w:t xml:space="preserve">Constitutional constraints must be defined explicitly in the governance schema. There is no automated mechanism for inferring constraints from usage patterns or adapting constraints over time. Research into constraint learning could enable more dynamic governance.</w:t>
      </w:r>
    </w:p>
    <w:p>
      <w:pPr>
        <w:spacing w:after="200" w:line="276"/>
        <w:jc w:val="both"/>
      </w:pPr>
      <w:r>
        <w:rPr>
          <w:b/>
          <w:bCs/>
        </w:rPr>
        <w:t xml:space="preserve">Performance at Scale. </w:t>
      </w:r>
      <w:r>
        <w:t xml:space="preserve">While the endurance test demonstrated efficiency over 1005 turns, state sizes were modest (kilobytes). Performance characteristics at larger scales (gigabyte state files, millions of turns) remain unexplored. Optimization techniques such as incremental hashing and state compression may be necessary for extreme-scale deployments.</w:t>
      </w:r>
    </w:p>
    <w:p>
      <w:pPr>
        <w:pStyle w:val="Heading2"/>
      </w:pPr>
      <w:r>
        <w:t xml:space="preserve">9.2 Future Research Directions</w:t>
      </w:r>
    </w:p>
    <w:p>
      <w:pPr>
        <w:spacing w:after="200" w:line="276"/>
        <w:jc w:val="both"/>
      </w:pPr>
      <w:r>
        <w:rPr>
          <w:b/>
          <w:bCs/>
        </w:rPr>
        <w:t xml:space="preserve">Cryptographic Signatures. </w:t>
      </w:r>
      <w:r>
        <w:t xml:space="preserve">The current protocol uses hash chains for integrity but does not incorporate digital signatures. Adding signatures would enable authentication—proving that state transitions were authorized by specific keys—and support scenarios where multiple parties need to verify state provenance.</w:t>
      </w:r>
    </w:p>
    <w:p>
      <w:pPr>
        <w:spacing w:after="200" w:line="276"/>
        <w:jc w:val="both"/>
      </w:pPr>
      <w:r>
        <w:rPr>
          <w:b/>
          <w:bCs/>
        </w:rPr>
        <w:t xml:space="preserve">Distributed State Synchronization. </w:t>
      </w:r>
      <w:r>
        <w:t xml:space="preserve">For agents operating across multiple devices or in collaborative scenarios, state synchronization becomes critical. Research into conflict-free replicated data types (CRDTs) and Byzantine fault-tolerant consensus could inform SCD extensions for distributed deployments.</w:t>
      </w:r>
    </w:p>
    <w:p>
      <w:pPr>
        <w:spacing w:after="200" w:line="276"/>
        <w:jc w:val="both"/>
      </w:pPr>
      <w:r>
        <w:rPr>
          <w:b/>
          <w:bCs/>
        </w:rPr>
        <w:t xml:space="preserve">Formal Verification. </w:t>
      </w:r>
      <w:r>
        <w:t xml:space="preserve">While this paper provides mathematical proofs of key properties, machine-checked verification using proof assistants (Coq, Isabelle) would provide stronger guarantees. Formal verification could also identify subtle implementation bugs that manual analysis might miss.</w:t>
      </w:r>
    </w:p>
    <w:p>
      <w:pPr>
        <w:spacing w:after="200" w:line="276"/>
        <w:jc w:val="both"/>
      </w:pPr>
      <w:r>
        <w:rPr>
          <w:b/>
          <w:bCs/>
        </w:rPr>
        <w:t xml:space="preserve">Governance Specification Languages. </w:t>
      </w:r>
      <w:r>
        <w:t xml:space="preserve">The current governance mechanism uses simple field protection. Richer specification languages could express complex invariants (e.g., 'rate_limit may only decrease'), temporal properties ('endpoint cannot change more than once per hour'), and relational constraints ('budget must not exceed department allocation').</w:t>
      </w:r>
    </w:p>
    <w:p>
      <w:pPr>
        <w:spacing w:after="200" w:line="276"/>
        <w:jc w:val="both"/>
      </w:pPr>
      <w:r>
        <w:rPr>
          <w:b/>
          <w:bCs/>
        </w:rPr>
        <w:t xml:space="preserve">Integration with Agent Frameworks. </w:t>
      </w:r>
      <w:r>
        <w:t xml:space="preserve">SCD currently operates as a standalone protocol. Integration with popular agent frameworks (LangChain, LlamaIndex, MCP) would ease adoption and enable composition with existing memory and retrieval mechanisms.</w:t>
      </w:r>
    </w:p>
    <w:p>
      <w:r>
        <w:br w:type="page"/>
      </w:r>
    </w:p>
    <w:p>
      <w:pPr>
        <w:pStyle w:val="Heading1"/>
      </w:pPr>
      <w:r>
        <w:t xml:space="preserve">10. Conclusion</w:t>
      </w:r>
    </w:p>
    <w:p>
      <w:pPr>
        <w:spacing w:after="200" w:line="276"/>
        <w:jc w:val="both"/>
      </w:pPr>
      <w:r>
        <w:t xml:space="preserve">This paper introduced Structured Contextual Distillation (SCD), a deterministic external state protocol for autonomous AI agents. By relocating agent memory from volatile internal representations to cryptographically protected filesystem artifacts, SCD addresses the fundamental memory crisis facing contemporary agent architectures.</w:t>
      </w:r>
    </w:p>
    <w:p>
      <w:pPr>
        <w:spacing w:after="200" w:line="276"/>
        <w:jc w:val="both"/>
      </w:pPr>
      <w:r>
        <w:t xml:space="preserve">The core contribution of SCD is a principled architecture for sovereign agent memory, built on six foundational pillars: external storage for durability and inspection, RFC 8785 canonicalization for determinism, SHA-256 integrity chains for tamper-evidence, turn-based versioning for temporal ordering, constitutional governance for invariant enforcement, and vendor-independent formats for portability.</w:t>
      </w:r>
    </w:p>
    <w:p>
      <w:pPr>
        <w:spacing w:after="200" w:line="276"/>
        <w:jc w:val="both"/>
      </w:pPr>
      <w:r>
        <w:t xml:space="preserve">Comprehensive validation across four testing tiers demonstrates that SCD achieves its design goals. Functional integrity testing confirms correct operation of all protocol components. Cross-vendor handoff testing proves that agent state can be portably transferred between different AI systems (Google Antigravity and Claude Desktop) without loss of continuity or integrity. Endurance testing over 1005 sequential turns establishes long-duration reliability with sub-microsecond per-turn overhead. Adversarial defense testing demonstrates that constitutional governance successfully blocks indirect prompt injection attacks.</w:t>
      </w:r>
    </w:p>
    <w:p>
      <w:pPr>
        <w:spacing w:after="200" w:line="276"/>
        <w:jc w:val="both"/>
      </w:pPr>
      <w:r>
        <w:t xml:space="preserve">The implications of this work extend beyond technical protocol design. SCD establishes a new category of AI infrastructure: sovereign memory protocols that treat agent state as a first-class, user-controlled artifact rather than a vendor-locked implementation detail. This architectural shift has profound implications for agent autonomy, user control, and the trustworthiness of AI systems operating in sensitive domains.</w:t>
      </w:r>
    </w:p>
    <w:p>
      <w:pPr>
        <w:spacing w:after="200" w:line="276"/>
        <w:jc w:val="both"/>
      </w:pPr>
      <w:r>
        <w:t xml:space="preserve">As autonomous agents assume greater responsibilities in business, healthcare, finance, and personal assistance, the reliability and verifiability of their memory becomes not merely a technical concern but a societal imperative. SCD provides a foundation for building agents whose memory is transparent, portable, and cryptographically trustworthy.</w:t>
      </w:r>
    </w:p>
    <w:p>
      <w:pPr>
        <w:spacing w:after="200" w:line="276"/>
        <w:jc w:val="both"/>
      </w:pPr>
      <w:r>
        <w:t xml:space="preserve">The protocol specification, reference implementation, and test artifacts are available for public scrutiny and adoption. We invite the research community to validate, extend, and improve upon this foundation as we collectively work toward more reliable, transparent, and trustworthy autonomous AI systems.</w:t>
      </w:r>
    </w:p>
    <w:p>
      <w:r>
        <w:br w:type="page"/>
      </w:r>
    </w:p>
    <w:p>
      <w:pPr>
        <w:pStyle w:val="Heading1"/>
      </w:pPr>
      <w:r>
        <w:t xml:space="preserve">References</w:t>
      </w:r>
    </w:p>
    <w:p>
      <w:pPr>
        <w:spacing w:after="200" w:line="276"/>
        <w:jc w:val="both"/>
      </w:pPr>
      <w:r>
        <w:t xml:space="preserve">[1] Rundgren, A., Jordan, B., &amp; Erdtman, S. (2020). RFC 8785: JSON Canonicalization Scheme (JCS). Internet Engineering Task Force.</w:t>
      </w:r>
    </w:p>
    <w:p>
      <w:pPr>
        <w:spacing w:after="200" w:line="276"/>
        <w:jc w:val="both"/>
      </w:pPr>
      <w:r>
        <w:t xml:space="preserve">[2] National Institute of Standards and Technology. (2015). Secure Hash Standard (SHS). FIPS PUB 180-4.</w:t>
      </w:r>
    </w:p>
    <w:p>
      <w:pPr>
        <w:spacing w:after="200" w:line="276"/>
        <w:jc w:val="both"/>
      </w:pPr>
      <w:r>
        <w:t xml:space="preserve">[3] Packer, C., Wooders, S., Lin, K., Fang, V., Patil, S., Stoica, I., &amp; Gonzalez, J. (2023). MemGPT: Towards LLMs as Operating Systems. arXiv preprint arXiv:2310.08560.</w:t>
      </w:r>
    </w:p>
    <w:p>
      <w:pPr>
        <w:spacing w:after="200" w:line="276"/>
        <w:jc w:val="both"/>
      </w:pPr>
      <w:r>
        <w:t xml:space="preserve">[4] Xu, W., Liang, Z., Mei, K., Gao, H., Tan, J., &amp; Zhang, Y. (2025). A-Mem: Agentic Memory for LLM Agents. arXiv preprint arXiv:2502.12110.</w:t>
      </w:r>
    </w:p>
    <w:p>
      <w:pPr>
        <w:spacing w:after="200" w:line="276"/>
        <w:jc w:val="both"/>
      </w:pPr>
      <w:r>
        <w:t xml:space="preserve">[5] Greshake, K., Abdelnabi, S., Mishra, S., Endres, C., Holz, T., &amp; Fritz, M. (2023). Not What You've Signed Up For: Compromising Real-World LLM-Integrated Applications with Indirect Prompt Injection. arXiv preprint arXiv:2302.12173.</w:t>
      </w:r>
    </w:p>
    <w:p>
      <w:pPr>
        <w:spacing w:after="200" w:line="276"/>
        <w:jc w:val="both"/>
      </w:pPr>
      <w:r>
        <w:t xml:space="preserve">[6] Zhan, Q., Liang, Z., Ying, Z., &amp; Kang, D. (2025). Adaptive Attacks Break Defenses Against Indirect Prompt Injection Attacks on LLM Agents. arXiv preprint arXiv:2503.00061.</w:t>
      </w:r>
    </w:p>
    <w:p>
      <w:pPr>
        <w:spacing w:after="200" w:line="276"/>
        <w:jc w:val="both"/>
      </w:pPr>
      <w:r>
        <w:t xml:space="preserve">[7] OWASP Foundation. (2025). OWASP Top 10 for Large Language Model Applications. https://genai.owasp.org/</w:t>
      </w:r>
    </w:p>
    <w:p>
      <w:pPr>
        <w:spacing w:after="200" w:line="276"/>
        <w:jc w:val="both"/>
      </w:pPr>
      <w:r>
        <w:t xml:space="preserve">[8] Microsoft Security Response Center. (2025). How Microsoft Defends Against Indirect Prompt Injection Attacks. Microsoft Technical Report.</w:t>
      </w:r>
    </w:p>
    <w:p>
      <w:pPr>
        <w:spacing w:after="200" w:line="276"/>
        <w:jc w:val="both"/>
      </w:pPr>
      <w:r>
        <w:t xml:space="preserve">[9] Beurer-Kellner, L., et al. (2025). Design Patterns for Securing LLM Agents against Prompt Injections. arXiv preprint arXiv:2506.08837.</w:t>
      </w:r>
    </w:p>
    <w:p>
      <w:pPr>
        <w:spacing w:after="200" w:line="276"/>
        <w:jc w:val="both"/>
      </w:pPr>
      <w:r>
        <w:t xml:space="preserve">[10] Lewis, P., et al. (2020). Retrieval-Augmented Generation for Knowledge-Intensive NLP Tasks. Advances in Neural Information Processing Systems, 33.</w:t>
      </w:r>
    </w:p>
    <w:p>
      <w:pPr>
        <w:spacing w:after="200" w:line="276"/>
        <w:jc w:val="both"/>
      </w:pPr>
      <w:r>
        <w:t xml:space="preserve">[11] Graves, A., Wayne, G., &amp; Danihelka, I. (2014). Neural Turing Machines. arXiv preprint arXiv:1410.5401.</w:t>
      </w:r>
    </w:p>
    <w:p>
      <w:pPr>
        <w:spacing w:after="200" w:line="276"/>
        <w:jc w:val="both"/>
      </w:pPr>
      <w:r>
        <w:t xml:space="preserve">[12] Merkle, R. (1979). Secrecy, Authentication, and Public Key Systems. Ph.D. Thesis, Stanford University.</w:t>
      </w:r>
    </w:p>
    <w:p>
      <w:pPr>
        <w:spacing w:after="200" w:line="276"/>
        <w:jc w:val="both"/>
      </w:pPr>
      <w:r>
        <w:t xml:space="preserve">[13] Nakamoto, S. (2008). Bitcoin: A Peer-to-Peer Electronic Cash System. https://bitcoin.org/bitcoin.pdf</w:t>
      </w:r>
    </w:p>
    <w:p>
      <w:pPr>
        <w:spacing w:after="200" w:line="276"/>
        <w:jc w:val="both"/>
      </w:pPr>
      <w:r>
        <w:t xml:space="preserve">[14] Rasmussen, P., Paliychuk, P., Beauvais, T., Ryan, J., &amp; Chalef, D. (2025). Zep: A Temporal Knowledge Graph Architecture for Agent Memory. arXiv preprint arXiv:2501.13956.</w:t>
      </w:r>
    </w:p>
    <w:p>
      <w:pPr>
        <w:spacing w:after="200" w:line="276"/>
        <w:jc w:val="both"/>
      </w:pPr>
      <w:r>
        <w:t xml:space="preserve">[15] Letta. (2024). RAG is not Agent Memory. Letta Technical Blog. https://www.letta.com/blog/rag-vs-agent-memory</w:t>
      </w:r>
    </w:p>
    <w:p>
      <w:pPr>
        <w:spacing w:after="200" w:line="276"/>
        <w:jc w:val="both"/>
      </w:pPr>
      <w:r>
        <w:t xml:space="preserve">[16] Anthropic. (2024). Model Context Protocol Specification. https://docs.anthropic.com/mcp</w:t>
      </w:r>
    </w:p>
    <w:p>
      <w:pPr>
        <w:spacing w:after="200" w:line="276"/>
        <w:jc w:val="both"/>
      </w:pPr>
      <w:r>
        <w:t xml:space="preserve">[17] Maharana, A., et al. (2024). Evaluating Very Long-Term Conversational Memory of LLM Agents. arXiv preprint arXiv:2402.17753.</w:t>
      </w:r>
    </w:p>
    <w:p>
      <w:pPr>
        <w:spacing w:after="200" w:line="276"/>
        <w:jc w:val="both"/>
      </w:pPr>
      <w:r>
        <w:t xml:space="preserve">[18] Wu, Z., et al. (2024). LongMemEval: Benchmarking Chat Assistants on Long-Term Interactive Memory. arXiv preprint.</w:t>
      </w:r>
    </w:p>
    <w:p>
      <w:pPr>
        <w:spacing w:after="200" w:line="276"/>
        <w:jc w:val="both"/>
      </w:pPr>
      <w:r>
        <w:t xml:space="preserve">[19] Fan, W., et al. (2024). A Survey on RAG Meeting LLMs: Towards Retrieval-Augmented Large Language Models. Proceedings of KDD 2024.</w:t>
      </w:r>
    </w:p>
    <w:p>
      <w:pPr>
        <w:spacing w:after="200" w:line="276"/>
        <w:jc w:val="both"/>
      </w:pPr>
      <w:r>
        <w:t xml:space="preserve">[20] Hines, K., et al. (2024). Defending Against Indirect Prompt Injection Attacks With Spotlighting. arXiv preprint arXiv:2403.14720.</w:t>
      </w:r>
    </w:p>
    <w:p>
      <w:r>
        <w:br w:type="page"/>
      </w:r>
    </w:p>
    <w:p>
      <w:pPr>
        <w:pStyle w:val="Heading1"/>
      </w:pPr>
      <w:r>
        <w:t xml:space="preserve">Appendix A: Endurance Test Artifact</w:t>
      </w:r>
    </w:p>
    <w:p>
      <w:pPr>
        <w:spacing w:after="200" w:line="276"/>
        <w:jc w:val="both"/>
      </w:pPr>
      <w:r>
        <w:t xml:space="preserve">The following JSON document records the final state after 1005 sequential turns in the endurance test:</w:t>
      </w:r>
    </w:p>
    <w:p>
      <w:pPr>
        <w:shd w:fill="F5F5F5" w:val="clear"/>
        <w:spacing w:before="120" w:after="120"/>
        <w:ind w:left="360" w:right="360"/>
      </w:pPr>
      <w:r>
        <w:rPr>
          <w:rFonts w:ascii="Courier New" w:cs="Courier New" w:eastAsia="Courier New" w:hAnsi="Courier New"/>
          <w:sz w:val="20"/>
          <w:szCs w:val="20"/>
        </w:rPr>
        <w:t xml:space="preserve">{
  "meta": {
    "test": "SCD_ENDURANCE_1000",
    "status": "PASS",
    "total_turns": 1005,
    "duration_sec": 0.0053
  },
  "final_state": {
    "version": "v3.0",
    "turn": 1005,
    "data": "Turn_1005_Update",
    "integrity_chain": []
  },
  "final_checksum": "ASHA-256:3c7f6c50ec6a72df22c591355a52f07d9576a9f6919124913fdfce438199d53b"
}</w:t>
      </w:r>
    </w:p>
    <w:p>
      <w:pPr>
        <w:spacing w:after="200" w:line="276"/>
        <w:jc w:val="both"/>
      </w:pPr>
      <w:r>
        <w:t xml:space="preserve">The test completed in 5.3 milliseconds, demonstrating sub-microsecond average performance per state transition.</w:t>
      </w:r>
    </w:p>
    <w:p>
      <w:pPr>
        <w:pStyle w:val="Heading1"/>
      </w:pPr>
      <w:r>
        <w:t xml:space="preserve">Appendix B: Checksum Verification Script</w:t>
      </w:r>
    </w:p>
    <w:p>
      <w:pPr>
        <w:spacing w:after="200" w:line="276"/>
        <w:jc w:val="both"/>
      </w:pPr>
      <w:r>
        <w:t xml:space="preserve">The following Python script verifies the checksum of an SCD state file using RFC 8785 canonicalization:</w:t>
      </w:r>
    </w:p>
    <w:p>
      <w:pPr>
        <w:shd w:fill="F5F5F5" w:val="clear"/>
        <w:spacing w:before="120" w:after="120"/>
        <w:ind w:left="360" w:right="360"/>
      </w:pPr>
      <w:r>
        <w:rPr>
          <w:rFonts w:ascii="Courier New" w:cs="Courier New" w:eastAsia="Courier New" w:hAnsi="Courier New"/>
          <w:sz w:val="20"/>
          <w:szCs w:val="20"/>
        </w:rPr>
        <w:t xml:space="preserve">import json
import hashlib
import pathlib
path = pathlib.Path("~/Desktop/state.json").expanduser()
with path.open() as f:
    data = json.load(f)
state_bytes = json.dumps(data["state"], sort_keys=True).encode("utf-8")
print(hashlib.sha256(state_bytes).hexdigest())</w:t>
      </w:r>
    </w:p>
    <w:p>
      <w:pPr>
        <w:spacing w:after="200" w:line="276"/>
        <w:jc w:val="both"/>
      </w:pPr>
      <w:r>
        <w:t xml:space="preserve">Note: Production implementations should use a full RFC 8785 canonicalization library rather than sort_keys=True, which provides only partial canonicalization.</w:t>
      </w:r>
    </w:p>
    <w:p>
      <w:pPr>
        <w:pStyle w:val="Heading1"/>
      </w:pPr>
      <w:r>
        <w:t xml:space="preserve">Appendix C: Governance Block Evidence</w:t>
      </w:r>
    </w:p>
    <w:p>
      <w:pPr>
        <w:spacing w:after="200" w:line="276"/>
        <w:jc w:val="both"/>
      </w:pPr>
      <w:r>
        <w:t xml:space="preserve">The following JSON document shows the governance layer's response when blocking an attempted modification to a protected field:</w:t>
      </w:r>
    </w:p>
    <w:p>
      <w:pPr>
        <w:shd w:fill="F5F5F5" w:val="clear"/>
        <w:spacing w:before="120" w:after="120"/>
        <w:ind w:left="360" w:right="360"/>
      </w:pPr>
      <w:r>
        <w:rPr>
          <w:rFonts w:ascii="Courier New" w:cs="Courier New" w:eastAsia="Courier New" w:hAnsi="Courier New"/>
          <w:sz w:val="20"/>
          <w:szCs w:val="20"/>
        </w:rPr>
        <w:t xml:space="preserve">{
  "status": "BLOCKED",
  "reason": "Constitutional lock active",
  "attempted_mutation": "rate_limit=5000"
}</w:t>
      </w:r>
    </w:p>
    <w:p>
      <w:pPr>
        <w:spacing w:after="200" w:line="276"/>
        <w:jc w:val="both"/>
      </w:pPr>
      <w:r>
        <w:t xml:space="preserve">This response was generated when processing a file containing an indirect prompt injection attack attempting to modify the rate_limit field.</w:t>
      </w:r>
    </w:p>
    <w:p>
      <w:pPr>
        <w:pStyle w:val="Heading1"/>
      </w:pPr>
      <w:r>
        <w:t xml:space="preserve">Appendix D: Cross-Vendor Continuity Evidence</w:t>
      </w:r>
    </w:p>
    <w:p>
      <w:pPr>
        <w:spacing w:after="200" w:line="276"/>
        <w:jc w:val="both"/>
      </w:pPr>
      <w:r>
        <w:t xml:space="preserve">The following JSON document shows the state at Turn 3 during the cross-vendor handoff test, immediately after transfer from Google Antigravity to Claude Desktop:</w:t>
      </w:r>
    </w:p>
    <w:p>
      <w:pPr>
        <w:shd w:fill="F5F5F5" w:val="clear"/>
        <w:spacing w:before="120" w:after="120"/>
        <w:ind w:left="360" w:right="360"/>
      </w:pPr>
      <w:r>
        <w:rPr>
          <w:rFonts w:ascii="Courier New" w:cs="Courier New" w:eastAsia="Courier New" w:hAnsi="Courier New"/>
          <w:sz w:val="20"/>
          <w:szCs w:val="20"/>
        </w:rPr>
        <w:t xml:space="preserve">{
  "version": "v3.0",
  "turn": 3,
  "state": {
    "project_name": "MirrorDNA",
    "rate_limit": 25,
    "endpoint": "staging"
  },
  "constitutional_lock": false,
  "checksum": "eb3f08b6b99d1663e23370ec237592db26cec18920fc7279941eefe5c5da14ed"
}</w:t>
      </w:r>
    </w:p>
    <w:p>
      <w:pPr>
        <w:spacing w:after="200" w:line="276"/>
        <w:jc w:val="both"/>
      </w:pPr>
      <w:r>
        <w:t xml:space="preserve">The checksum was independently verified on both platforms, confirming correct RFC 8785 implementation.</w:t>
      </w:r>
    </w:p>
    <w:p>
      <w:pPr>
        <w:pStyle w:val="Heading1"/>
      </w:pPr>
      <w:r>
        <w:t xml:space="preserve">Appendix E: State Schema Definition</w:t>
      </w:r>
    </w:p>
    <w:p>
      <w:pPr>
        <w:spacing w:after="200" w:line="276"/>
        <w:jc w:val="both"/>
      </w:pPr>
      <w:r>
        <w:t xml:space="preserve">The following JSON Schema defines the structure of valid SCD v3.0 state documents:</w:t>
      </w:r>
    </w:p>
    <w:p>
      <w:pPr>
        <w:shd w:fill="F5F5F5" w:val="clear"/>
        <w:spacing w:before="120" w:after="120"/>
        <w:ind w:left="360" w:right="360"/>
      </w:pPr>
      <w:r>
        <w:rPr>
          <w:rFonts w:ascii="Courier New" w:cs="Courier New" w:eastAsia="Courier New" w:hAnsi="Courier New"/>
          <w:sz w:val="20"/>
          <w:szCs w:val="20"/>
        </w:rPr>
        <w:t xml:space="preserve">{
  "$schema": "http://json-schema.org/draft-07/schema#",
  "type": "object",
  "required": ["version", "turn", "state", "checksum"],
  "properties": {
    "version": { "type": "string", "pattern": "^v[0-9]+\\.[0-9]+$" },
    "turn": { "type": "integer", "minimum": 1 },
    "state": { "type": "object" },
    "constitutional_lock": { "type": "boolean", "default": false },
    "checksum": { "type": "string", "pattern": "^[a-f0-9]{64}$" }
  }
}</w:t>
      </w:r>
    </w:p>
    <w:p>
      <w:pPr>
        <w:pStyle w:val="Heading1"/>
      </w:pPr>
      <w:r>
        <w:t xml:space="preserve">Appendix F: Protocol Guarantees Summary</w:t>
      </w:r>
    </w:p>
    <w:p>
      <w:pPr>
        <w:spacing w:after="200" w:line="276"/>
        <w:jc w:val="both"/>
      </w:pPr>
      <w:r>
        <w:t xml:space="preserve">Table 4 summarizes the formal guarantees provided by SCD v3.1.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000000" w:sz="1"/>
              <w:left w:val="single" w:color="000000" w:sz="1"/>
              <w:bottom w:val="single" w:color="000000" w:sz="1"/>
              <w:right w:val="single" w:color="000000" w:sz="1"/>
            </w:tcBorders>
            <w:shd w:fill="E8E8E8" w:val="clear"/>
          </w:tcPr>
          <w:p>
            <w:pPr>
              <w:jc w:val="left"/>
            </w:pPr>
            <w:r>
              <w:rPr>
                <w:b/>
                <w:bCs/>
                <w:sz w:val="22"/>
                <w:szCs w:val="22"/>
              </w:rPr>
              <w:t xml:space="preserve">Property</w:t>
            </w:r>
          </w:p>
        </w:tc>
        <w:tc>
          <w:tcPr>
            <w:tcW w:type="dxa" w:w="6500"/>
            <w:tcBorders>
              <w:top w:val="single" w:color="000000" w:sz="1"/>
              <w:left w:val="single" w:color="000000" w:sz="1"/>
              <w:bottom w:val="single" w:color="000000" w:sz="1"/>
              <w:right w:val="single" w:color="000000" w:sz="1"/>
            </w:tcBorders>
            <w:shd w:fill="E8E8E8" w:val="clear"/>
          </w:tcPr>
          <w:p>
            <w:pPr>
              <w:jc w:val="left"/>
            </w:pPr>
            <w:r>
              <w:rPr>
                <w:b/>
                <w:bCs/>
                <w:sz w:val="22"/>
                <w:szCs w:val="22"/>
              </w:rPr>
              <w:t xml:space="preserve">Guarantee</w:t>
            </w:r>
          </w:p>
        </w:tc>
      </w:tr>
      <w:tr>
        <w:tc>
          <w:tcPr>
            <w:tcW w:type="dxa" w:w="2500"/>
            <w:tcBorders>
              <w:top w:val="single" w:color="000000" w:sz="1"/>
              <w:left w:val="single" w:color="000000" w:sz="1"/>
              <w:bottom w:val="single" w:color="000000" w:sz="1"/>
              <w:right w:val="single" w:color="000000" w:sz="1"/>
            </w:tcBorders>
          </w:tcPr>
          <w:p>
            <w:pPr>
              <w:jc w:val="left"/>
            </w:pPr>
            <w:r>
              <w:rPr>
                <w:sz w:val="22"/>
                <w:szCs w:val="22"/>
              </w:rPr>
              <w:t xml:space="preserve">Determinism</w:t>
            </w:r>
          </w:p>
        </w:tc>
        <w:tc>
          <w:tcPr>
            <w:tcW w:type="dxa" w:w="6500"/>
            <w:tcBorders>
              <w:top w:val="single" w:color="000000" w:sz="1"/>
              <w:left w:val="single" w:color="000000" w:sz="1"/>
              <w:bottom w:val="single" w:color="000000" w:sz="1"/>
              <w:right w:val="single" w:color="000000" w:sz="1"/>
            </w:tcBorders>
          </w:tcPr>
          <w:p>
            <w:pPr>
              <w:jc w:val="left"/>
            </w:pPr>
            <w:r>
              <w:rPr>
                <w:sz w:val="22"/>
                <w:szCs w:val="22"/>
              </w:rPr>
              <w:t xml:space="preserve">Identical inputs produce identical states across executions.</w:t>
            </w:r>
          </w:p>
        </w:tc>
      </w:tr>
      <w:tr>
        <w:tc>
          <w:tcPr>
            <w:tcW w:type="dxa" w:w="2500"/>
            <w:tcBorders>
              <w:top w:val="single" w:color="000000" w:sz="1"/>
              <w:left w:val="single" w:color="000000" w:sz="1"/>
              <w:bottom w:val="single" w:color="000000" w:sz="1"/>
              <w:right w:val="single" w:color="000000" w:sz="1"/>
            </w:tcBorders>
          </w:tcPr>
          <w:p>
            <w:pPr>
              <w:jc w:val="left"/>
            </w:pPr>
            <w:r>
              <w:rPr>
                <w:sz w:val="22"/>
                <w:szCs w:val="22"/>
              </w:rPr>
              <w:t xml:space="preserve">Integrity</w:t>
            </w:r>
          </w:p>
        </w:tc>
        <w:tc>
          <w:tcPr>
            <w:tcW w:type="dxa" w:w="6500"/>
            <w:tcBorders>
              <w:top w:val="single" w:color="000000" w:sz="1"/>
              <w:left w:val="single" w:color="000000" w:sz="1"/>
              <w:bottom w:val="single" w:color="000000" w:sz="1"/>
              <w:right w:val="single" w:color="000000" w:sz="1"/>
            </w:tcBorders>
          </w:tcPr>
          <w:p>
            <w:pPr>
              <w:jc w:val="left"/>
            </w:pPr>
            <w:r>
              <w:rPr>
                <w:sz w:val="22"/>
                <w:szCs w:val="22"/>
              </w:rPr>
              <w:t xml:space="preserve">Any modification invalidates checksums with overwhelming probability (1 - 2^-256).</w:t>
            </w:r>
          </w:p>
        </w:tc>
      </w:tr>
      <w:tr>
        <w:tc>
          <w:tcPr>
            <w:tcW w:type="dxa" w:w="2500"/>
            <w:tcBorders>
              <w:top w:val="single" w:color="000000" w:sz="1"/>
              <w:left w:val="single" w:color="000000" w:sz="1"/>
              <w:bottom w:val="single" w:color="000000" w:sz="1"/>
              <w:right w:val="single" w:color="000000" w:sz="1"/>
            </w:tcBorders>
          </w:tcPr>
          <w:p>
            <w:pPr>
              <w:jc w:val="left"/>
            </w:pPr>
            <w:r>
              <w:rPr>
                <w:sz w:val="22"/>
                <w:szCs w:val="22"/>
              </w:rPr>
              <w:t xml:space="preserve">Governance</w:t>
            </w:r>
          </w:p>
        </w:tc>
        <w:tc>
          <w:tcPr>
            <w:tcW w:type="dxa" w:w="6500"/>
            <w:tcBorders>
              <w:top w:val="single" w:color="000000" w:sz="1"/>
              <w:left w:val="single" w:color="000000" w:sz="1"/>
              <w:bottom w:val="single" w:color="000000" w:sz="1"/>
              <w:right w:val="single" w:color="000000" w:sz="1"/>
            </w:tcBorders>
          </w:tcPr>
          <w:p>
            <w:pPr>
              <w:jc w:val="left"/>
            </w:pPr>
            <w:r>
              <w:rPr>
                <w:sz w:val="22"/>
                <w:szCs w:val="22"/>
              </w:rPr>
              <w:t xml:space="preserve">Protected fields cannot be modified when constitutional_lock=true.</w:t>
            </w:r>
          </w:p>
        </w:tc>
      </w:tr>
      <w:tr>
        <w:tc>
          <w:tcPr>
            <w:tcW w:type="dxa" w:w="2500"/>
            <w:tcBorders>
              <w:top w:val="single" w:color="000000" w:sz="1"/>
              <w:left w:val="single" w:color="000000" w:sz="1"/>
              <w:bottom w:val="single" w:color="000000" w:sz="1"/>
              <w:right w:val="single" w:color="000000" w:sz="1"/>
            </w:tcBorders>
          </w:tcPr>
          <w:p>
            <w:pPr>
              <w:jc w:val="left"/>
            </w:pPr>
            <w:r>
              <w:rPr>
                <w:sz w:val="22"/>
                <w:szCs w:val="22"/>
              </w:rPr>
              <w:t xml:space="preserve">Portability</w:t>
            </w:r>
          </w:p>
        </w:tc>
        <w:tc>
          <w:tcPr>
            <w:tcW w:type="dxa" w:w="6500"/>
            <w:tcBorders>
              <w:top w:val="single" w:color="000000" w:sz="1"/>
              <w:left w:val="single" w:color="000000" w:sz="1"/>
              <w:bottom w:val="single" w:color="000000" w:sz="1"/>
              <w:right w:val="single" w:color="000000" w:sz="1"/>
            </w:tcBorders>
          </w:tcPr>
          <w:p>
            <w:pPr>
              <w:jc w:val="left"/>
            </w:pPr>
            <w:r>
              <w:rPr>
                <w:sz w:val="22"/>
                <w:szCs w:val="22"/>
              </w:rPr>
              <w:t xml:space="preserve">State files transfer between vendors without loss of continuity.</w:t>
            </w:r>
          </w:p>
        </w:tc>
      </w:tr>
      <w:tr>
        <w:tc>
          <w:tcPr>
            <w:tcW w:type="dxa" w:w="2500"/>
            <w:tcBorders>
              <w:top w:val="single" w:color="000000" w:sz="1"/>
              <w:left w:val="single" w:color="000000" w:sz="1"/>
              <w:bottom w:val="single" w:color="000000" w:sz="1"/>
              <w:right w:val="single" w:color="000000" w:sz="1"/>
            </w:tcBorders>
          </w:tcPr>
          <w:p>
            <w:pPr>
              <w:jc w:val="left"/>
            </w:pPr>
            <w:r>
              <w:rPr>
                <w:sz w:val="22"/>
                <w:szCs w:val="22"/>
              </w:rPr>
              <w:t xml:space="preserve">Efficiency</w:t>
            </w:r>
          </w:p>
        </w:tc>
        <w:tc>
          <w:tcPr>
            <w:tcW w:type="dxa" w:w="6500"/>
            <w:tcBorders>
              <w:top w:val="single" w:color="000000" w:sz="1"/>
              <w:left w:val="single" w:color="000000" w:sz="1"/>
              <w:bottom w:val="single" w:color="000000" w:sz="1"/>
              <w:right w:val="single" w:color="000000" w:sz="1"/>
            </w:tcBorders>
          </w:tcPr>
          <w:p>
            <w:pPr>
              <w:jc w:val="left"/>
            </w:pPr>
            <w:r>
              <w:rPr>
                <w:sz w:val="22"/>
                <w:szCs w:val="22"/>
              </w:rPr>
              <w:t xml:space="preserve">Sub-microsecond per-turn overhead, O(n) complexity in state size.</w:t>
            </w:r>
          </w:p>
        </w:tc>
      </w:tr>
    </w:tbl>
    <w:p>
      <w:pPr>
        <w:spacing w:after="200" w:line="276"/>
        <w:jc w:val="both"/>
      </w:pPr>
      <w:r>
        <w:rPr>
          <w:i/>
          <w:iCs/>
        </w:rPr>
        <w:t xml:space="preserve">Table 4: </w:t>
      </w:r>
      <w:r>
        <w:t xml:space="preserve">Summary of SCD v3.1 protocol guarantees.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SCD v3.1: Deterministic Agent State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D%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80" w:after="1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200" w:after="80"/>
      <w:outlineLvl w:val="2"/>
    </w:pPr>
    <w:rPr>
      <w:rFonts w:ascii="Times New Roman" w:cs="Times New Roman" w:eastAsia="Times New Roman" w:hAnsi="Times New Roman"/>
      <w:b/>
      <w:bCs/>
      <w:i/>
      <w:iCs/>
      <w:color w:val="000000"/>
      <w:sz w:val="24"/>
      <w:szCs w:val="24"/>
    </w:rPr>
  </w:style>
  <w:style w:type="paragraph" w:styleId="Abstract">
    <w:name w:val="Abstract"/>
    <w:basedOn w:val="Normal"/>
    <w:pPr>
      <w:spacing w:before="120" w:after="120"/>
      <w:ind w:left="720" w:right="720"/>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2025-11-30T12:55:48.350Z</dcterms:created>
  <dcterms:modified xsi:type="dcterms:W3CDTF">2025-11-30T12:55:48.351Z</dcterms:modified>
</cp:coreProperties>
</file>

<file path=docProps/custom.xml><?xml version="1.0" encoding="utf-8"?>
<Properties xmlns="http://schemas.openxmlformats.org/officeDocument/2006/custom-properties" xmlns:vt="http://schemas.openxmlformats.org/officeDocument/2006/docPropsVTypes"/>
</file>