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F5334" w14:textId="77777777" w:rsidR="00CE1E3C" w:rsidRPr="00CE1E3C" w:rsidRDefault="00142519">
      <w:pPr>
        <w:rPr>
          <w:sz w:val="40"/>
          <w:szCs w:val="40"/>
          <w:lang w:val="en-US"/>
        </w:rPr>
      </w:pPr>
      <w:r>
        <w:rPr>
          <w:sz w:val="36"/>
          <w:szCs w:val="36"/>
          <w:lang w:val="en-US"/>
        </w:rPr>
        <w:t xml:space="preserve">           </w:t>
      </w:r>
      <w:r w:rsidRPr="00CE1E3C">
        <w:rPr>
          <w:sz w:val="40"/>
          <w:szCs w:val="40"/>
          <w:lang w:val="en-US"/>
        </w:rPr>
        <w:t>MANAGEMENT ACCOUNTING ASSIGNMENT</w:t>
      </w:r>
    </w:p>
    <w:p w14:paraId="136B53E1" w14:textId="6F8CDC60" w:rsidR="00142519" w:rsidRPr="00CE1E3C" w:rsidRDefault="00142519">
      <w:pPr>
        <w:rPr>
          <w:sz w:val="56"/>
          <w:szCs w:val="56"/>
          <w:lang w:val="en-US"/>
        </w:rPr>
      </w:pPr>
      <w:r w:rsidRPr="00142519">
        <w:rPr>
          <w:i/>
          <w:iCs/>
          <w:color w:val="7F7F7F" w:themeColor="text1" w:themeTint="80"/>
          <w:sz w:val="36"/>
          <w:szCs w:val="36"/>
          <w:lang w:val="en-US"/>
        </w:rPr>
        <w:t xml:space="preserve"> </w:t>
      </w:r>
      <w:r w:rsidRPr="00CE1E3C">
        <w:rPr>
          <w:b/>
          <w:bCs/>
          <w:i/>
          <w:iCs/>
          <w:color w:val="7F7F7F" w:themeColor="text1" w:themeTint="80"/>
          <w:sz w:val="56"/>
          <w:szCs w:val="56"/>
          <w:u w:val="single"/>
          <w:lang w:val="en-US"/>
        </w:rPr>
        <w:t>Costing Methods Used by Deloitte: Next Generation Model</w:t>
      </w:r>
    </w:p>
    <w:p w14:paraId="49ECE9E0" w14:textId="77777777" w:rsidR="00142519" w:rsidRPr="00CE1E3C" w:rsidRDefault="00142519">
      <w:pPr>
        <w:rPr>
          <w:i/>
          <w:iCs/>
          <w:color w:val="7F7F7F" w:themeColor="text1" w:themeTint="80"/>
          <w:sz w:val="56"/>
          <w:szCs w:val="56"/>
          <w:u w:val="single"/>
          <w:lang w:val="en-US"/>
        </w:rPr>
      </w:pPr>
    </w:p>
    <w:p w14:paraId="65A7708E" w14:textId="743A7041" w:rsidR="00142519" w:rsidRDefault="004C561F">
      <w:pPr>
        <w:rPr>
          <w:i/>
          <w:iCs/>
          <w:color w:val="7F7F7F" w:themeColor="text1" w:themeTint="80"/>
          <w:sz w:val="36"/>
          <w:szCs w:val="36"/>
          <w:u w:val="single"/>
          <w:lang w:val="en-US"/>
        </w:rPr>
      </w:pPr>
      <w:r>
        <w:rPr>
          <w:i/>
          <w:iCs/>
          <w:color w:val="7F7F7F" w:themeColor="text1" w:themeTint="80"/>
          <w:sz w:val="36"/>
          <w:szCs w:val="36"/>
          <w:lang w:val="en-US"/>
        </w:rPr>
        <w:t xml:space="preserve">                        </w:t>
      </w:r>
      <w:r w:rsidR="00CE1E3C">
        <w:rPr>
          <w:noProof/>
        </w:rPr>
        <mc:AlternateContent>
          <mc:Choice Requires="wps">
            <w:drawing>
              <wp:anchor distT="0" distB="0" distL="114300" distR="114300" simplePos="0" relativeHeight="251659264" behindDoc="0" locked="0" layoutInCell="1" allowOverlap="1" wp14:anchorId="00F16FD8" wp14:editId="495C5941">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D8BFD66" w14:textId="77777777" w:rsidR="00CE1E3C" w:rsidRDefault="00CE1E3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00F16FD8"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" filled="f" stroked="f">
                <v:fill o:detectmouseclick="t"/>
                <v:textbox style="mso-fit-shape-to-text:t">
                  <w:txbxContent>
                    <w:p w14:paraId="7D8BFD66" w14:textId="77777777" w:rsidR="00CE1E3C" w:rsidRDefault="00CE1E3C"/>
                  </w:txbxContent>
                </v:textbox>
              </v:shape>
            </w:pict>
          </mc:Fallback>
        </mc:AlternateContent>
      </w:r>
      <w:r w:rsidR="00142519" w:rsidRPr="00CE1E3C">
        <w:rPr>
          <w:i/>
          <w:iCs/>
          <w:color w:val="7F7F7F" w:themeColor="text1" w:themeTint="80"/>
          <w:sz w:val="44"/>
          <w:szCs w:val="44"/>
          <w:u w:val="single"/>
          <w:lang w:val="en-US"/>
        </w:rPr>
        <w:t>Management Accounting</w:t>
      </w:r>
      <w:r w:rsidR="00142519" w:rsidRPr="00142519">
        <w:rPr>
          <w:i/>
          <w:iCs/>
          <w:color w:val="7F7F7F" w:themeColor="text1" w:themeTint="80"/>
          <w:sz w:val="36"/>
          <w:szCs w:val="36"/>
          <w:lang w:val="en-US"/>
        </w:rPr>
        <w:t>:</w:t>
      </w:r>
    </w:p>
    <w:p w14:paraId="11CC0DC1" w14:textId="1A2C5260" w:rsidR="004B05E1" w:rsidRPr="00CE1E3C" w:rsidRDefault="00142519" w:rsidP="00CE1E3C">
      <w:pPr>
        <w:jc w:val="center"/>
        <w:rPr>
          <w:b/>
          <w:i/>
          <w:iCs/>
          <w:color w:val="A5A5A5" w:themeColor="accent3"/>
          <w:sz w:val="72"/>
          <w:szCs w:val="72"/>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C2612">
        <w:rPr>
          <w:rFonts w:ascii="Georgia" w:hAnsi="Georgia"/>
          <w:color w:val="262626" w:themeColor="text1" w:themeTint="D9"/>
          <w:sz w:val="30"/>
          <w:szCs w:val="30"/>
        </w:rPr>
        <w:t>Management Accounting is the presentation of accounting information in order to formulate the policies to be adopted by the management and assist its day-to-day activities.</w:t>
      </w:r>
    </w:p>
    <w:p w14:paraId="6F6A146D" w14:textId="7CF43139" w:rsidR="00142519" w:rsidRPr="00FC2612" w:rsidRDefault="004B05E1" w:rsidP="00142519">
      <w:pPr>
        <w:pStyle w:val="NormalWeb"/>
        <w:shd w:val="clear" w:color="auto" w:fill="FFFFFF"/>
        <w:spacing w:before="0" w:beforeAutospacing="0" w:after="288" w:afterAutospacing="0" w:line="480" w:lineRule="atLeast"/>
        <w:textAlignment w:val="baseline"/>
        <w:rPr>
          <w:rFonts w:ascii="Georgia" w:hAnsi="Georgia"/>
          <w:color w:val="262626" w:themeColor="text1" w:themeTint="D9"/>
          <w:sz w:val="30"/>
          <w:szCs w:val="30"/>
        </w:rPr>
      </w:pPr>
      <w:r w:rsidRPr="00FC2612">
        <w:rPr>
          <w:rFonts w:ascii="Georgia" w:hAnsi="Georgia"/>
          <w:color w:val="262626" w:themeColor="text1" w:themeTint="D9"/>
          <w:sz w:val="30"/>
          <w:szCs w:val="30"/>
        </w:rPr>
        <w:t>I</w:t>
      </w:r>
      <w:r w:rsidR="00142519" w:rsidRPr="00FC2612">
        <w:rPr>
          <w:rFonts w:ascii="Georgia" w:hAnsi="Georgia"/>
          <w:color w:val="262626" w:themeColor="text1" w:themeTint="D9"/>
          <w:sz w:val="30"/>
          <w:szCs w:val="30"/>
        </w:rPr>
        <w:t>t helps the management to perform all its functions including planning, organising, staffing, directing and controlling.</w:t>
      </w:r>
    </w:p>
    <w:p w14:paraId="3F1146D3" w14:textId="286E6E62" w:rsidR="004B05E1" w:rsidRDefault="004B05E1" w:rsidP="00142519">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             </w:t>
      </w:r>
      <w:r w:rsidR="00FC2612">
        <w:rPr>
          <w:rFonts w:ascii="Georgia" w:hAnsi="Georgia"/>
          <w:color w:val="424142"/>
          <w:sz w:val="30"/>
          <w:szCs w:val="30"/>
        </w:rPr>
        <w:t xml:space="preserve">                                                           </w:t>
      </w:r>
      <w:r>
        <w:rPr>
          <w:rFonts w:ascii="Georgia" w:hAnsi="Georgia"/>
          <w:color w:val="424142"/>
          <w:sz w:val="30"/>
          <w:szCs w:val="30"/>
        </w:rPr>
        <w:t xml:space="preserve">         </w:t>
      </w:r>
      <w:r w:rsidR="00FC2612">
        <w:rPr>
          <w:rFonts w:ascii="Georgia" w:hAnsi="Georgia"/>
          <w:noProof/>
          <w:color w:val="424142"/>
          <w:sz w:val="30"/>
          <w:szCs w:val="30"/>
        </w:rPr>
        <w:drawing>
          <wp:inline distT="0" distB="0" distL="0" distR="0" wp14:anchorId="2F8D61FF" wp14:editId="02581422">
            <wp:extent cx="1889759" cy="480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1939073" cy="492587"/>
                    </a:xfrm>
                    <a:prstGeom prst="rect">
                      <a:avLst/>
                    </a:prstGeom>
                  </pic:spPr>
                </pic:pic>
              </a:graphicData>
            </a:graphic>
          </wp:inline>
        </w:drawing>
      </w:r>
    </w:p>
    <w:p w14:paraId="775B19A8" w14:textId="70B8F270" w:rsidR="004B05E1" w:rsidRPr="00FC2612" w:rsidRDefault="004C561F" w:rsidP="00142519">
      <w:pPr>
        <w:pStyle w:val="NormalWeb"/>
        <w:shd w:val="clear" w:color="auto" w:fill="FFFFFF"/>
        <w:spacing w:before="0" w:beforeAutospacing="0" w:after="288" w:afterAutospacing="0" w:line="480" w:lineRule="atLeast"/>
        <w:textAlignment w:val="baseline"/>
        <w:rPr>
          <w:rFonts w:ascii="Georgia" w:hAnsi="Georgia"/>
          <w:i/>
          <w:iCs/>
          <w:color w:val="7F7F7F" w:themeColor="text1" w:themeTint="80"/>
          <w:sz w:val="36"/>
          <w:szCs w:val="36"/>
        </w:rPr>
      </w:pPr>
      <w:r>
        <w:rPr>
          <w:rFonts w:ascii="Georgia" w:hAnsi="Georgia"/>
          <w:i/>
          <w:iCs/>
          <w:color w:val="7F7F7F" w:themeColor="text1" w:themeTint="80"/>
          <w:sz w:val="36"/>
          <w:szCs w:val="36"/>
        </w:rPr>
        <w:t xml:space="preserve">                               </w:t>
      </w:r>
      <w:r w:rsidR="00FC2612" w:rsidRPr="00CE1E3C">
        <w:rPr>
          <w:rFonts w:ascii="Georgia" w:hAnsi="Georgia"/>
          <w:b/>
          <w:bCs/>
          <w:i/>
          <w:iCs/>
          <w:color w:val="7F7F7F" w:themeColor="text1" w:themeTint="80"/>
          <w:sz w:val="36"/>
          <w:szCs w:val="36"/>
          <w:u w:val="single"/>
        </w:rPr>
        <w:t>About Company</w:t>
      </w:r>
      <w:r w:rsidR="00FC2612" w:rsidRPr="00FC2612">
        <w:rPr>
          <w:rFonts w:ascii="Georgia" w:hAnsi="Georgia"/>
          <w:i/>
          <w:iCs/>
          <w:color w:val="7F7F7F" w:themeColor="text1" w:themeTint="80"/>
          <w:sz w:val="36"/>
          <w:szCs w:val="36"/>
        </w:rPr>
        <w:t>:</w:t>
      </w:r>
    </w:p>
    <w:p w14:paraId="73F88A47" w14:textId="4F89A36E" w:rsidR="00FC2612" w:rsidRPr="004C561F" w:rsidRDefault="00FC2612" w:rsidP="00FC2612">
      <w:pPr>
        <w:rPr>
          <w:rFonts w:ascii="Georgia" w:hAnsi="Georgia"/>
          <w:color w:val="262626" w:themeColor="text1" w:themeTint="D9"/>
          <w:sz w:val="32"/>
          <w:szCs w:val="32"/>
          <w:lang w:val="en-US"/>
        </w:rPr>
      </w:pPr>
      <w:r w:rsidRPr="004C561F">
        <w:rPr>
          <w:rFonts w:ascii="Georgia" w:hAnsi="Georgia"/>
          <w:b/>
          <w:bCs/>
          <w:color w:val="262626" w:themeColor="text1" w:themeTint="D9"/>
          <w:sz w:val="36"/>
          <w:szCs w:val="36"/>
          <w:lang w:val="en-US"/>
        </w:rPr>
        <w:t>Deloitte</w:t>
      </w:r>
      <w:r w:rsidRPr="004C561F">
        <w:rPr>
          <w:rFonts w:ascii="Georgia" w:hAnsi="Georgia"/>
          <w:color w:val="262626" w:themeColor="text1" w:themeTint="D9"/>
          <w:sz w:val="32"/>
          <w:szCs w:val="32"/>
          <w:lang w:val="en-US"/>
        </w:rPr>
        <w:t>, is a UK Private Company Limited which provides Audit, Consultancy, Financial Advisory services with its headquarters in New York, U</w:t>
      </w:r>
      <w:r w:rsidR="004C561F">
        <w:rPr>
          <w:rFonts w:ascii="Georgia" w:hAnsi="Georgia"/>
          <w:color w:val="262626" w:themeColor="text1" w:themeTint="D9"/>
          <w:sz w:val="32"/>
          <w:szCs w:val="32"/>
          <w:lang w:val="en-US"/>
        </w:rPr>
        <w:t>nited States.</w:t>
      </w:r>
    </w:p>
    <w:p w14:paraId="20D4C898" w14:textId="77777777" w:rsidR="004C561F" w:rsidRDefault="00FC2612" w:rsidP="00FC2612">
      <w:pPr>
        <w:rPr>
          <w:rFonts w:ascii="Georgia" w:hAnsi="Georgia"/>
          <w:color w:val="262626" w:themeColor="text1" w:themeTint="D9"/>
          <w:sz w:val="32"/>
          <w:szCs w:val="32"/>
          <w:lang w:val="en-US"/>
        </w:rPr>
      </w:pPr>
      <w:r w:rsidRPr="004C561F">
        <w:rPr>
          <w:rFonts w:ascii="Georgia" w:hAnsi="Georgia"/>
          <w:color w:val="262626" w:themeColor="text1" w:themeTint="D9"/>
          <w:sz w:val="32"/>
          <w:szCs w:val="32"/>
          <w:lang w:val="en-US"/>
        </w:rPr>
        <w:t xml:space="preserve"> </w:t>
      </w:r>
      <w:r w:rsidR="004C561F">
        <w:rPr>
          <w:rFonts w:ascii="Georgia" w:hAnsi="Georgia"/>
          <w:color w:val="262626" w:themeColor="text1" w:themeTint="D9"/>
          <w:sz w:val="32"/>
          <w:szCs w:val="32"/>
          <w:lang w:val="en-US"/>
        </w:rPr>
        <w:t>I</w:t>
      </w:r>
      <w:r w:rsidRPr="004C561F">
        <w:rPr>
          <w:rFonts w:ascii="Georgia" w:hAnsi="Georgia"/>
          <w:color w:val="262626" w:themeColor="text1" w:themeTint="D9"/>
          <w:sz w:val="32"/>
          <w:szCs w:val="32"/>
          <w:lang w:val="en-US"/>
        </w:rPr>
        <w:t xml:space="preserve">ts founding father is </w:t>
      </w:r>
      <w:r w:rsidRPr="004C561F">
        <w:rPr>
          <w:rFonts w:ascii="Georgia" w:hAnsi="Georgia"/>
          <w:b/>
          <w:bCs/>
          <w:color w:val="262626" w:themeColor="text1" w:themeTint="D9"/>
          <w:sz w:val="32"/>
          <w:szCs w:val="32"/>
          <w:lang w:val="en-US"/>
        </w:rPr>
        <w:t>Mr. William Welch Deloitte</w:t>
      </w:r>
      <w:r w:rsidRPr="004C561F">
        <w:rPr>
          <w:rFonts w:ascii="Georgia" w:hAnsi="Georgia"/>
          <w:color w:val="262626" w:themeColor="text1" w:themeTint="D9"/>
          <w:sz w:val="32"/>
          <w:szCs w:val="32"/>
          <w:lang w:val="en-US"/>
        </w:rPr>
        <w:t xml:space="preserve">. </w:t>
      </w:r>
    </w:p>
    <w:p w14:paraId="640FC15A" w14:textId="6A20BB93" w:rsidR="004C561F" w:rsidRDefault="00FC2612" w:rsidP="00FC2612">
      <w:pPr>
        <w:rPr>
          <w:rFonts w:ascii="Georgia" w:hAnsi="Georgia"/>
          <w:color w:val="262626" w:themeColor="text1" w:themeTint="D9"/>
          <w:sz w:val="32"/>
          <w:szCs w:val="32"/>
          <w:lang w:val="en-US"/>
        </w:rPr>
      </w:pPr>
      <w:r w:rsidRPr="004C561F">
        <w:rPr>
          <w:rFonts w:ascii="Georgia" w:hAnsi="Georgia"/>
          <w:color w:val="262626" w:themeColor="text1" w:themeTint="D9"/>
          <w:sz w:val="32"/>
          <w:szCs w:val="32"/>
          <w:lang w:val="en-US"/>
        </w:rPr>
        <w:t xml:space="preserve">The "Deloitte Consulting Group" emerged as result of the partners of Deloitte &amp; </w:t>
      </w:r>
      <w:r w:rsidR="004C561F">
        <w:rPr>
          <w:rFonts w:ascii="Georgia" w:hAnsi="Georgia"/>
          <w:color w:val="262626" w:themeColor="text1" w:themeTint="D9"/>
          <w:sz w:val="32"/>
          <w:szCs w:val="32"/>
          <w:lang w:val="en-US"/>
        </w:rPr>
        <w:t xml:space="preserve">Touch </w:t>
      </w:r>
      <w:r w:rsidRPr="004C561F">
        <w:rPr>
          <w:rFonts w:ascii="Georgia" w:hAnsi="Georgia"/>
          <w:color w:val="262626" w:themeColor="text1" w:themeTint="D9"/>
          <w:sz w:val="32"/>
          <w:szCs w:val="32"/>
          <w:lang w:val="en-US"/>
        </w:rPr>
        <w:t xml:space="preserve">deciding to form the Deloitte &amp; Consulting Group. </w:t>
      </w:r>
    </w:p>
    <w:p w14:paraId="2FF17DDA" w14:textId="104D42E9" w:rsidR="00142519" w:rsidRDefault="00FC2612" w:rsidP="00FC2612">
      <w:pPr>
        <w:rPr>
          <w:rFonts w:ascii="Georgia" w:hAnsi="Georgia"/>
          <w:color w:val="262626" w:themeColor="text1" w:themeTint="D9"/>
          <w:sz w:val="32"/>
          <w:szCs w:val="32"/>
          <w:lang w:val="en-US"/>
        </w:rPr>
      </w:pPr>
      <w:r w:rsidRPr="004C561F">
        <w:rPr>
          <w:rFonts w:ascii="Georgia" w:hAnsi="Georgia"/>
          <w:color w:val="262626" w:themeColor="text1" w:themeTint="D9"/>
          <w:sz w:val="32"/>
          <w:szCs w:val="32"/>
          <w:lang w:val="en-US"/>
        </w:rPr>
        <w:t>The company is one of the "Big Four" Tax, Audit &amp; Consulting firms</w:t>
      </w:r>
      <w:r w:rsidR="004C561F">
        <w:rPr>
          <w:rFonts w:ascii="Georgia" w:hAnsi="Georgia"/>
          <w:color w:val="262626" w:themeColor="text1" w:themeTint="D9"/>
          <w:sz w:val="32"/>
          <w:szCs w:val="32"/>
          <w:lang w:val="en-US"/>
        </w:rPr>
        <w:t>.</w:t>
      </w:r>
    </w:p>
    <w:p w14:paraId="7F0CAED2" w14:textId="22725C42" w:rsidR="004C561F" w:rsidRDefault="004C561F" w:rsidP="00FC2612">
      <w:pPr>
        <w:rPr>
          <w:rFonts w:ascii="Georgia" w:hAnsi="Georgia"/>
          <w:i/>
          <w:iCs/>
          <w:color w:val="7F7F7F" w:themeColor="text1" w:themeTint="80"/>
          <w:sz w:val="36"/>
          <w:szCs w:val="36"/>
          <w:lang w:val="en-US"/>
        </w:rPr>
      </w:pPr>
      <w:r>
        <w:rPr>
          <w:rFonts w:ascii="Georgia" w:hAnsi="Georgia"/>
          <w:color w:val="7F7F7F" w:themeColor="text1" w:themeTint="80"/>
          <w:sz w:val="36"/>
          <w:szCs w:val="36"/>
          <w:lang w:val="en-US"/>
        </w:rPr>
        <w:t xml:space="preserve">                 </w:t>
      </w:r>
      <w:r w:rsidR="002E5FB9" w:rsidRPr="00CE1E3C">
        <w:rPr>
          <w:rFonts w:ascii="Georgia" w:hAnsi="Georgia"/>
          <w:b/>
          <w:bCs/>
          <w:i/>
          <w:iCs/>
          <w:color w:val="7F7F7F" w:themeColor="text1" w:themeTint="80"/>
          <w:sz w:val="36"/>
          <w:szCs w:val="36"/>
          <w:u w:val="single"/>
          <w:lang w:val="en-US"/>
        </w:rPr>
        <w:t xml:space="preserve">Requirement for </w:t>
      </w:r>
      <w:r w:rsidRPr="00CE1E3C">
        <w:rPr>
          <w:rFonts w:ascii="Georgia" w:hAnsi="Georgia"/>
          <w:b/>
          <w:bCs/>
          <w:i/>
          <w:iCs/>
          <w:color w:val="7F7F7F" w:themeColor="text1" w:themeTint="80"/>
          <w:sz w:val="36"/>
          <w:szCs w:val="36"/>
          <w:u w:val="single"/>
          <w:lang w:val="en-US"/>
        </w:rPr>
        <w:t>Costing Method</w:t>
      </w:r>
      <w:r w:rsidRPr="004C561F">
        <w:rPr>
          <w:rFonts w:ascii="Georgia" w:hAnsi="Georgia"/>
          <w:i/>
          <w:iCs/>
          <w:color w:val="7F7F7F" w:themeColor="text1" w:themeTint="80"/>
          <w:sz w:val="36"/>
          <w:szCs w:val="36"/>
          <w:lang w:val="en-US"/>
        </w:rPr>
        <w:t>:</w:t>
      </w:r>
    </w:p>
    <w:p w14:paraId="42F27D16" w14:textId="3165250F" w:rsidR="004C561F" w:rsidRDefault="002E5FB9" w:rsidP="00FC2612">
      <w:pPr>
        <w:rPr>
          <w:rStyle w:val="Strong"/>
          <w:rFonts w:ascii="Georgia" w:hAnsi="Georgia"/>
          <w:b w:val="0"/>
          <w:bCs w:val="0"/>
          <w:color w:val="404040" w:themeColor="text1" w:themeTint="BF"/>
          <w:sz w:val="32"/>
          <w:szCs w:val="32"/>
          <w:bdr w:val="none" w:sz="0" w:space="0" w:color="auto" w:frame="1"/>
          <w:shd w:val="clear" w:color="auto" w:fill="FFFFFF"/>
        </w:rPr>
      </w:pPr>
      <w:r w:rsidRPr="002E5FB9">
        <w:rPr>
          <w:rFonts w:ascii="Arial" w:hAnsi="Arial" w:cs="Arial"/>
          <w:color w:val="262626" w:themeColor="text1" w:themeTint="D9"/>
          <w:sz w:val="32"/>
          <w:szCs w:val="32"/>
          <w:shd w:val="clear" w:color="auto" w:fill="FFFFFF"/>
        </w:rPr>
        <w:t xml:space="preserve">The techniques and procedures used in *cost accounting and management accounting* to obtain the cost of service and </w:t>
      </w:r>
      <w:r w:rsidRPr="002E5FB9">
        <w:rPr>
          <w:rFonts w:ascii="Arial" w:hAnsi="Arial" w:cs="Arial"/>
          <w:color w:val="262626" w:themeColor="text1" w:themeTint="D9"/>
          <w:sz w:val="32"/>
          <w:szCs w:val="32"/>
          <w:shd w:val="clear" w:color="auto" w:fill="FFFFFF"/>
        </w:rPr>
        <w:lastRenderedPageBreak/>
        <w:t>product.</w:t>
      </w:r>
      <w:r w:rsidRPr="002E5FB9">
        <w:rPr>
          <w:rStyle w:val="NormalWeb"/>
          <w:rFonts w:ascii="Georgia" w:hAnsi="Georgia"/>
          <w:color w:val="262626" w:themeColor="text1" w:themeTint="D9"/>
          <w:sz w:val="30"/>
          <w:szCs w:val="30"/>
          <w:bdr w:val="none" w:sz="0" w:space="0" w:color="auto" w:frame="1"/>
          <w:shd w:val="clear" w:color="auto" w:fill="FFFFFF"/>
        </w:rPr>
        <w:t xml:space="preserve"> </w:t>
      </w:r>
      <w:r w:rsidRPr="002E5FB9">
        <w:rPr>
          <w:rStyle w:val="Strong"/>
          <w:rFonts w:ascii="Georgia" w:hAnsi="Georgia"/>
          <w:b w:val="0"/>
          <w:bCs w:val="0"/>
          <w:color w:val="262626" w:themeColor="text1" w:themeTint="D9"/>
          <w:sz w:val="32"/>
          <w:szCs w:val="32"/>
          <w:bdr w:val="none" w:sz="0" w:space="0" w:color="auto" w:frame="1"/>
          <w:shd w:val="clear" w:color="auto" w:fill="FFFFFF"/>
        </w:rPr>
        <w:t>It classifies, recording and appropriate allocation of expenditure for the determination of the costs of products or services, and for presentation of suitably arranged data for the purposes of control, and guidance of management</w:t>
      </w:r>
      <w:r w:rsidRPr="002E5FB9">
        <w:rPr>
          <w:rStyle w:val="Strong"/>
          <w:rFonts w:ascii="Georgia" w:hAnsi="Georgia"/>
          <w:b w:val="0"/>
          <w:bCs w:val="0"/>
          <w:color w:val="404040" w:themeColor="text1" w:themeTint="BF"/>
          <w:sz w:val="32"/>
          <w:szCs w:val="32"/>
          <w:bdr w:val="none" w:sz="0" w:space="0" w:color="auto" w:frame="1"/>
          <w:shd w:val="clear" w:color="auto" w:fill="FFFFFF"/>
        </w:rPr>
        <w:t>.</w:t>
      </w:r>
    </w:p>
    <w:p w14:paraId="104B86EB" w14:textId="231225E6" w:rsidR="002E5FB9" w:rsidRDefault="002E5FB9" w:rsidP="00FC2612">
      <w:pPr>
        <w:rPr>
          <w:rStyle w:val="Strong"/>
          <w:rFonts w:ascii="Georgia" w:hAnsi="Georgia"/>
          <w:b w:val="0"/>
          <w:bCs w:val="0"/>
          <w:color w:val="404040" w:themeColor="text1" w:themeTint="BF"/>
          <w:sz w:val="32"/>
          <w:szCs w:val="32"/>
          <w:bdr w:val="none" w:sz="0" w:space="0" w:color="auto" w:frame="1"/>
          <w:shd w:val="clear" w:color="auto" w:fill="FFFFFF"/>
        </w:rPr>
      </w:pPr>
      <w:r>
        <w:rPr>
          <w:rStyle w:val="Strong"/>
          <w:rFonts w:ascii="Georgia" w:hAnsi="Georgia"/>
          <w:b w:val="0"/>
          <w:bCs w:val="0"/>
          <w:color w:val="404040" w:themeColor="text1" w:themeTint="BF"/>
          <w:sz w:val="32"/>
          <w:szCs w:val="32"/>
          <w:bdr w:val="none" w:sz="0" w:space="0" w:color="auto" w:frame="1"/>
          <w:shd w:val="clear" w:color="auto" w:fill="FFFFFF"/>
        </w:rPr>
        <w:t xml:space="preserve"> </w:t>
      </w:r>
    </w:p>
    <w:p w14:paraId="0A44A5ED" w14:textId="1E3B2DE5" w:rsidR="002E5FB9" w:rsidRDefault="002E5FB9" w:rsidP="00FC2612">
      <w:pPr>
        <w:rPr>
          <w:rStyle w:val="Strong"/>
          <w:rFonts w:ascii="Georgia" w:hAnsi="Georgia"/>
          <w:b w:val="0"/>
          <w:bCs w:val="0"/>
          <w:i/>
          <w:iCs/>
          <w:color w:val="7F7F7F" w:themeColor="text1" w:themeTint="80"/>
          <w:sz w:val="36"/>
          <w:szCs w:val="36"/>
          <w:bdr w:val="none" w:sz="0" w:space="0" w:color="auto" w:frame="1"/>
          <w:shd w:val="clear" w:color="auto" w:fill="FFFFFF"/>
        </w:rPr>
      </w:pPr>
      <w:r>
        <w:rPr>
          <w:rStyle w:val="Strong"/>
          <w:rFonts w:ascii="Georgia" w:hAnsi="Georgia"/>
          <w:b w:val="0"/>
          <w:bCs w:val="0"/>
          <w:color w:val="404040" w:themeColor="text1" w:themeTint="BF"/>
          <w:sz w:val="32"/>
          <w:szCs w:val="32"/>
          <w:bdr w:val="none" w:sz="0" w:space="0" w:color="auto" w:frame="1"/>
          <w:shd w:val="clear" w:color="auto" w:fill="FFFFFF"/>
        </w:rPr>
        <w:t xml:space="preserve">                                    </w:t>
      </w:r>
      <w:r w:rsidRPr="000C3CA0">
        <w:rPr>
          <w:rStyle w:val="Strong"/>
          <w:rFonts w:ascii="Georgia" w:hAnsi="Georgia"/>
          <w:i/>
          <w:iCs/>
          <w:color w:val="7F7F7F" w:themeColor="text1" w:themeTint="80"/>
          <w:sz w:val="36"/>
          <w:szCs w:val="36"/>
          <w:u w:val="single"/>
          <w:bdr w:val="none" w:sz="0" w:space="0" w:color="auto" w:frame="1"/>
          <w:shd w:val="clear" w:color="auto" w:fill="FFFFFF"/>
        </w:rPr>
        <w:t>Standalone Cost</w:t>
      </w:r>
      <w:r w:rsidRPr="002E5FB9">
        <w:rPr>
          <w:rStyle w:val="Strong"/>
          <w:rFonts w:ascii="Georgia" w:hAnsi="Georgia"/>
          <w:b w:val="0"/>
          <w:bCs w:val="0"/>
          <w:i/>
          <w:iCs/>
          <w:color w:val="7F7F7F" w:themeColor="text1" w:themeTint="80"/>
          <w:sz w:val="36"/>
          <w:szCs w:val="36"/>
          <w:bdr w:val="none" w:sz="0" w:space="0" w:color="auto" w:frame="1"/>
          <w:shd w:val="clear" w:color="auto" w:fill="FFFFFF"/>
        </w:rPr>
        <w:t>:</w:t>
      </w:r>
    </w:p>
    <w:p w14:paraId="5F5C60F6" w14:textId="0AEC1945" w:rsidR="002E5FB9" w:rsidRDefault="002E5FB9" w:rsidP="00FC2612">
      <w:pPr>
        <w:rPr>
          <w:color w:val="262626" w:themeColor="text1" w:themeTint="D9"/>
        </w:rPr>
      </w:pPr>
      <w:r w:rsidRPr="006102AF">
        <w:rPr>
          <w:color w:val="262626" w:themeColor="text1" w:themeTint="D9"/>
          <w:sz w:val="32"/>
          <w:szCs w:val="32"/>
        </w:rPr>
        <w:t xml:space="preserve">This approach is used when the network is providing only a single service </w:t>
      </w:r>
      <w:r w:rsidR="006102AF">
        <w:rPr>
          <w:color w:val="262626" w:themeColor="text1" w:themeTint="D9"/>
          <w:sz w:val="32"/>
          <w:szCs w:val="32"/>
        </w:rPr>
        <w:t>therefore,</w:t>
      </w:r>
      <w:r w:rsidRPr="006102AF">
        <w:rPr>
          <w:color w:val="262626" w:themeColor="text1" w:themeTint="D9"/>
          <w:sz w:val="32"/>
          <w:szCs w:val="32"/>
        </w:rPr>
        <w:t xml:space="preserve"> costs (service-specific, joint, and common costs) are allocated to a single service</w:t>
      </w:r>
      <w:r w:rsidRPr="006102AF">
        <w:rPr>
          <w:color w:val="262626" w:themeColor="text1" w:themeTint="D9"/>
        </w:rPr>
        <w:t>.</w:t>
      </w:r>
    </w:p>
    <w:p w14:paraId="3AD9861A" w14:textId="77777777" w:rsidR="006102AF" w:rsidRDefault="006102AF" w:rsidP="00FC2612">
      <w:pPr>
        <w:rPr>
          <w:color w:val="262626" w:themeColor="text1" w:themeTint="D9"/>
          <w:sz w:val="32"/>
          <w:szCs w:val="32"/>
        </w:rPr>
      </w:pPr>
      <w:r w:rsidRPr="006102AF">
        <w:rPr>
          <w:color w:val="262626" w:themeColor="text1" w:themeTint="D9"/>
          <w:sz w:val="32"/>
          <w:szCs w:val="32"/>
        </w:rPr>
        <w:t xml:space="preserve">When pricing is steady and stand-alone sales of a good or service are common, the determination of the SSP is likely to be straightforward and involve little to no estimation. </w:t>
      </w:r>
    </w:p>
    <w:p w14:paraId="5D3040EE" w14:textId="4ACE5F09" w:rsidR="00A62B83" w:rsidRDefault="006102AF" w:rsidP="00FC2612">
      <w:pPr>
        <w:rPr>
          <w:color w:val="262626" w:themeColor="text1" w:themeTint="D9"/>
          <w:sz w:val="32"/>
          <w:szCs w:val="32"/>
        </w:rPr>
      </w:pPr>
      <w:r w:rsidRPr="006102AF">
        <w:rPr>
          <w:color w:val="262626" w:themeColor="text1" w:themeTint="D9"/>
          <w:sz w:val="32"/>
          <w:szCs w:val="32"/>
        </w:rPr>
        <w:t xml:space="preserve">This exercise becomes more complex, however, when pricing of a good or service varies from one transaction to another or when the stand-alone sales of a particular good or service are rare </w:t>
      </w:r>
      <w:r>
        <w:rPr>
          <w:color w:val="262626" w:themeColor="text1" w:themeTint="D9"/>
          <w:sz w:val="32"/>
          <w:szCs w:val="32"/>
        </w:rPr>
        <w:t xml:space="preserve">or </w:t>
      </w:r>
      <w:proofErr w:type="spellStart"/>
      <w:r>
        <w:rPr>
          <w:color w:val="262626" w:themeColor="text1" w:themeTint="D9"/>
          <w:sz w:val="32"/>
          <w:szCs w:val="32"/>
        </w:rPr>
        <w:t xml:space="preserve">non </w:t>
      </w:r>
      <w:r w:rsidR="00CE1E3C">
        <w:rPr>
          <w:color w:val="262626" w:themeColor="text1" w:themeTint="D9"/>
          <w:sz w:val="32"/>
          <w:szCs w:val="32"/>
        </w:rPr>
        <w:t>existent</w:t>
      </w:r>
      <w:proofErr w:type="spellEnd"/>
      <w:r w:rsidR="00CE1E3C">
        <w:rPr>
          <w:color w:val="262626" w:themeColor="text1" w:themeTint="D9"/>
          <w:sz w:val="32"/>
          <w:szCs w:val="32"/>
        </w:rPr>
        <w:t>.</w:t>
      </w:r>
      <w:r>
        <w:rPr>
          <w:color w:val="262626" w:themeColor="text1" w:themeTint="D9"/>
          <w:sz w:val="32"/>
          <w:szCs w:val="32"/>
        </w:rPr>
        <w:t xml:space="preserve"> </w:t>
      </w:r>
      <w:r w:rsidRPr="006102AF">
        <w:rPr>
          <w:sz w:val="32"/>
          <w:szCs w:val="32"/>
        </w:rPr>
        <w:t>Price at which an entity would sell a promised good or service separately to a customer.</w:t>
      </w:r>
      <w:r>
        <w:rPr>
          <w:sz w:val="32"/>
          <w:szCs w:val="32"/>
        </w:rPr>
        <w:t xml:space="preserve"> </w:t>
      </w:r>
      <w:r w:rsidRPr="00143C90">
        <w:rPr>
          <w:color w:val="262626" w:themeColor="text1" w:themeTint="D9"/>
          <w:sz w:val="32"/>
          <w:szCs w:val="32"/>
        </w:rPr>
        <w:t>SSP is always expressed as a single-point observation or estimate of value</w:t>
      </w:r>
      <w:r w:rsidR="00A62B83">
        <w:rPr>
          <w:color w:val="262626" w:themeColor="text1" w:themeTint="D9"/>
          <w:sz w:val="32"/>
          <w:szCs w:val="32"/>
        </w:rPr>
        <w:t xml:space="preserve">. </w:t>
      </w:r>
    </w:p>
    <w:p w14:paraId="1E92110C" w14:textId="620F24C0" w:rsidR="006102AF" w:rsidRDefault="00A62B83" w:rsidP="00FC2612">
      <w:pPr>
        <w:rPr>
          <w:color w:val="262626" w:themeColor="text1" w:themeTint="D9"/>
          <w:sz w:val="32"/>
          <w:szCs w:val="32"/>
        </w:rPr>
      </w:pPr>
      <w:r>
        <w:rPr>
          <w:color w:val="262626" w:themeColor="text1" w:themeTint="D9"/>
          <w:sz w:val="32"/>
          <w:szCs w:val="32"/>
        </w:rPr>
        <w:t>T</w:t>
      </w:r>
      <w:r w:rsidR="006102AF" w:rsidRPr="00143C90">
        <w:rPr>
          <w:color w:val="262626" w:themeColor="text1" w:themeTint="D9"/>
          <w:sz w:val="32"/>
          <w:szCs w:val="32"/>
        </w:rPr>
        <w:t xml:space="preserve">he directly observable SSP of Product A is $50, the estimated SSP of Product B under an adjusted market assessment approach is $25, and the estimated SSP of Product C under an expected cost plus a margin approach is $75). </w:t>
      </w:r>
    </w:p>
    <w:p w14:paraId="7A01CC76" w14:textId="2B562004" w:rsidR="00A62B83" w:rsidRPr="00A62B83" w:rsidRDefault="00A62B83" w:rsidP="00FC2612">
      <w:pPr>
        <w:rPr>
          <w:rFonts w:ascii="Georgia" w:hAnsi="Georgia"/>
          <w:color w:val="262626" w:themeColor="text1" w:themeTint="D9"/>
          <w:sz w:val="32"/>
          <w:szCs w:val="32"/>
        </w:rPr>
      </w:pPr>
      <w:r w:rsidRPr="00A62B83">
        <w:rPr>
          <w:rFonts w:ascii="Georgia" w:hAnsi="Georgia"/>
          <w:color w:val="262626" w:themeColor="text1" w:themeTint="D9"/>
          <w:sz w:val="32"/>
          <w:szCs w:val="32"/>
        </w:rPr>
        <w:t>W</w:t>
      </w:r>
      <w:r w:rsidRPr="00A62B83">
        <w:rPr>
          <w:rFonts w:ascii="Georgia" w:hAnsi="Georgia"/>
          <w:color w:val="262626" w:themeColor="text1" w:themeTint="D9"/>
          <w:sz w:val="32"/>
          <w:szCs w:val="32"/>
        </w:rPr>
        <w:t>hen establishing the SSP. If a range is used, an entity must assess the appropriateness of the range and how to allocate the transaction price.</w:t>
      </w:r>
    </w:p>
    <w:p w14:paraId="18C6F4B6" w14:textId="7AB0B938" w:rsidR="00A62B83" w:rsidRPr="00A62B83" w:rsidRDefault="00A62B83" w:rsidP="00FC2612">
      <w:pPr>
        <w:rPr>
          <w:rFonts w:ascii="Georgia" w:hAnsi="Georgia"/>
          <w:color w:val="262626" w:themeColor="text1" w:themeTint="D9"/>
          <w:sz w:val="32"/>
          <w:szCs w:val="32"/>
        </w:rPr>
      </w:pPr>
      <w:r w:rsidRPr="00A62B83">
        <w:rPr>
          <w:rFonts w:ascii="Georgia" w:hAnsi="Georgia"/>
          <w:color w:val="262626" w:themeColor="text1" w:themeTint="D9"/>
          <w:sz w:val="32"/>
          <w:szCs w:val="32"/>
        </w:rPr>
        <w:t xml:space="preserve"> If the stated selling prices for goods and services sold are outside the range, the entity must apply a consistent accounting policy when allocating the transaction price.</w:t>
      </w:r>
    </w:p>
    <w:p w14:paraId="2CE2447F" w14:textId="7F6A9586" w:rsidR="00A62B83" w:rsidRPr="00A62B83" w:rsidRDefault="00A62B83" w:rsidP="00FC2612">
      <w:pPr>
        <w:rPr>
          <w:rFonts w:ascii="Georgia" w:hAnsi="Georgia"/>
          <w:color w:val="262626" w:themeColor="text1" w:themeTint="D9"/>
          <w:sz w:val="32"/>
          <w:szCs w:val="32"/>
        </w:rPr>
      </w:pPr>
    </w:p>
    <w:p w14:paraId="36F72A45" w14:textId="68BEA3BC" w:rsidR="00A62B83" w:rsidRDefault="00A62B83" w:rsidP="00FC2612">
      <w:pPr>
        <w:rPr>
          <w:rFonts w:ascii="Georgia" w:hAnsi="Georgia"/>
          <w:b/>
          <w:bCs/>
          <w:noProof/>
          <w:color w:val="000000" w:themeColor="text1"/>
          <w:sz w:val="32"/>
          <w:szCs w:val="32"/>
          <w:lang w:val="en-US"/>
        </w:rPr>
      </w:pPr>
      <w:r>
        <w:rPr>
          <w:color w:val="262626" w:themeColor="text1" w:themeTint="D9"/>
          <w:sz w:val="32"/>
          <w:szCs w:val="32"/>
        </w:rPr>
        <w:lastRenderedPageBreak/>
        <w:t xml:space="preserve">                           </w:t>
      </w:r>
      <w:r>
        <w:rPr>
          <w:rFonts w:ascii="Georgia" w:hAnsi="Georgia"/>
          <w:b/>
          <w:bCs/>
          <w:noProof/>
          <w:color w:val="000000" w:themeColor="text1"/>
          <w:sz w:val="32"/>
          <w:szCs w:val="32"/>
          <w:lang w:val="en-US"/>
        </w:rPr>
        <w:t xml:space="preserve"> </w:t>
      </w:r>
      <w:r>
        <w:rPr>
          <w:rFonts w:ascii="Georgia" w:hAnsi="Georgia"/>
          <w:b/>
          <w:bCs/>
          <w:noProof/>
          <w:color w:val="000000" w:themeColor="text1"/>
          <w:sz w:val="32"/>
          <w:szCs w:val="32"/>
          <w:lang w:val="en-US"/>
        </w:rPr>
        <w:drawing>
          <wp:inline distT="0" distB="0" distL="0" distR="0" wp14:anchorId="10BB9094" wp14:editId="3DD664CD">
            <wp:extent cx="5821680" cy="27127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822200" cy="2712962"/>
                    </a:xfrm>
                    <a:prstGeom prst="rect">
                      <a:avLst/>
                    </a:prstGeom>
                  </pic:spPr>
                </pic:pic>
              </a:graphicData>
            </a:graphic>
          </wp:inline>
        </w:drawing>
      </w:r>
    </w:p>
    <w:p w14:paraId="749C5004" w14:textId="73FB781F" w:rsidR="00C24A15" w:rsidRDefault="00C24A15" w:rsidP="00FC2612">
      <w:pPr>
        <w:rPr>
          <w:rFonts w:ascii="Georgia" w:hAnsi="Georgia"/>
          <w:b/>
          <w:bCs/>
          <w:noProof/>
          <w:color w:val="000000" w:themeColor="text1"/>
          <w:sz w:val="32"/>
          <w:szCs w:val="32"/>
          <w:lang w:val="en-US"/>
        </w:rPr>
      </w:pPr>
    </w:p>
    <w:p w14:paraId="113C220B" w14:textId="4AF2BF4F" w:rsidR="00C24A15" w:rsidRDefault="00C24A15" w:rsidP="00FC2612">
      <w:pPr>
        <w:rPr>
          <w:rFonts w:ascii="Georgia" w:hAnsi="Georgia"/>
          <w:b/>
          <w:bCs/>
          <w:noProof/>
          <w:color w:val="000000" w:themeColor="text1"/>
          <w:sz w:val="32"/>
          <w:szCs w:val="32"/>
          <w:lang w:val="en-US"/>
        </w:rPr>
      </w:pPr>
    </w:p>
    <w:p w14:paraId="5DA22632" w14:textId="30A0269B" w:rsidR="00C24A15" w:rsidRDefault="00C24A15" w:rsidP="00FC2612">
      <w:pPr>
        <w:rPr>
          <w:rFonts w:ascii="Georgia" w:hAnsi="Georgia"/>
          <w:b/>
          <w:bCs/>
          <w:noProof/>
          <w:color w:val="000000" w:themeColor="text1"/>
          <w:sz w:val="32"/>
          <w:szCs w:val="32"/>
          <w:lang w:val="en-US"/>
        </w:rPr>
      </w:pPr>
    </w:p>
    <w:p w14:paraId="6034433D" w14:textId="2B77FC32" w:rsidR="00C24A15" w:rsidRDefault="00C24A15" w:rsidP="00FC2612">
      <w:pPr>
        <w:rPr>
          <w:rFonts w:ascii="Georgia" w:hAnsi="Georgia"/>
          <w:b/>
          <w:bCs/>
          <w:color w:val="262626" w:themeColor="text1" w:themeTint="D9"/>
          <w:sz w:val="32"/>
          <w:szCs w:val="32"/>
          <w:lang w:val="en-US"/>
        </w:rPr>
      </w:pPr>
      <w:r>
        <w:rPr>
          <w:rFonts w:ascii="Georgia" w:hAnsi="Georgia"/>
          <w:b/>
          <w:bCs/>
          <w:noProof/>
          <w:color w:val="000000" w:themeColor="text1"/>
          <w:sz w:val="32"/>
          <w:szCs w:val="32"/>
          <w:lang w:val="en-US"/>
        </w:rPr>
        <w:t xml:space="preserve">     </w:t>
      </w:r>
      <w:r>
        <w:rPr>
          <w:rFonts w:ascii="Georgia" w:hAnsi="Georgia"/>
          <w:b/>
          <w:bCs/>
          <w:color w:val="262626" w:themeColor="text1" w:themeTint="D9"/>
          <w:sz w:val="32"/>
          <w:szCs w:val="32"/>
          <w:lang w:val="en-US"/>
        </w:rPr>
        <w:t xml:space="preserve">    </w:t>
      </w:r>
      <w:r>
        <w:rPr>
          <w:rFonts w:ascii="Georgia" w:hAnsi="Georgia"/>
          <w:b/>
          <w:bCs/>
          <w:noProof/>
          <w:color w:val="000000" w:themeColor="text1"/>
          <w:sz w:val="32"/>
          <w:szCs w:val="32"/>
          <w:lang w:val="en-US"/>
        </w:rPr>
        <w:drawing>
          <wp:inline distT="0" distB="0" distL="0" distR="0" wp14:anchorId="1FEC1A45" wp14:editId="4B127075">
            <wp:extent cx="6041158" cy="2834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6166383" cy="2892750"/>
                    </a:xfrm>
                    <a:prstGeom prst="rect">
                      <a:avLst/>
                    </a:prstGeom>
                  </pic:spPr>
                </pic:pic>
              </a:graphicData>
            </a:graphic>
          </wp:inline>
        </w:drawing>
      </w:r>
    </w:p>
    <w:p w14:paraId="3512DED6" w14:textId="5CC2C434" w:rsidR="00A364B8" w:rsidRDefault="00A364B8" w:rsidP="00FC2612">
      <w:pPr>
        <w:rPr>
          <w:rFonts w:ascii="Georgia" w:hAnsi="Georgia"/>
          <w:b/>
          <w:bCs/>
          <w:color w:val="262626" w:themeColor="text1" w:themeTint="D9"/>
          <w:sz w:val="32"/>
          <w:szCs w:val="32"/>
          <w:lang w:val="en-US"/>
        </w:rPr>
      </w:pPr>
    </w:p>
    <w:p w14:paraId="36EDD9A1" w14:textId="5DC2CE0D" w:rsidR="00A364B8" w:rsidRDefault="00A364B8" w:rsidP="00FC2612">
      <w:pPr>
        <w:rPr>
          <w:rFonts w:ascii="Georgia" w:hAnsi="Georgia"/>
          <w:b/>
          <w:bCs/>
          <w:color w:val="262626" w:themeColor="text1" w:themeTint="D9"/>
          <w:sz w:val="32"/>
          <w:szCs w:val="32"/>
          <w:lang w:val="en-US"/>
        </w:rPr>
      </w:pPr>
    </w:p>
    <w:p w14:paraId="1567BD64" w14:textId="2D22BB96" w:rsidR="00A364B8" w:rsidRDefault="00A364B8" w:rsidP="00FC2612">
      <w:pPr>
        <w:rPr>
          <w:rFonts w:ascii="Georgia" w:hAnsi="Georgia"/>
          <w:b/>
          <w:bCs/>
          <w:noProof/>
          <w:color w:val="000000" w:themeColor="text1"/>
          <w:sz w:val="32"/>
          <w:szCs w:val="32"/>
          <w:lang w:val="en-US"/>
        </w:rPr>
      </w:pPr>
      <w:r>
        <w:rPr>
          <w:rFonts w:ascii="Georgia" w:hAnsi="Georgia"/>
          <w:b/>
          <w:bCs/>
          <w:noProof/>
          <w:color w:val="000000" w:themeColor="text1"/>
          <w:sz w:val="32"/>
          <w:szCs w:val="32"/>
          <w:lang w:val="en-US"/>
        </w:rPr>
        <w:lastRenderedPageBreak/>
        <w:t xml:space="preserve">        </w:t>
      </w:r>
      <w:r>
        <w:rPr>
          <w:rFonts w:ascii="Georgia" w:hAnsi="Georgia"/>
          <w:b/>
          <w:bCs/>
          <w:noProof/>
          <w:color w:val="000000" w:themeColor="text1"/>
          <w:sz w:val="32"/>
          <w:szCs w:val="32"/>
          <w:lang w:val="en-US"/>
        </w:rPr>
        <w:drawing>
          <wp:inline distT="0" distB="0" distL="0" distR="0" wp14:anchorId="1AB36E44" wp14:editId="6DF00CAA">
            <wp:extent cx="6096000" cy="3040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6096565" cy="3040662"/>
                    </a:xfrm>
                    <a:prstGeom prst="rect">
                      <a:avLst/>
                    </a:prstGeom>
                  </pic:spPr>
                </pic:pic>
              </a:graphicData>
            </a:graphic>
          </wp:inline>
        </w:drawing>
      </w:r>
    </w:p>
    <w:p w14:paraId="28833DA3" w14:textId="18F58A0D" w:rsidR="00A364B8" w:rsidRDefault="00A364B8" w:rsidP="00FC2612">
      <w:pPr>
        <w:rPr>
          <w:rFonts w:ascii="Georgia" w:hAnsi="Georgia"/>
          <w:b/>
          <w:bCs/>
          <w:noProof/>
          <w:color w:val="000000" w:themeColor="text1"/>
          <w:sz w:val="32"/>
          <w:szCs w:val="32"/>
          <w:lang w:val="en-US"/>
        </w:rPr>
      </w:pPr>
    </w:p>
    <w:p w14:paraId="1EBDD9CF" w14:textId="74599FCE" w:rsidR="00A364B8" w:rsidRDefault="00A364B8" w:rsidP="00FC2612">
      <w:pPr>
        <w:rPr>
          <w:rFonts w:ascii="Georgia" w:hAnsi="Georgia"/>
          <w:b/>
          <w:bCs/>
          <w:noProof/>
          <w:color w:val="000000" w:themeColor="text1"/>
          <w:sz w:val="32"/>
          <w:szCs w:val="32"/>
          <w:lang w:val="en-US"/>
        </w:rPr>
      </w:pPr>
    </w:p>
    <w:p w14:paraId="2D549839" w14:textId="47CF8F55" w:rsidR="00A364B8" w:rsidRDefault="00A364B8" w:rsidP="00FC2612">
      <w:pPr>
        <w:rPr>
          <w:rFonts w:ascii="Georgia" w:hAnsi="Georgia"/>
          <w:i/>
          <w:iCs/>
          <w:noProof/>
          <w:color w:val="7F7F7F" w:themeColor="text1" w:themeTint="80"/>
          <w:sz w:val="36"/>
          <w:szCs w:val="36"/>
          <w:lang w:val="en-US"/>
        </w:rPr>
      </w:pPr>
      <w:r>
        <w:rPr>
          <w:rFonts w:ascii="Georgia" w:hAnsi="Georgia"/>
          <w:b/>
          <w:bCs/>
          <w:noProof/>
          <w:color w:val="000000" w:themeColor="text1"/>
          <w:sz w:val="32"/>
          <w:szCs w:val="32"/>
          <w:lang w:val="en-US"/>
        </w:rPr>
        <w:t xml:space="preserve">                           </w:t>
      </w:r>
      <w:r w:rsidRPr="000C3CA0">
        <w:rPr>
          <w:rFonts w:ascii="Georgia" w:hAnsi="Georgia"/>
          <w:b/>
          <w:bCs/>
          <w:i/>
          <w:iCs/>
          <w:noProof/>
          <w:color w:val="7F7F7F" w:themeColor="text1" w:themeTint="80"/>
          <w:sz w:val="36"/>
          <w:szCs w:val="36"/>
          <w:u w:val="single"/>
          <w:lang w:val="en-US"/>
        </w:rPr>
        <w:t>Fully Allocated Cost</w:t>
      </w:r>
      <w:r w:rsidR="004C1DA5" w:rsidRPr="000C3CA0">
        <w:rPr>
          <w:rFonts w:ascii="Georgia" w:hAnsi="Georgia"/>
          <w:b/>
          <w:bCs/>
          <w:i/>
          <w:iCs/>
          <w:noProof/>
          <w:color w:val="7F7F7F" w:themeColor="text1" w:themeTint="80"/>
          <w:sz w:val="36"/>
          <w:szCs w:val="36"/>
          <w:u w:val="single"/>
          <w:lang w:val="en-US"/>
        </w:rPr>
        <w:t>(FAC)</w:t>
      </w:r>
      <w:r w:rsidRPr="004C1DA5">
        <w:rPr>
          <w:rFonts w:ascii="Georgia" w:hAnsi="Georgia"/>
          <w:i/>
          <w:iCs/>
          <w:noProof/>
          <w:color w:val="7F7F7F" w:themeColor="text1" w:themeTint="80"/>
          <w:sz w:val="36"/>
          <w:szCs w:val="36"/>
          <w:lang w:val="en-US"/>
        </w:rPr>
        <w:t>:</w:t>
      </w:r>
    </w:p>
    <w:p w14:paraId="00BA7BC9" w14:textId="77777777" w:rsidR="000C3CA0" w:rsidRPr="004C1DA5" w:rsidRDefault="000C3CA0" w:rsidP="00FC2612">
      <w:pPr>
        <w:rPr>
          <w:rFonts w:ascii="Georgia" w:hAnsi="Georgia"/>
          <w:i/>
          <w:iCs/>
          <w:noProof/>
          <w:color w:val="7F7F7F" w:themeColor="text1" w:themeTint="80"/>
          <w:sz w:val="36"/>
          <w:szCs w:val="36"/>
          <w:lang w:val="en-US"/>
        </w:rPr>
      </w:pPr>
    </w:p>
    <w:p w14:paraId="006C8A6A" w14:textId="22969A4A" w:rsidR="00A364B8" w:rsidRPr="004002B9" w:rsidRDefault="004002B9" w:rsidP="00FC2612">
      <w:pPr>
        <w:rPr>
          <w:rFonts w:ascii="Georgia" w:hAnsi="Georgia"/>
          <w:noProof/>
          <w:color w:val="262626" w:themeColor="text1" w:themeTint="D9"/>
          <w:sz w:val="32"/>
          <w:szCs w:val="32"/>
          <w:lang w:val="en-US"/>
        </w:rPr>
      </w:pPr>
      <w:r w:rsidRPr="004002B9">
        <w:rPr>
          <w:rFonts w:ascii="Segoe UI" w:hAnsi="Segoe UI" w:cs="Segoe UI"/>
          <w:color w:val="262626" w:themeColor="text1" w:themeTint="D9"/>
          <w:sz w:val="32"/>
          <w:szCs w:val="32"/>
          <w:shd w:val="clear" w:color="auto" w:fill="FFFFFF"/>
        </w:rPr>
        <w:t>The C</w:t>
      </w:r>
      <w:r w:rsidRPr="004002B9">
        <w:rPr>
          <w:rFonts w:ascii="Segoe UI" w:hAnsi="Segoe UI" w:cs="Segoe UI"/>
          <w:color w:val="262626" w:themeColor="text1" w:themeTint="D9"/>
          <w:sz w:val="32"/>
          <w:szCs w:val="32"/>
          <w:shd w:val="clear" w:color="auto" w:fill="FFFFFF"/>
        </w:rPr>
        <w:t>ost of the party providing such Service and/or Additional Service, including all amounts for compensation and benefits (including any incentive amounts awarded pertaining to the Services and/or Additional services provided hereunder), technology expenses, occupancy, office and equipment expense, and third-party payments incurred in connection with the provision of such Service</w:t>
      </w:r>
      <w:r>
        <w:rPr>
          <w:rFonts w:ascii="Segoe UI" w:hAnsi="Segoe UI" w:cs="Segoe UI"/>
          <w:color w:val="262626" w:themeColor="text1" w:themeTint="D9"/>
          <w:sz w:val="32"/>
          <w:szCs w:val="32"/>
          <w:shd w:val="clear" w:color="auto" w:fill="FFFFFF"/>
        </w:rPr>
        <w:t xml:space="preserve"> or </w:t>
      </w:r>
      <w:r w:rsidRPr="004002B9">
        <w:rPr>
          <w:rFonts w:ascii="Segoe UI" w:hAnsi="Segoe UI" w:cs="Segoe UI"/>
          <w:color w:val="262626" w:themeColor="text1" w:themeTint="D9"/>
          <w:sz w:val="32"/>
          <w:szCs w:val="32"/>
          <w:shd w:val="clear" w:color="auto" w:fill="FFFFFF"/>
        </w:rPr>
        <w:t xml:space="preserve">Additional Service, plus  applicable </w:t>
      </w:r>
      <w:proofErr w:type="spellStart"/>
      <w:r w:rsidRPr="004002B9">
        <w:rPr>
          <w:rFonts w:ascii="Segoe UI" w:hAnsi="Segoe UI" w:cs="Segoe UI"/>
          <w:color w:val="262626" w:themeColor="text1" w:themeTint="D9"/>
          <w:sz w:val="32"/>
          <w:szCs w:val="32"/>
          <w:shd w:val="clear" w:color="auto" w:fill="FFFFFF"/>
        </w:rPr>
        <w:t>mark</w:t>
      </w:r>
      <w:r w:rsidR="00DF3B15">
        <w:rPr>
          <w:rFonts w:ascii="Segoe UI" w:hAnsi="Segoe UI" w:cs="Segoe UI"/>
          <w:color w:val="262626" w:themeColor="text1" w:themeTint="D9"/>
          <w:sz w:val="32"/>
          <w:szCs w:val="32"/>
          <w:shd w:val="clear" w:color="auto" w:fill="FFFFFF"/>
        </w:rPr>
        <w:t xml:space="preserve"> up</w:t>
      </w:r>
      <w:proofErr w:type="spellEnd"/>
      <w:r>
        <w:rPr>
          <w:rFonts w:ascii="Segoe UI" w:hAnsi="Segoe UI" w:cs="Segoe UI"/>
          <w:color w:val="262626" w:themeColor="text1" w:themeTint="D9"/>
          <w:sz w:val="32"/>
          <w:szCs w:val="32"/>
          <w:shd w:val="clear" w:color="auto" w:fill="FFFFFF"/>
        </w:rPr>
        <w:t xml:space="preserve"> </w:t>
      </w:r>
      <w:r w:rsidRPr="004002B9">
        <w:rPr>
          <w:rFonts w:ascii="Segoe UI" w:hAnsi="Segoe UI" w:cs="Segoe UI"/>
          <w:color w:val="262626" w:themeColor="text1" w:themeTint="D9"/>
          <w:sz w:val="32"/>
          <w:szCs w:val="32"/>
          <w:shd w:val="clear" w:color="auto" w:fill="FFFFFF"/>
        </w:rPr>
        <w:t xml:space="preserve">which shall initially be </w:t>
      </w:r>
      <w:r w:rsidRPr="000C3CA0">
        <w:rPr>
          <w:rFonts w:ascii="Segoe UI" w:hAnsi="Segoe UI" w:cs="Segoe UI"/>
          <w:b/>
          <w:bCs/>
          <w:color w:val="262626" w:themeColor="text1" w:themeTint="D9"/>
          <w:sz w:val="32"/>
          <w:szCs w:val="32"/>
          <w:shd w:val="clear" w:color="auto" w:fill="FFFFFF"/>
        </w:rPr>
        <w:t>15%</w:t>
      </w:r>
      <w:r w:rsidRPr="004002B9">
        <w:rPr>
          <w:rFonts w:ascii="Segoe UI" w:hAnsi="Segoe UI" w:cs="Segoe UI"/>
          <w:color w:val="262626" w:themeColor="text1" w:themeTint="D9"/>
          <w:sz w:val="32"/>
          <w:szCs w:val="32"/>
          <w:shd w:val="clear" w:color="auto" w:fill="FFFFFF"/>
        </w:rPr>
        <w:t xml:space="preserve"> and which may be adjusted from time to time as agreed to by the parties, including any Taxes payable as a result of performance of such Service </w:t>
      </w:r>
      <w:r>
        <w:rPr>
          <w:rFonts w:ascii="Segoe UI" w:hAnsi="Segoe UI" w:cs="Segoe UI"/>
          <w:color w:val="262626" w:themeColor="text1" w:themeTint="D9"/>
          <w:sz w:val="32"/>
          <w:szCs w:val="32"/>
          <w:shd w:val="clear" w:color="auto" w:fill="FFFFFF"/>
        </w:rPr>
        <w:t xml:space="preserve">or </w:t>
      </w:r>
      <w:r w:rsidRPr="004002B9">
        <w:rPr>
          <w:rFonts w:ascii="Segoe UI" w:hAnsi="Segoe UI" w:cs="Segoe UI"/>
          <w:color w:val="262626" w:themeColor="text1" w:themeTint="D9"/>
          <w:sz w:val="32"/>
          <w:szCs w:val="32"/>
          <w:shd w:val="clear" w:color="auto" w:fill="FFFFFF"/>
        </w:rPr>
        <w:t>Additional Service.</w:t>
      </w:r>
    </w:p>
    <w:p w14:paraId="5FDA71A2" w14:textId="3B1D2D29" w:rsidR="00A364B8" w:rsidRPr="004C1DA5" w:rsidRDefault="00A364B8" w:rsidP="00FC2612">
      <w:pPr>
        <w:rPr>
          <w:color w:val="262626" w:themeColor="text1" w:themeTint="D9"/>
          <w:sz w:val="32"/>
          <w:szCs w:val="32"/>
        </w:rPr>
      </w:pPr>
      <w:r w:rsidRPr="004C1DA5">
        <w:rPr>
          <w:color w:val="262626" w:themeColor="text1" w:themeTint="D9"/>
          <w:sz w:val="32"/>
          <w:szCs w:val="32"/>
        </w:rPr>
        <w:t xml:space="preserve">All costs are considered and allocated to all services provided by the network; commonly used in conjunction with a top-down model. </w:t>
      </w:r>
      <w:r w:rsidRPr="004C1DA5">
        <w:rPr>
          <w:color w:val="262626" w:themeColor="text1" w:themeTint="D9"/>
          <w:sz w:val="32"/>
          <w:szCs w:val="32"/>
        </w:rPr>
        <w:lastRenderedPageBreak/>
        <w:t>Resulting costs for services will be the highest possible and provide an indication of the cost ceiling</w:t>
      </w:r>
      <w:r w:rsidRPr="004C1DA5">
        <w:rPr>
          <w:color w:val="262626" w:themeColor="text1" w:themeTint="D9"/>
          <w:sz w:val="32"/>
          <w:szCs w:val="32"/>
        </w:rPr>
        <w:t>.</w:t>
      </w:r>
    </w:p>
    <w:p w14:paraId="695A618C" w14:textId="681C882C" w:rsidR="00A364B8" w:rsidRPr="004C1DA5" w:rsidRDefault="00A364B8" w:rsidP="00FC2612">
      <w:pPr>
        <w:rPr>
          <w:rFonts w:ascii="Verdana" w:hAnsi="Verdana"/>
          <w:color w:val="000000"/>
          <w:sz w:val="32"/>
          <w:szCs w:val="32"/>
          <w:shd w:val="clear" w:color="auto" w:fill="FFFFFF"/>
        </w:rPr>
      </w:pPr>
      <w:r w:rsidRPr="000C3CA0">
        <w:rPr>
          <w:rFonts w:ascii="Verdana" w:hAnsi="Verdana"/>
          <w:b/>
          <w:bCs/>
          <w:color w:val="000000"/>
          <w:sz w:val="32"/>
          <w:szCs w:val="32"/>
          <w:shd w:val="clear" w:color="auto" w:fill="FFFFFF"/>
        </w:rPr>
        <w:t>Margin pressure</w:t>
      </w:r>
      <w:r w:rsidRPr="004C1DA5">
        <w:rPr>
          <w:rFonts w:ascii="Verdana" w:hAnsi="Verdana"/>
          <w:color w:val="000000"/>
          <w:sz w:val="32"/>
          <w:szCs w:val="32"/>
          <w:shd w:val="clear" w:color="auto" w:fill="FFFFFF"/>
        </w:rPr>
        <w:t xml:space="preserve"> and the focus on performance management has in turn increased the importance of a correct,</w:t>
      </w:r>
      <w:r w:rsidR="004002B9" w:rsidRPr="004C1DA5">
        <w:rPr>
          <w:rFonts w:ascii="Verdana" w:hAnsi="Verdana"/>
          <w:color w:val="000000"/>
          <w:sz w:val="32"/>
          <w:szCs w:val="32"/>
          <w:shd w:val="clear" w:color="auto" w:fill="FFFFFF"/>
        </w:rPr>
        <w:t xml:space="preserve"> </w:t>
      </w:r>
      <w:r w:rsidRPr="004C1DA5">
        <w:rPr>
          <w:rFonts w:ascii="Verdana" w:hAnsi="Verdana"/>
          <w:color w:val="000000"/>
          <w:sz w:val="32"/>
          <w:szCs w:val="32"/>
          <w:shd w:val="clear" w:color="auto" w:fill="FFFFFF"/>
        </w:rPr>
        <w:t>cost allocation to make well informed decisions about product portfolio changes</w:t>
      </w:r>
      <w:r w:rsidR="004002B9" w:rsidRPr="004C1DA5">
        <w:rPr>
          <w:rFonts w:ascii="Verdana" w:hAnsi="Verdana"/>
          <w:color w:val="000000"/>
          <w:sz w:val="32"/>
          <w:szCs w:val="32"/>
          <w:shd w:val="clear" w:color="auto" w:fill="FFFFFF"/>
        </w:rPr>
        <w:t>.</w:t>
      </w:r>
    </w:p>
    <w:p w14:paraId="29A0F4F3" w14:textId="1EE1D683" w:rsidR="004002B9" w:rsidRDefault="004002B9" w:rsidP="00FC2612">
      <w:pPr>
        <w:rPr>
          <w:rFonts w:ascii="Verdana" w:hAnsi="Verdana"/>
          <w:color w:val="000000"/>
          <w:sz w:val="27"/>
          <w:szCs w:val="27"/>
          <w:shd w:val="clear" w:color="auto" w:fill="FFFFFF"/>
        </w:rPr>
      </w:pPr>
    </w:p>
    <w:p w14:paraId="58EF16F6" w14:textId="0CADF63A" w:rsidR="004002B9" w:rsidRPr="004C1DA5" w:rsidRDefault="004002B9" w:rsidP="00FC2612">
      <w:pPr>
        <w:rPr>
          <w:rFonts w:ascii="Verdana" w:hAnsi="Verdana"/>
          <w:color w:val="000000"/>
          <w:sz w:val="36"/>
          <w:szCs w:val="36"/>
          <w:shd w:val="clear" w:color="auto" w:fill="FFFFFF"/>
        </w:rPr>
      </w:pPr>
      <w:r>
        <w:rPr>
          <w:rFonts w:ascii="Verdana" w:hAnsi="Verdana"/>
          <w:color w:val="000000"/>
          <w:sz w:val="27"/>
          <w:szCs w:val="27"/>
          <w:shd w:val="clear" w:color="auto" w:fill="FFFFFF"/>
        </w:rPr>
        <w:t xml:space="preserve">     </w:t>
      </w:r>
      <w:r w:rsidR="004C1DA5">
        <w:rPr>
          <w:rFonts w:ascii="Verdana" w:hAnsi="Verdana"/>
          <w:color w:val="000000"/>
          <w:sz w:val="27"/>
          <w:szCs w:val="27"/>
          <w:shd w:val="clear" w:color="auto" w:fill="FFFFFF"/>
        </w:rPr>
        <w:t xml:space="preserve">    </w:t>
      </w:r>
      <w:r>
        <w:rPr>
          <w:rFonts w:ascii="Verdana" w:hAnsi="Verdana"/>
          <w:color w:val="000000"/>
          <w:sz w:val="27"/>
          <w:szCs w:val="27"/>
          <w:shd w:val="clear" w:color="auto" w:fill="FFFFFF"/>
        </w:rPr>
        <w:t xml:space="preserve"> </w:t>
      </w:r>
      <w:r w:rsidRPr="000C3CA0">
        <w:rPr>
          <w:rFonts w:ascii="Verdana" w:hAnsi="Verdana"/>
          <w:b/>
          <w:bCs/>
          <w:i/>
          <w:iCs/>
          <w:color w:val="7F7F7F" w:themeColor="text1" w:themeTint="80"/>
          <w:sz w:val="36"/>
          <w:szCs w:val="36"/>
          <w:u w:val="single"/>
          <w:shd w:val="clear" w:color="auto" w:fill="FFFFFF"/>
        </w:rPr>
        <w:t xml:space="preserve">Long </w:t>
      </w:r>
      <w:r w:rsidR="004C1DA5" w:rsidRPr="000C3CA0">
        <w:rPr>
          <w:rFonts w:ascii="Verdana" w:hAnsi="Verdana"/>
          <w:b/>
          <w:bCs/>
          <w:i/>
          <w:iCs/>
          <w:color w:val="7F7F7F" w:themeColor="text1" w:themeTint="80"/>
          <w:sz w:val="36"/>
          <w:szCs w:val="36"/>
          <w:u w:val="single"/>
          <w:shd w:val="clear" w:color="auto" w:fill="FFFFFF"/>
        </w:rPr>
        <w:t xml:space="preserve">Run Incremental </w:t>
      </w:r>
      <w:proofErr w:type="gramStart"/>
      <w:r w:rsidR="004C1DA5" w:rsidRPr="000C3CA0">
        <w:rPr>
          <w:rFonts w:ascii="Verdana" w:hAnsi="Verdana"/>
          <w:b/>
          <w:bCs/>
          <w:i/>
          <w:iCs/>
          <w:color w:val="7F7F7F" w:themeColor="text1" w:themeTint="80"/>
          <w:sz w:val="36"/>
          <w:szCs w:val="36"/>
          <w:u w:val="single"/>
          <w:shd w:val="clear" w:color="auto" w:fill="FFFFFF"/>
        </w:rPr>
        <w:t>Cost(</w:t>
      </w:r>
      <w:proofErr w:type="gramEnd"/>
      <w:r w:rsidR="004C1DA5" w:rsidRPr="000C3CA0">
        <w:rPr>
          <w:rFonts w:ascii="Verdana" w:hAnsi="Verdana"/>
          <w:b/>
          <w:bCs/>
          <w:i/>
          <w:iCs/>
          <w:color w:val="7F7F7F" w:themeColor="text1" w:themeTint="80"/>
          <w:sz w:val="36"/>
          <w:szCs w:val="36"/>
          <w:u w:val="single"/>
          <w:shd w:val="clear" w:color="auto" w:fill="FFFFFF"/>
        </w:rPr>
        <w:t>LRIC)</w:t>
      </w:r>
      <w:r w:rsidR="004C1DA5">
        <w:rPr>
          <w:rFonts w:ascii="Verdana" w:hAnsi="Verdana"/>
          <w:color w:val="7F7F7F" w:themeColor="text1" w:themeTint="80"/>
          <w:sz w:val="36"/>
          <w:szCs w:val="36"/>
          <w:shd w:val="clear" w:color="auto" w:fill="FFFFFF"/>
        </w:rPr>
        <w:t>:</w:t>
      </w:r>
    </w:p>
    <w:p w14:paraId="6DEAC2AE" w14:textId="77777777" w:rsidR="004002B9" w:rsidRDefault="004002B9" w:rsidP="00FC2612">
      <w:pPr>
        <w:rPr>
          <w:rFonts w:ascii="Verdana" w:hAnsi="Verdana"/>
          <w:color w:val="000000"/>
          <w:sz w:val="27"/>
          <w:szCs w:val="27"/>
          <w:shd w:val="clear" w:color="auto" w:fill="FFFFFF"/>
        </w:rPr>
      </w:pPr>
    </w:p>
    <w:p w14:paraId="6F5D9F28" w14:textId="77777777" w:rsidR="004C1DA5" w:rsidRPr="000C3CA0" w:rsidRDefault="004C1DA5" w:rsidP="00FC2612">
      <w:pPr>
        <w:rPr>
          <w:color w:val="262626" w:themeColor="text1" w:themeTint="D9"/>
          <w:sz w:val="32"/>
          <w:szCs w:val="32"/>
        </w:rPr>
      </w:pPr>
      <w:r w:rsidRPr="000C3CA0">
        <w:rPr>
          <w:color w:val="262626" w:themeColor="text1" w:themeTint="D9"/>
          <w:sz w:val="32"/>
          <w:szCs w:val="32"/>
        </w:rPr>
        <w:t xml:space="preserve">LRIC, only incremental costs </w:t>
      </w:r>
      <w:r w:rsidRPr="000C3CA0">
        <w:rPr>
          <w:color w:val="262626" w:themeColor="text1" w:themeTint="D9"/>
          <w:sz w:val="32"/>
          <w:szCs w:val="32"/>
        </w:rPr>
        <w:t xml:space="preserve">or </w:t>
      </w:r>
      <w:r w:rsidRPr="000C3CA0">
        <w:rPr>
          <w:color w:val="262626" w:themeColor="text1" w:themeTint="D9"/>
          <w:sz w:val="32"/>
          <w:szCs w:val="32"/>
        </w:rPr>
        <w:t xml:space="preserve">service-specific fixed costs are allocated to services. If joint and common costs are allocated through mark-ups, the LRIC method will begin to resemble FAC. </w:t>
      </w:r>
    </w:p>
    <w:p w14:paraId="62E94C44" w14:textId="1CAB20BD" w:rsidR="004002B9" w:rsidRPr="000C3CA0" w:rsidRDefault="004C1DA5" w:rsidP="00FC2612">
      <w:pPr>
        <w:rPr>
          <w:color w:val="262626" w:themeColor="text1" w:themeTint="D9"/>
          <w:sz w:val="32"/>
          <w:szCs w:val="32"/>
        </w:rPr>
      </w:pPr>
      <w:r w:rsidRPr="000C3CA0">
        <w:rPr>
          <w:color w:val="262626" w:themeColor="text1" w:themeTint="D9"/>
          <w:sz w:val="32"/>
          <w:szCs w:val="32"/>
        </w:rPr>
        <w:t>Resulting costs for services will be minimal and provide an indication of the cost floor</w:t>
      </w:r>
      <w:r w:rsidRPr="000C3CA0">
        <w:rPr>
          <w:color w:val="262626" w:themeColor="text1" w:themeTint="D9"/>
          <w:sz w:val="32"/>
          <w:szCs w:val="32"/>
        </w:rPr>
        <w:t>.</w:t>
      </w:r>
    </w:p>
    <w:p w14:paraId="6C13BDD0" w14:textId="4C65B585" w:rsidR="004C1DA5" w:rsidRDefault="004C1DA5" w:rsidP="00FC2612">
      <w:pPr>
        <w:rPr>
          <w:sz w:val="28"/>
          <w:szCs w:val="28"/>
        </w:rPr>
      </w:pPr>
    </w:p>
    <w:p w14:paraId="74F18AF3" w14:textId="5E69CD57" w:rsidR="004C1DA5" w:rsidRDefault="004C1DA5" w:rsidP="00FC2612">
      <w:pPr>
        <w:rPr>
          <w:sz w:val="28"/>
          <w:szCs w:val="28"/>
        </w:rPr>
      </w:pPr>
      <w:r>
        <w:rPr>
          <w:sz w:val="28"/>
          <w:szCs w:val="28"/>
        </w:rPr>
        <w:t xml:space="preserve">                     </w:t>
      </w:r>
      <w:r>
        <w:rPr>
          <w:rFonts w:ascii="Georgia" w:hAnsi="Georgia"/>
          <w:noProof/>
          <w:color w:val="000000" w:themeColor="text1"/>
          <w:sz w:val="28"/>
          <w:szCs w:val="28"/>
          <w:lang w:val="en-US"/>
        </w:rPr>
        <w:drawing>
          <wp:inline distT="0" distB="0" distL="0" distR="0" wp14:anchorId="08E5E161" wp14:editId="66802DCC">
            <wp:extent cx="4168140" cy="31546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4168505" cy="3154956"/>
                    </a:xfrm>
                    <a:prstGeom prst="rect">
                      <a:avLst/>
                    </a:prstGeom>
                  </pic:spPr>
                </pic:pic>
              </a:graphicData>
            </a:graphic>
          </wp:inline>
        </w:drawing>
      </w:r>
    </w:p>
    <w:p w14:paraId="1BF76178" w14:textId="2ED10391" w:rsidR="004C1DA5" w:rsidRDefault="004C1DA5" w:rsidP="00FC2612">
      <w:pPr>
        <w:rPr>
          <w:sz w:val="28"/>
          <w:szCs w:val="28"/>
        </w:rPr>
      </w:pPr>
    </w:p>
    <w:p w14:paraId="7399DAF2" w14:textId="486ED571" w:rsidR="00B51366" w:rsidRDefault="000C3CA0" w:rsidP="00FC2612">
      <w:pPr>
        <w:rPr>
          <w:color w:val="262626" w:themeColor="text1" w:themeTint="D9"/>
          <w:sz w:val="32"/>
          <w:szCs w:val="32"/>
        </w:rPr>
      </w:pPr>
      <w:r w:rsidRPr="000C3CA0">
        <w:rPr>
          <w:color w:val="262626" w:themeColor="text1" w:themeTint="D9"/>
          <w:sz w:val="32"/>
          <w:szCs w:val="32"/>
        </w:rPr>
        <w:lastRenderedPageBreak/>
        <w:t>Due to continual technological changes in transmission and receiving technology, Shockwave re-writes approximately 20% of the software's algorithm code on an annual basis</w:t>
      </w:r>
      <w:r w:rsidRPr="000C3CA0">
        <w:rPr>
          <w:color w:val="262626" w:themeColor="text1" w:themeTint="D9"/>
          <w:sz w:val="32"/>
          <w:szCs w:val="32"/>
        </w:rPr>
        <w:t xml:space="preserve">. </w:t>
      </w:r>
      <w:r w:rsidRPr="000C3CA0">
        <w:rPr>
          <w:color w:val="262626" w:themeColor="text1" w:themeTint="D9"/>
          <w:sz w:val="32"/>
          <w:szCs w:val="32"/>
        </w:rPr>
        <w:t>Long-term growth is expected to equal 2% to 3%</w:t>
      </w:r>
      <w:r w:rsidR="00B51366">
        <w:rPr>
          <w:color w:val="262626" w:themeColor="text1" w:themeTint="D9"/>
          <w:sz w:val="32"/>
          <w:szCs w:val="32"/>
        </w:rPr>
        <w:t>.</w:t>
      </w:r>
    </w:p>
    <w:p w14:paraId="2382A526" w14:textId="40DC39A4" w:rsidR="004C1DA5" w:rsidRDefault="000C3CA0" w:rsidP="00FC2612">
      <w:pPr>
        <w:rPr>
          <w:color w:val="262626" w:themeColor="text1" w:themeTint="D9"/>
          <w:sz w:val="32"/>
          <w:szCs w:val="32"/>
        </w:rPr>
      </w:pPr>
      <w:r w:rsidRPr="000C3CA0">
        <w:rPr>
          <w:color w:val="262626" w:themeColor="text1" w:themeTint="D9"/>
          <w:sz w:val="32"/>
          <w:szCs w:val="32"/>
        </w:rPr>
        <w:t xml:space="preserve"> The internal rate of return of 12% reflects a market</w:t>
      </w:r>
      <w:r w:rsidRPr="000C3CA0">
        <w:rPr>
          <w:color w:val="262626" w:themeColor="text1" w:themeTint="D9"/>
          <w:sz w:val="32"/>
          <w:szCs w:val="32"/>
        </w:rPr>
        <w:t xml:space="preserve"> based</w:t>
      </w:r>
      <w:r w:rsidRPr="000C3CA0">
        <w:rPr>
          <w:color w:val="262626" w:themeColor="text1" w:themeTint="D9"/>
          <w:sz w:val="32"/>
          <w:szCs w:val="32"/>
        </w:rPr>
        <w:t xml:space="preserve"> an after-tax cost of debt between 5%-6% and a cost of equity between 15% to 16%</w:t>
      </w:r>
      <w:r w:rsidRPr="000C3CA0">
        <w:rPr>
          <w:color w:val="262626" w:themeColor="text1" w:themeTint="D9"/>
          <w:sz w:val="32"/>
          <w:szCs w:val="32"/>
        </w:rPr>
        <w:t>.</w:t>
      </w:r>
    </w:p>
    <w:p w14:paraId="5B9C12E8" w14:textId="18D78598" w:rsidR="00B51366" w:rsidRPr="001139A7" w:rsidRDefault="001139A7" w:rsidP="00FC2612">
      <w:pPr>
        <w:rPr>
          <w:color w:val="262626" w:themeColor="text1" w:themeTint="D9"/>
          <w:sz w:val="32"/>
          <w:szCs w:val="32"/>
        </w:rPr>
      </w:pPr>
      <w:r w:rsidRPr="001139A7">
        <w:rPr>
          <w:color w:val="262626" w:themeColor="text1" w:themeTint="D9"/>
          <w:sz w:val="32"/>
          <w:szCs w:val="32"/>
        </w:rPr>
        <w:t>M</w:t>
      </w:r>
      <w:r w:rsidR="00B51366" w:rsidRPr="001139A7">
        <w:rPr>
          <w:color w:val="262626" w:themeColor="text1" w:themeTint="D9"/>
          <w:sz w:val="32"/>
          <w:szCs w:val="32"/>
        </w:rPr>
        <w:t xml:space="preserve">ostly relating to differences </w:t>
      </w:r>
      <w:r w:rsidRPr="001139A7">
        <w:rPr>
          <w:color w:val="262626" w:themeColor="text1" w:themeTint="D9"/>
          <w:sz w:val="32"/>
          <w:szCs w:val="32"/>
        </w:rPr>
        <w:t xml:space="preserve">between FAC and LRIC, </w:t>
      </w:r>
      <w:r w:rsidR="00B51366" w:rsidRPr="001139A7">
        <w:rPr>
          <w:color w:val="262626" w:themeColor="text1" w:themeTint="D9"/>
          <w:sz w:val="32"/>
          <w:szCs w:val="32"/>
        </w:rPr>
        <w:t>the inclusion or exclusion of certai</w:t>
      </w:r>
      <w:r w:rsidRPr="001139A7">
        <w:rPr>
          <w:color w:val="262626" w:themeColor="text1" w:themeTint="D9"/>
          <w:sz w:val="32"/>
          <w:szCs w:val="32"/>
        </w:rPr>
        <w:t>n</w:t>
      </w:r>
      <w:r w:rsidR="00CE1E3C">
        <w:rPr>
          <w:color w:val="262626" w:themeColor="text1" w:themeTint="D9"/>
          <w:sz w:val="32"/>
          <w:szCs w:val="32"/>
        </w:rPr>
        <w:t xml:space="preserve"> </w:t>
      </w:r>
      <w:r w:rsidR="00B51366" w:rsidRPr="001139A7">
        <w:rPr>
          <w:color w:val="262626" w:themeColor="text1" w:themeTint="D9"/>
          <w:sz w:val="32"/>
          <w:szCs w:val="32"/>
        </w:rPr>
        <w:t>costs and treatment of common costs, with their specific uses dictated by circumstances.</w:t>
      </w:r>
    </w:p>
    <w:p w14:paraId="0041471F" w14:textId="63522695" w:rsidR="00B51366" w:rsidRPr="001139A7" w:rsidRDefault="00B51366" w:rsidP="00FC2612">
      <w:pPr>
        <w:rPr>
          <w:color w:val="262626" w:themeColor="text1" w:themeTint="D9"/>
          <w:sz w:val="32"/>
          <w:szCs w:val="32"/>
        </w:rPr>
      </w:pPr>
    </w:p>
    <w:p w14:paraId="619F166B" w14:textId="7E9572D5" w:rsidR="00B51366" w:rsidRDefault="00B51366" w:rsidP="00FC2612">
      <w:pPr>
        <w:rPr>
          <w:i/>
          <w:iCs/>
          <w:color w:val="7F7F7F" w:themeColor="text1" w:themeTint="80"/>
          <w:sz w:val="36"/>
          <w:szCs w:val="36"/>
        </w:rPr>
      </w:pPr>
      <w:r>
        <w:rPr>
          <w:color w:val="262626" w:themeColor="text1" w:themeTint="D9"/>
          <w:sz w:val="32"/>
          <w:szCs w:val="32"/>
        </w:rPr>
        <w:t xml:space="preserve">                                      </w:t>
      </w:r>
      <w:r w:rsidRPr="00B51366">
        <w:rPr>
          <w:b/>
          <w:bCs/>
          <w:i/>
          <w:iCs/>
          <w:color w:val="7F7F7F" w:themeColor="text1" w:themeTint="80"/>
          <w:sz w:val="36"/>
          <w:szCs w:val="36"/>
          <w:u w:val="single"/>
        </w:rPr>
        <w:t>Embedded Cost</w:t>
      </w:r>
      <w:r w:rsidRPr="00B51366">
        <w:rPr>
          <w:i/>
          <w:iCs/>
          <w:color w:val="7F7F7F" w:themeColor="text1" w:themeTint="80"/>
          <w:sz w:val="36"/>
          <w:szCs w:val="36"/>
        </w:rPr>
        <w:t>:</w:t>
      </w:r>
    </w:p>
    <w:p w14:paraId="46635B93" w14:textId="6CBCFC87" w:rsidR="00B51366" w:rsidRDefault="00B51366" w:rsidP="00FC2612">
      <w:pPr>
        <w:rPr>
          <w:i/>
          <w:iCs/>
          <w:color w:val="7F7F7F" w:themeColor="text1" w:themeTint="80"/>
          <w:sz w:val="36"/>
          <w:szCs w:val="36"/>
        </w:rPr>
      </w:pPr>
    </w:p>
    <w:p w14:paraId="2930B6FD" w14:textId="6549F1BA" w:rsidR="00B51366" w:rsidRPr="00CE1E3C" w:rsidRDefault="00B51366" w:rsidP="00FC2612">
      <w:pPr>
        <w:rPr>
          <w:i/>
          <w:iCs/>
          <w:color w:val="262626" w:themeColor="text1" w:themeTint="D9"/>
          <w:sz w:val="32"/>
          <w:szCs w:val="32"/>
        </w:rPr>
      </w:pPr>
      <w:r w:rsidRPr="00CE1E3C">
        <w:rPr>
          <w:i/>
          <w:iCs/>
          <w:color w:val="262626" w:themeColor="text1" w:themeTint="D9"/>
          <w:sz w:val="32"/>
          <w:szCs w:val="32"/>
        </w:rPr>
        <w:t>Embedded Cost only includes the directly allocated cost of a service, not including any share of common cost.</w:t>
      </w:r>
    </w:p>
    <w:p w14:paraId="60CB61A5" w14:textId="556A02D3" w:rsidR="00B51366" w:rsidRPr="00CE1E3C" w:rsidRDefault="00B51366" w:rsidP="00FC2612">
      <w:pPr>
        <w:rPr>
          <w:i/>
          <w:iCs/>
          <w:color w:val="262626" w:themeColor="text1" w:themeTint="D9"/>
          <w:sz w:val="32"/>
          <w:szCs w:val="32"/>
        </w:rPr>
      </w:pPr>
      <w:r w:rsidRPr="00CE1E3C">
        <w:rPr>
          <w:i/>
          <w:iCs/>
          <w:color w:val="262626" w:themeColor="text1" w:themeTint="D9"/>
          <w:sz w:val="32"/>
          <w:szCs w:val="32"/>
        </w:rPr>
        <w:t>This Reflects the incremental cost of providing the service on top of all other services.</w:t>
      </w:r>
    </w:p>
    <w:p w14:paraId="5EFB3B42" w14:textId="7504523E" w:rsidR="001139A7" w:rsidRPr="00CE1E3C" w:rsidRDefault="001139A7" w:rsidP="00FC2612">
      <w:pPr>
        <w:rPr>
          <w:i/>
          <w:iCs/>
          <w:color w:val="262626" w:themeColor="text1" w:themeTint="D9"/>
          <w:sz w:val="32"/>
          <w:szCs w:val="32"/>
        </w:rPr>
      </w:pPr>
      <w:r w:rsidRPr="00CE1E3C">
        <w:rPr>
          <w:i/>
          <w:iCs/>
          <w:color w:val="262626" w:themeColor="text1" w:themeTint="D9"/>
          <w:sz w:val="32"/>
          <w:szCs w:val="32"/>
        </w:rPr>
        <w:t xml:space="preserve">Overall, there is a significant increase in the respondents using outsourcing to enhance </w:t>
      </w:r>
      <w:r w:rsidRPr="00CE1E3C">
        <w:rPr>
          <w:b/>
          <w:bCs/>
          <w:i/>
          <w:iCs/>
          <w:color w:val="262626" w:themeColor="text1" w:themeTint="D9"/>
          <w:sz w:val="32"/>
          <w:szCs w:val="32"/>
        </w:rPr>
        <w:t xml:space="preserve">Merger </w:t>
      </w:r>
      <w:r w:rsidRPr="00CE1E3C">
        <w:rPr>
          <w:i/>
          <w:iCs/>
          <w:color w:val="262626" w:themeColor="text1" w:themeTint="D9"/>
          <w:sz w:val="32"/>
          <w:szCs w:val="32"/>
        </w:rPr>
        <w:t xml:space="preserve">and </w:t>
      </w:r>
      <w:r w:rsidRPr="00CE1E3C">
        <w:rPr>
          <w:b/>
          <w:bCs/>
          <w:i/>
          <w:iCs/>
          <w:color w:val="262626" w:themeColor="text1" w:themeTint="D9"/>
          <w:sz w:val="32"/>
          <w:szCs w:val="32"/>
        </w:rPr>
        <w:t xml:space="preserve">Acquisitions </w:t>
      </w:r>
    </w:p>
    <w:p w14:paraId="69496CB5" w14:textId="3160E18D" w:rsidR="00B51366" w:rsidRDefault="001139A7" w:rsidP="00FC2612">
      <w:pPr>
        <w:rPr>
          <w:i/>
          <w:iCs/>
          <w:color w:val="262626" w:themeColor="text1" w:themeTint="D9"/>
          <w:sz w:val="32"/>
          <w:szCs w:val="32"/>
        </w:rPr>
      </w:pPr>
      <w:r w:rsidRPr="00CE1E3C">
        <w:rPr>
          <w:i/>
          <w:iCs/>
          <w:color w:val="262626" w:themeColor="text1" w:themeTint="D9"/>
          <w:sz w:val="32"/>
          <w:szCs w:val="32"/>
        </w:rPr>
        <w:t xml:space="preserve">Efforts from </w:t>
      </w:r>
      <w:r w:rsidR="00CE1E3C" w:rsidRPr="00CE1E3C">
        <w:rPr>
          <w:i/>
          <w:iCs/>
          <w:color w:val="262626" w:themeColor="text1" w:themeTint="D9"/>
          <w:sz w:val="32"/>
          <w:szCs w:val="32"/>
        </w:rPr>
        <w:t>45% in 2016 to 68% 2019. Reduce the need for transition service agreements, increase the speed with which acquired organizations are integrated, lower the operating cost.</w:t>
      </w:r>
    </w:p>
    <w:p w14:paraId="6CB9AC4C" w14:textId="2A13C3CA" w:rsidR="00CE1E3C" w:rsidRDefault="00CE1E3C" w:rsidP="00FC2612">
      <w:pPr>
        <w:rPr>
          <w:i/>
          <w:iCs/>
          <w:color w:val="262626" w:themeColor="text1" w:themeTint="D9"/>
          <w:sz w:val="32"/>
          <w:szCs w:val="32"/>
        </w:rPr>
      </w:pPr>
    </w:p>
    <w:p w14:paraId="488D1A36" w14:textId="3C56AA7C" w:rsidR="00AD69E9" w:rsidRDefault="00AD69E9" w:rsidP="00FC2612">
      <w:pPr>
        <w:rPr>
          <w:b/>
          <w:i/>
          <w:iCs/>
          <w:color w:val="8496B0" w:themeColor="text2" w:themeTint="99"/>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D69E9">
        <w:rPr>
          <w:b/>
          <w:i/>
          <w:iCs/>
          <w:color w:val="8496B0" w:themeColor="text2" w:themeTint="99"/>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SUBMITTED BY</w:t>
      </w:r>
      <w:r>
        <w:rPr>
          <w:b/>
          <w:i/>
          <w:iCs/>
          <w:color w:val="8496B0" w:themeColor="text2" w:themeTint="99"/>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63D73A40" w14:textId="432E6D3E" w:rsidR="00AD69E9" w:rsidRDefault="00AD69E9" w:rsidP="00FC2612">
      <w:pPr>
        <w:rPr>
          <w:b/>
          <w:i/>
          <w:iCs/>
          <w:color w:val="8496B0" w:themeColor="text2" w:themeTint="99"/>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D69E9">
        <w:rPr>
          <w:b/>
          <w:i/>
          <w:iCs/>
          <w:color w:val="8496B0" w:themeColor="text2" w:themeTint="99"/>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MIRTUNJAY KUMAR TYAGI</w:t>
      </w:r>
    </w:p>
    <w:p w14:paraId="0DA74698" w14:textId="697228D2" w:rsidR="00AD69E9" w:rsidRDefault="00AD69E9" w:rsidP="00FC2612">
      <w:pPr>
        <w:rPr>
          <w:b/>
          <w:i/>
          <w:iCs/>
          <w:color w:val="8496B0" w:themeColor="text2" w:themeTint="99"/>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i/>
          <w:iCs/>
          <w:color w:val="8496B0" w:themeColor="text2" w:themeTint="99"/>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19/BMS/0051</w:t>
      </w:r>
    </w:p>
    <w:p w14:paraId="5B94E511" w14:textId="747675F5" w:rsidR="00AD69E9" w:rsidRPr="00AD69E9" w:rsidRDefault="00AD69E9" w:rsidP="00FC2612">
      <w:pPr>
        <w:rPr>
          <w:b/>
          <w:i/>
          <w:iCs/>
          <w:color w:val="8496B0" w:themeColor="text2" w:themeTint="99"/>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i/>
          <w:iCs/>
          <w:color w:val="8496B0" w:themeColor="text2" w:themeTint="99"/>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w:t>
      </w:r>
      <w:r w:rsidRPr="00AD69E9">
        <w:rPr>
          <w:b/>
          <w:i/>
          <w:iCs/>
          <w:color w:val="8496B0" w:themeColor="text2" w:themeTint="99"/>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AD69E9">
        <w:rPr>
          <w:b/>
          <w:i/>
          <w:iCs/>
          <w:color w:val="8496B0" w:themeColor="text2" w:themeTint="99"/>
          <w:sz w:val="56"/>
          <w:szCs w:val="56"/>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REFERENCES</w:t>
      </w:r>
      <w:r>
        <w:rPr>
          <w:b/>
          <w:i/>
          <w:iCs/>
          <w:color w:val="8496B0" w:themeColor="text2" w:themeTint="99"/>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0A360895" w14:textId="0995267C" w:rsidR="00AD69E9" w:rsidRPr="00CE1E3C" w:rsidRDefault="00AD69E9" w:rsidP="00FC2612">
      <w:pPr>
        <w:rPr>
          <w:i/>
          <w:iCs/>
          <w:color w:val="262626" w:themeColor="text1" w:themeTint="D9"/>
          <w:sz w:val="32"/>
          <w:szCs w:val="32"/>
        </w:rPr>
      </w:pPr>
    </w:p>
    <w:p w14:paraId="2B111CE8" w14:textId="606C03F1" w:rsidR="000C3CA0" w:rsidRPr="00AD69E9" w:rsidRDefault="00AD69E9" w:rsidP="00AD69E9">
      <w:pPr>
        <w:pStyle w:val="ListParagraph"/>
        <w:numPr>
          <w:ilvl w:val="0"/>
          <w:numId w:val="1"/>
        </w:numPr>
        <w:rPr>
          <w:color w:val="7F7F7F" w:themeColor="text1" w:themeTint="80"/>
          <w:sz w:val="32"/>
          <w:szCs w:val="32"/>
        </w:rPr>
      </w:pPr>
      <w:hyperlink r:id="rId11" w:history="1">
        <w:r w:rsidRPr="00AD69E9">
          <w:rPr>
            <w:rStyle w:val="Hyperlink"/>
            <w:color w:val="7F7F7F" w:themeColor="text1" w:themeTint="80"/>
            <w:sz w:val="32"/>
            <w:szCs w:val="32"/>
            <w:u w:val="none"/>
          </w:rPr>
          <w:t>https://www2.deloitte.com/content/dam/Deloitte/sg/Documents/technology-media-telecommunications/sea-tmt-costing-methodology-next-generation-networks.pdf</w:t>
        </w:r>
      </w:hyperlink>
    </w:p>
    <w:p w14:paraId="782FF4DC" w14:textId="59FA5794" w:rsidR="00AD69E9" w:rsidRPr="00AD69E9" w:rsidRDefault="00AD69E9" w:rsidP="00AD69E9">
      <w:pPr>
        <w:pStyle w:val="ListParagraph"/>
        <w:numPr>
          <w:ilvl w:val="0"/>
          <w:numId w:val="1"/>
        </w:numPr>
        <w:rPr>
          <w:color w:val="7F7F7F" w:themeColor="text1" w:themeTint="80"/>
          <w:sz w:val="32"/>
          <w:szCs w:val="32"/>
        </w:rPr>
      </w:pPr>
      <w:hyperlink r:id="rId12" w:history="1">
        <w:r w:rsidRPr="00AD69E9">
          <w:rPr>
            <w:rStyle w:val="Hyperlink"/>
            <w:color w:val="7F7F7F" w:themeColor="text1" w:themeTint="80"/>
            <w:sz w:val="32"/>
            <w:szCs w:val="32"/>
            <w:u w:val="none"/>
          </w:rPr>
          <w:t>https://www2.deloitte.com/content/dam/Deloitte/my/Documents/tax/my-tax-gst-chat-july</w:t>
        </w:r>
      </w:hyperlink>
    </w:p>
    <w:p w14:paraId="240D6366" w14:textId="4F80856F" w:rsidR="00AD69E9" w:rsidRPr="00AD69E9" w:rsidRDefault="00AD69E9" w:rsidP="00AD69E9">
      <w:pPr>
        <w:pStyle w:val="ListParagraph"/>
        <w:numPr>
          <w:ilvl w:val="0"/>
          <w:numId w:val="1"/>
        </w:numPr>
        <w:rPr>
          <w:color w:val="7F7F7F" w:themeColor="text1" w:themeTint="80"/>
          <w:sz w:val="32"/>
          <w:szCs w:val="32"/>
        </w:rPr>
      </w:pPr>
      <w:hyperlink r:id="rId13" w:history="1">
        <w:r w:rsidRPr="00AD69E9">
          <w:rPr>
            <w:rStyle w:val="Hyperlink"/>
            <w:color w:val="7F7F7F" w:themeColor="text1" w:themeTint="80"/>
            <w:sz w:val="32"/>
            <w:szCs w:val="32"/>
            <w:u w:val="none"/>
          </w:rPr>
          <w:t>https://www2.deloitte.com/ch/en/pages/finance/solutions/cost-allocation</w:t>
        </w:r>
      </w:hyperlink>
    </w:p>
    <w:p w14:paraId="06E3F717" w14:textId="42BE2FDC" w:rsidR="00AD69E9" w:rsidRPr="00AD69E9" w:rsidRDefault="00AD69E9" w:rsidP="00AD69E9">
      <w:pPr>
        <w:pStyle w:val="ListParagraph"/>
        <w:numPr>
          <w:ilvl w:val="0"/>
          <w:numId w:val="1"/>
        </w:numPr>
        <w:rPr>
          <w:color w:val="7F7F7F" w:themeColor="text1" w:themeTint="80"/>
          <w:sz w:val="32"/>
          <w:szCs w:val="32"/>
        </w:rPr>
      </w:pPr>
      <w:hyperlink r:id="rId14" w:history="1">
        <w:r w:rsidRPr="00AD69E9">
          <w:rPr>
            <w:rStyle w:val="Hyperlink"/>
            <w:color w:val="7F7F7F" w:themeColor="text1" w:themeTint="80"/>
            <w:sz w:val="32"/>
            <w:szCs w:val="32"/>
            <w:u w:val="none"/>
          </w:rPr>
          <w:t>https://www.ofcom.org.uk/__data/assets/pdf_file/0022/55327/deloitte.pdf</w:t>
        </w:r>
      </w:hyperlink>
    </w:p>
    <w:p w14:paraId="759B9CA2" w14:textId="22B38B8D" w:rsidR="00AD69E9" w:rsidRPr="00AD69E9" w:rsidRDefault="00AD69E9" w:rsidP="00AD69E9">
      <w:pPr>
        <w:pStyle w:val="ListParagraph"/>
        <w:numPr>
          <w:ilvl w:val="0"/>
          <w:numId w:val="1"/>
        </w:numPr>
        <w:rPr>
          <w:color w:val="7F7F7F" w:themeColor="text1" w:themeTint="80"/>
          <w:sz w:val="32"/>
          <w:szCs w:val="32"/>
        </w:rPr>
      </w:pPr>
      <w:hyperlink r:id="rId15" w:history="1">
        <w:r w:rsidRPr="00AD69E9">
          <w:rPr>
            <w:rStyle w:val="Hyperlink"/>
            <w:color w:val="7F7F7F" w:themeColor="text1" w:themeTint="80"/>
            <w:sz w:val="32"/>
            <w:szCs w:val="32"/>
            <w:u w:val="none"/>
          </w:rPr>
          <w:t>https://www.oecd.org/tax/transfer-pricing/47426115</w:t>
        </w:r>
      </w:hyperlink>
    </w:p>
    <w:p w14:paraId="647EB41D" w14:textId="04A170DA" w:rsidR="00AD69E9" w:rsidRPr="00AD69E9" w:rsidRDefault="00AD69E9" w:rsidP="00AD69E9">
      <w:pPr>
        <w:pStyle w:val="ListParagraph"/>
        <w:numPr>
          <w:ilvl w:val="0"/>
          <w:numId w:val="1"/>
        </w:numPr>
        <w:rPr>
          <w:color w:val="7F7F7F" w:themeColor="text1" w:themeTint="80"/>
          <w:sz w:val="32"/>
          <w:szCs w:val="32"/>
        </w:rPr>
      </w:pPr>
      <w:hyperlink r:id="rId16" w:history="1">
        <w:r w:rsidRPr="00AD69E9">
          <w:rPr>
            <w:rStyle w:val="Hyperlink"/>
            <w:color w:val="7F7F7F" w:themeColor="text1" w:themeTint="80"/>
            <w:sz w:val="32"/>
            <w:szCs w:val="32"/>
            <w:u w:val="none"/>
          </w:rPr>
          <w:t>https://www2.deloitte.com/content/dam/Deloitte/ca/Documents/finance/ca-en-FA-cost-reduction-</w:t>
        </w:r>
      </w:hyperlink>
    </w:p>
    <w:p w14:paraId="7D94D49B" w14:textId="7F040EAF" w:rsidR="00AD69E9" w:rsidRPr="00AD69E9" w:rsidRDefault="00AD69E9" w:rsidP="00AD69E9">
      <w:pPr>
        <w:pStyle w:val="ListParagraph"/>
        <w:numPr>
          <w:ilvl w:val="0"/>
          <w:numId w:val="1"/>
        </w:numPr>
        <w:rPr>
          <w:color w:val="7F7F7F" w:themeColor="text1" w:themeTint="80"/>
          <w:sz w:val="32"/>
          <w:szCs w:val="32"/>
        </w:rPr>
      </w:pPr>
      <w:hyperlink r:id="rId17" w:history="1">
        <w:r w:rsidRPr="00AD69E9">
          <w:rPr>
            <w:rStyle w:val="Hyperlink"/>
            <w:color w:val="7F7F7F" w:themeColor="text1" w:themeTint="80"/>
            <w:sz w:val="32"/>
            <w:szCs w:val="32"/>
            <w:u w:val="none"/>
          </w:rPr>
          <w:t>https://www.slideshare.net/DeloitteUS/the-2018-deloitte-global-outsourcing-survey</w:t>
        </w:r>
      </w:hyperlink>
    </w:p>
    <w:p w14:paraId="025847ED" w14:textId="7472DE49" w:rsidR="00AD69E9" w:rsidRDefault="00AD69E9" w:rsidP="00AD69E9">
      <w:pPr>
        <w:pStyle w:val="ListParagraph"/>
        <w:rPr>
          <w:color w:val="7F7F7F" w:themeColor="text1" w:themeTint="80"/>
          <w:sz w:val="32"/>
          <w:szCs w:val="32"/>
        </w:rPr>
      </w:pPr>
    </w:p>
    <w:p w14:paraId="75C691D9" w14:textId="5DD6316F" w:rsidR="00AD69E9" w:rsidRDefault="00AD69E9" w:rsidP="00AD69E9">
      <w:pPr>
        <w:pStyle w:val="ListParagraph"/>
        <w:rPr>
          <w:color w:val="7F7F7F" w:themeColor="text1" w:themeTint="80"/>
          <w:sz w:val="32"/>
          <w:szCs w:val="32"/>
        </w:rPr>
      </w:pPr>
    </w:p>
    <w:p w14:paraId="7D33560C" w14:textId="35790BB0" w:rsidR="00AD69E9" w:rsidRDefault="00AD69E9" w:rsidP="00AD69E9">
      <w:pPr>
        <w:pStyle w:val="ListParagraph"/>
        <w:rPr>
          <w:color w:val="7F7F7F" w:themeColor="text1" w:themeTint="80"/>
          <w:sz w:val="32"/>
          <w:szCs w:val="32"/>
        </w:rPr>
      </w:pPr>
    </w:p>
    <w:p w14:paraId="7FC22631" w14:textId="56401C09" w:rsidR="00AD69E9" w:rsidRDefault="00AD69E9" w:rsidP="00AD69E9">
      <w:pPr>
        <w:pStyle w:val="ListParagraph"/>
        <w:rPr>
          <w:color w:val="7F7F7F" w:themeColor="text1" w:themeTint="80"/>
          <w:sz w:val="32"/>
          <w:szCs w:val="32"/>
        </w:rPr>
      </w:pPr>
    </w:p>
    <w:p w14:paraId="74807762" w14:textId="7F70DCF0" w:rsidR="00AD69E9" w:rsidRDefault="00AD69E9" w:rsidP="00AD69E9">
      <w:pPr>
        <w:pStyle w:val="ListParagraph"/>
        <w:rPr>
          <w:color w:val="7F7F7F" w:themeColor="text1" w:themeTint="80"/>
          <w:sz w:val="32"/>
          <w:szCs w:val="32"/>
        </w:rPr>
      </w:pPr>
    </w:p>
    <w:p w14:paraId="27D8EA96" w14:textId="47AC38A9" w:rsidR="00AD69E9" w:rsidRDefault="00AD69E9" w:rsidP="00AD69E9">
      <w:pPr>
        <w:pStyle w:val="ListParagraph"/>
        <w:rPr>
          <w:color w:val="7F7F7F" w:themeColor="text1" w:themeTint="80"/>
          <w:sz w:val="32"/>
          <w:szCs w:val="32"/>
        </w:rPr>
      </w:pPr>
    </w:p>
    <w:p w14:paraId="35067FC4" w14:textId="556049E9" w:rsidR="00AD69E9" w:rsidRDefault="00AD69E9" w:rsidP="00AD69E9">
      <w:pPr>
        <w:pStyle w:val="ListParagraph"/>
        <w:rPr>
          <w:color w:val="7F7F7F" w:themeColor="text1" w:themeTint="80"/>
          <w:sz w:val="32"/>
          <w:szCs w:val="32"/>
        </w:rPr>
      </w:pPr>
    </w:p>
    <w:p w14:paraId="6A0042F6" w14:textId="2715D6F9" w:rsidR="00AD69E9" w:rsidRDefault="00AD69E9" w:rsidP="00AD69E9">
      <w:pPr>
        <w:pStyle w:val="ListParagraph"/>
        <w:rPr>
          <w:color w:val="7F7F7F" w:themeColor="text1" w:themeTint="80"/>
          <w:sz w:val="32"/>
          <w:szCs w:val="32"/>
        </w:rPr>
      </w:pPr>
    </w:p>
    <w:p w14:paraId="0BE4CEC0" w14:textId="63DC4961" w:rsidR="00AD69E9" w:rsidRDefault="00AD69E9" w:rsidP="00AD69E9">
      <w:pPr>
        <w:pStyle w:val="ListParagraph"/>
        <w:rPr>
          <w:color w:val="7F7F7F" w:themeColor="text1" w:themeTint="80"/>
          <w:sz w:val="32"/>
          <w:szCs w:val="32"/>
        </w:rPr>
      </w:pPr>
    </w:p>
    <w:p w14:paraId="14F7FFD5" w14:textId="091E4FF2" w:rsidR="00AD69E9" w:rsidRDefault="00AD69E9" w:rsidP="00AD69E9">
      <w:pPr>
        <w:pStyle w:val="ListParagraph"/>
        <w:rPr>
          <w:color w:val="7F7F7F" w:themeColor="text1" w:themeTint="80"/>
          <w:sz w:val="32"/>
          <w:szCs w:val="32"/>
        </w:rPr>
      </w:pPr>
    </w:p>
    <w:p w14:paraId="6AEDA7EA" w14:textId="3A4FB445" w:rsidR="00AD69E9" w:rsidRDefault="00AD69E9" w:rsidP="00AD69E9">
      <w:pPr>
        <w:pStyle w:val="ListParagraph"/>
        <w:rPr>
          <w:color w:val="7F7F7F" w:themeColor="text1" w:themeTint="80"/>
          <w:sz w:val="32"/>
          <w:szCs w:val="32"/>
        </w:rPr>
      </w:pPr>
    </w:p>
    <w:p w14:paraId="1EC38313" w14:textId="4D8838BB" w:rsidR="00AD69E9" w:rsidRDefault="00AD69E9" w:rsidP="00AD69E9">
      <w:pPr>
        <w:pStyle w:val="ListParagraph"/>
        <w:rPr>
          <w:color w:val="7F7F7F" w:themeColor="text1" w:themeTint="80"/>
          <w:sz w:val="32"/>
          <w:szCs w:val="32"/>
        </w:rPr>
      </w:pPr>
    </w:p>
    <w:p w14:paraId="7DF54D0C" w14:textId="4699D3DF" w:rsidR="00AD69E9" w:rsidRDefault="00AD69E9" w:rsidP="00AD69E9">
      <w:pPr>
        <w:pStyle w:val="ListParagraph"/>
        <w:rPr>
          <w:color w:val="7F7F7F" w:themeColor="text1" w:themeTint="80"/>
          <w:sz w:val="32"/>
          <w:szCs w:val="32"/>
        </w:rPr>
      </w:pPr>
    </w:p>
    <w:p w14:paraId="1661FE70" w14:textId="0C86E623" w:rsidR="00AD69E9" w:rsidRPr="00AD69E9" w:rsidRDefault="00AD69E9" w:rsidP="00AD69E9">
      <w:pPr>
        <w:pStyle w:val="ListParagraph"/>
        <w:rPr>
          <w:color w:val="7F7F7F" w:themeColor="text1" w:themeTint="80"/>
          <w:sz w:val="32"/>
          <w:szCs w:val="32"/>
        </w:rPr>
      </w:pPr>
      <w:r>
        <w:rPr>
          <w:color w:val="7F7F7F" w:themeColor="text1" w:themeTint="80"/>
          <w:sz w:val="32"/>
          <w:szCs w:val="32"/>
        </w:rPr>
        <w:t xml:space="preserve">         </w:t>
      </w:r>
      <w:r>
        <w:rPr>
          <w:noProof/>
        </w:rPr>
        <mc:AlternateContent>
          <mc:Choice Requires="wps">
            <w:drawing>
              <wp:anchor distT="0" distB="0" distL="114300" distR="114300" simplePos="0" relativeHeight="251661312" behindDoc="0" locked="0" layoutInCell="1" allowOverlap="1" wp14:anchorId="2E377E65" wp14:editId="21F8AC94">
                <wp:simplePos x="0" y="0"/>
                <wp:positionH relativeFrom="column">
                  <wp:posOffset>0</wp:posOffset>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2428220" w14:textId="4BE50C48" w:rsidR="00AD69E9" w:rsidRPr="00AD69E9" w:rsidRDefault="00AD69E9" w:rsidP="00AD69E9">
                            <w:pPr>
                              <w:pStyle w:val="ListParagraph"/>
                              <w:jc w:val="center"/>
                              <w:rPr>
                                <w:b/>
                                <w:i/>
                                <w:iCs/>
                                <w:color w:val="A5A5A5" w:themeColor="accent3"/>
                                <w:sz w:val="72"/>
                                <w:szCs w:val="7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i/>
                                <w:iCs/>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AD69E9">
                              <w:rPr>
                                <w:b/>
                                <w:i/>
                                <w:iCs/>
                                <w:color w:val="8496B0" w:themeColor="text2" w:themeTint="99"/>
                                <w:sz w:val="72"/>
                                <w:szCs w:val="7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THANK YOU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 w14:anchorId="2E377E65" id="Text Box 14" o:spid="_x0000_s1027" type="#_x0000_t202" style="position:absolute;left:0;text-align:left;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" filled="f" stroked="f">
                <v:fill o:detectmouseclick="t"/>
                <v:textbox style="mso-fit-shape-to-text:t">
                  <w:txbxContent>
                    <w:p w14:paraId="42428220" w14:textId="4BE50C48" w:rsidR="00AD69E9" w:rsidRPr="00AD69E9" w:rsidRDefault="00AD69E9" w:rsidP="00AD69E9">
                      <w:pPr>
                        <w:pStyle w:val="ListParagraph"/>
                        <w:jc w:val="center"/>
                        <w:rPr>
                          <w:b/>
                          <w:i/>
                          <w:iCs/>
                          <w:color w:val="A5A5A5" w:themeColor="accent3"/>
                          <w:sz w:val="72"/>
                          <w:szCs w:val="7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i/>
                          <w:iCs/>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AD69E9">
                        <w:rPr>
                          <w:b/>
                          <w:i/>
                          <w:iCs/>
                          <w:color w:val="8496B0" w:themeColor="text2" w:themeTint="99"/>
                          <w:sz w:val="72"/>
                          <w:szCs w:val="7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THANK YOU</w:t>
                      </w:r>
                    </w:p>
                  </w:txbxContent>
                </v:textbox>
              </v:shape>
            </w:pict>
          </mc:Fallback>
        </mc:AlternateContent>
      </w:r>
    </w:p>
    <w:p w14:paraId="39411BBD" w14:textId="77777777" w:rsidR="000C3CA0" w:rsidRDefault="000C3CA0" w:rsidP="00FC2612"/>
    <w:p w14:paraId="39A06605" w14:textId="32E32167" w:rsidR="000C3CA0" w:rsidRDefault="00AD69E9" w:rsidP="00FC2612">
      <w:pPr>
        <w:rPr>
          <w:sz w:val="28"/>
          <w:szCs w:val="28"/>
        </w:rPr>
      </w:pPr>
      <w:r>
        <w:rPr>
          <w:sz w:val="28"/>
          <w:szCs w:val="28"/>
        </w:rPr>
        <w:lastRenderedPageBreak/>
        <w:t xml:space="preserve">         </w:t>
      </w:r>
    </w:p>
    <w:p w14:paraId="1E2882CF" w14:textId="77777777" w:rsidR="004C1DA5" w:rsidRPr="004C1DA5" w:rsidRDefault="004C1DA5" w:rsidP="00FC2612">
      <w:pPr>
        <w:rPr>
          <w:rFonts w:ascii="Georgia" w:hAnsi="Georgia"/>
          <w:color w:val="262626" w:themeColor="text1" w:themeTint="D9"/>
          <w:sz w:val="28"/>
          <w:szCs w:val="28"/>
          <w:lang w:val="en-US"/>
        </w:rPr>
      </w:pPr>
    </w:p>
    <w:sectPr w:rsidR="004C1DA5" w:rsidRPr="004C1D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545979"/>
    <w:multiLevelType w:val="hybridMultilevel"/>
    <w:tmpl w:val="9AF66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97A"/>
    <w:rsid w:val="000C3CA0"/>
    <w:rsid w:val="001139A7"/>
    <w:rsid w:val="00142519"/>
    <w:rsid w:val="00143C90"/>
    <w:rsid w:val="001E397A"/>
    <w:rsid w:val="002E5FB9"/>
    <w:rsid w:val="0036337E"/>
    <w:rsid w:val="004002B9"/>
    <w:rsid w:val="004549B5"/>
    <w:rsid w:val="004B05E1"/>
    <w:rsid w:val="004C1DA5"/>
    <w:rsid w:val="004C561F"/>
    <w:rsid w:val="006102AF"/>
    <w:rsid w:val="008E4F87"/>
    <w:rsid w:val="00A364B8"/>
    <w:rsid w:val="00A62B83"/>
    <w:rsid w:val="00AD69E9"/>
    <w:rsid w:val="00B12BD5"/>
    <w:rsid w:val="00B51366"/>
    <w:rsid w:val="00C24A15"/>
    <w:rsid w:val="00CE1E3C"/>
    <w:rsid w:val="00DF3B15"/>
    <w:rsid w:val="00FC2612"/>
    <w:rsid w:val="00FE4B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65636"/>
  <w15:chartTrackingRefBased/>
  <w15:docId w15:val="{15932B44-BDF5-45A6-8439-068833E36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25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E5FB9"/>
    <w:rPr>
      <w:b/>
      <w:bCs/>
    </w:rPr>
  </w:style>
  <w:style w:type="character" w:styleId="Hyperlink">
    <w:name w:val="Hyperlink"/>
    <w:basedOn w:val="DefaultParagraphFont"/>
    <w:uiPriority w:val="99"/>
    <w:unhideWhenUsed/>
    <w:rsid w:val="004002B9"/>
    <w:rPr>
      <w:color w:val="0000FF"/>
      <w:u w:val="single"/>
    </w:rPr>
  </w:style>
  <w:style w:type="paragraph" w:styleId="ListParagraph">
    <w:name w:val="List Paragraph"/>
    <w:basedOn w:val="Normal"/>
    <w:uiPriority w:val="34"/>
    <w:qFormat/>
    <w:rsid w:val="00AD69E9"/>
    <w:pPr>
      <w:ind w:left="720"/>
      <w:contextualSpacing/>
    </w:pPr>
  </w:style>
  <w:style w:type="character" w:styleId="UnresolvedMention">
    <w:name w:val="Unresolved Mention"/>
    <w:basedOn w:val="DefaultParagraphFont"/>
    <w:uiPriority w:val="99"/>
    <w:semiHidden/>
    <w:unhideWhenUsed/>
    <w:rsid w:val="00AD69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310676">
      <w:bodyDiv w:val="1"/>
      <w:marLeft w:val="0"/>
      <w:marRight w:val="0"/>
      <w:marTop w:val="0"/>
      <w:marBottom w:val="0"/>
      <w:divBdr>
        <w:top w:val="none" w:sz="0" w:space="0" w:color="auto"/>
        <w:left w:val="none" w:sz="0" w:space="0" w:color="auto"/>
        <w:bottom w:val="none" w:sz="0" w:space="0" w:color="auto"/>
        <w:right w:val="none" w:sz="0" w:space="0" w:color="auto"/>
      </w:divBdr>
    </w:div>
    <w:div w:id="1751807375">
      <w:bodyDiv w:val="1"/>
      <w:marLeft w:val="0"/>
      <w:marRight w:val="0"/>
      <w:marTop w:val="0"/>
      <w:marBottom w:val="0"/>
      <w:divBdr>
        <w:top w:val="none" w:sz="0" w:space="0" w:color="auto"/>
        <w:left w:val="none" w:sz="0" w:space="0" w:color="auto"/>
        <w:bottom w:val="none" w:sz="0" w:space="0" w:color="auto"/>
        <w:right w:val="none" w:sz="0" w:space="0" w:color="auto"/>
      </w:divBdr>
      <w:divsChild>
        <w:div w:id="499734190">
          <w:marLeft w:val="0"/>
          <w:marRight w:val="0"/>
          <w:marTop w:val="0"/>
          <w:marBottom w:val="150"/>
          <w:divBdr>
            <w:top w:val="none" w:sz="0" w:space="0" w:color="auto"/>
            <w:left w:val="none" w:sz="0" w:space="0" w:color="auto"/>
            <w:bottom w:val="none" w:sz="0" w:space="0" w:color="auto"/>
            <w:right w:val="none" w:sz="0" w:space="0" w:color="auto"/>
          </w:divBdr>
        </w:div>
        <w:div w:id="10153504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2.deloitte.com/ch/en/pages/finance/solutions/cost-alloca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2.deloitte.com/content/dam/Deloitte/my/Documents/tax/my-tax-gst-chat-july" TargetMode="External"/><Relationship Id="rId17" Type="http://schemas.openxmlformats.org/officeDocument/2006/relationships/hyperlink" Target="https://www.slideshare.net/DeloitteUS/the-2018-deloitte-global-outsourcing-survey" TargetMode="External"/><Relationship Id="rId2" Type="http://schemas.openxmlformats.org/officeDocument/2006/relationships/numbering" Target="numbering.xml"/><Relationship Id="rId16" Type="http://schemas.openxmlformats.org/officeDocument/2006/relationships/hyperlink" Target="https://www2.deloitte.com/content/dam/Deloitte/ca/Documents/finance/ca-en-FA-cost-reduc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2.deloitte.com/content/dam/Deloitte/sg/Documents/technology-media-telecommunications/sea-tmt-costing-methodology-next-generation-networks.pdf" TargetMode="External"/><Relationship Id="rId5" Type="http://schemas.openxmlformats.org/officeDocument/2006/relationships/webSettings" Target="webSettings.xml"/><Relationship Id="rId15" Type="http://schemas.openxmlformats.org/officeDocument/2006/relationships/hyperlink" Target="https://www.oecd.org/tax/transfer-pricing/47426115"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ofcom.org.uk/__data/assets/pdf_file/0022/55327/deloit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0635A-C7F8-4DB7-8335-99E291EC1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Mirtunjay Kumar Tyagi</dc:creator>
  <cp:keywords/>
  <dc:description/>
  <cp:lastModifiedBy>Mirtunjay Kumar Tyagi</cp:lastModifiedBy>
  <cp:revision>2</cp:revision>
  <dcterms:created xsi:type="dcterms:W3CDTF">2020-11-18T10:27:00Z</dcterms:created>
  <dcterms:modified xsi:type="dcterms:W3CDTF">2020-11-18T10:27:00Z</dcterms:modified>
</cp:coreProperties>
</file>