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TRADE SECRET CLASSIFICATION NOTICE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Resilience Methodology — Proprietary &amp; Confidential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Resilium SRL  ·  April 27, 2026</w:t>
      </w:r>
    </w:p>
    <w:p>
      <w:pPr>
        <w:spacing w:before="120"/>
      </w:pPr>
    </w:p>
    <w:p>
      <w:pPr>
        <w:pBdr>
          <w:bottom w:val="single" w:color="D97706" w:sz="6"/>
        </w:pBdr>
        <w:spacing w:after="160" w:before="160"/>
      </w:pPr>
    </w:p>
    <w:p>
      <w:pPr>
        <w:pStyle w:val="Heading1"/>
        <w:spacing w:after="100" w:before="280"/>
      </w:pPr>
      <w:r>
        <w:t xml:space="preserve">1. Purpose of This Document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document establishes the formal trade secret classification of the Resilium resilience methodology and all associated intellectual property. It is intended to create a written record of proprietary ownership for internal use, legal protection, and enforcement purposes in accordance with Romanian Law no. 11/1991 on unfair competition, the EU Trade Secrets Directive (2016/943/EU), and the US Defend Trade Secrets Act (DTSA).</w:t>
      </w:r>
    </w:p>
    <w:p>
      <w:pPr>
        <w:pStyle w:val="Heading1"/>
        <w:spacing w:after="100" w:before="280"/>
      </w:pPr>
      <w:r>
        <w:t xml:space="preserve">2. Owner &amp; Operator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intellectual property described herein is owned and operated exclusively by Resilium SRL, a Romanian limited liability company (Societate cu Răspundere Limitată) registered in Romania.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Contact: contact_resilium@pm.me</w:t>
      </w:r>
    </w:p>
    <w:p>
      <w:pPr>
        <w:pStyle w:val="Heading1"/>
        <w:spacing w:after="100" w:before="280"/>
      </w:pPr>
      <w:r>
        <w:t xml:space="preserve">3. Classification of Proprietary Assets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following elements are classified as proprietary trade secrets and confidential intellectual property:</w:t>
      </w:r>
    </w:p>
    <w:p>
      <w:pPr>
        <w:pStyle w:val="Heading2"/>
        <w:spacing w:after="100" w:before="280"/>
      </w:pPr>
      <w:r>
        <w:t xml:space="preserve">3.1  Resilience Scoring Algorithm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multi-dimensional scoring methodology producing a weighted composite resilience score across six life dimensions: Financial, Health, Skills, Mobility, Psychological, and Resources.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specific weighting matrix applied to each dimension based on household composition, location, income stability, and stated risk priorities.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normalization and benchmarking logic that positions individual scores within population distributions.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Social Capital overlay dimension and its integration into the composite score.</w:t>
      </w:r>
    </w:p>
    <w:p>
      <w:pPr>
        <w:pStyle w:val="Heading2"/>
        <w:spacing w:after="100" w:before="280"/>
      </w:pPr>
      <w:r>
        <w:t xml:space="preserve">3.2  Six-Dimension Assessment Framework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specific question sequence, branching logic, and adaptive follow-up questions within the full resilience assessment (13+ step flow).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Mental Resilience sub-assessment (MR questionnaire) and its integration with the six primary dimensions.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mapping of assessment responses to vulnerability categories and priority tiers.</w:t>
      </w:r>
    </w:p>
    <w:p>
      <w:pPr>
        <w:pStyle w:val="Heading2"/>
        <w:spacing w:after="100" w:before="280"/>
      </w:pPr>
      <w:r>
        <w:t xml:space="preserve">3.3  AI-Powered Action Plan Generation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prompt engineering, system instruction design, and structured output schema used to generate personalised resilience action plans via large language model APIs.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logic for translating raw scores into prioritised, area-specific, household-contextualised checklists.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daily habits generation framework and its linkage to dimension scores and stated goals.</w:t>
      </w:r>
    </w:p>
    <w:p>
      <w:pPr>
        <w:pStyle w:val="Heading2"/>
        <w:spacing w:after="100" w:before="280"/>
      </w:pPr>
      <w:r>
        <w:t xml:space="preserve">3.4  Scenario Stress-Test Methodology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AI-driven scenario simulation logic (e.g. ‘sudden job loss’, ‘natural disaster’, ‘medical emergency’) and how vulnerability gaps are identified from the user’s existing resilience profile.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structured scenario output format: impact analysis, immediate actions, recovery pathway.</w:t>
      </w:r>
    </w:p>
    <w:p>
      <w:pPr>
        <w:pStyle w:val="Heading2"/>
        <w:spacing w:after="100" w:before="280"/>
      </w:pPr>
      <w:r>
        <w:t xml:space="preserve">3.5  Checklist Framework &amp; Content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curated checklist item library organised by resilience area, priority tier (Critical, High, Medium, Low), and household context.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checklist item selection and ranking algorithm based on score gaps and stated goals.</w:t>
      </w:r>
    </w:p>
    <w:p>
      <w:pPr>
        <w:pStyle w:val="Heading2"/>
        <w:spacing w:after="100" w:before="280"/>
      </w:pPr>
      <w:r>
        <w:t xml:space="preserve">3.6  Brand &amp; Product Identity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‘Resilium’ brand name, logo, visual design language, and platform user interface.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‘Know Your Readiness. Build Your Resilience.’ tagline and associated marketing copy.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The Neural Canvas animated background and unique visual identity elements.</w:t>
      </w:r>
    </w:p>
    <w:p>
      <w:pPr>
        <w:pStyle w:val="Heading1"/>
        <w:spacing w:after="100" w:before="280"/>
      </w:pPr>
      <w:r>
        <w:t xml:space="preserve">4. Confidentiality Obligations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All employees, contractors, advisors, and third parties who have access to any of the proprietary assets described in Section 3 are bound by confidentiality obligations. Unauthorised disclosure, reproduction, reverse engineering, or use of these trade secrets for competitive purposes constitutes a violation of applicable trade secret law and unfair competition regulations.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Access must be granted on a strict need-to-know basis and revoked immediately upon termination of any professional relationship with the operator.</w:t>
      </w:r>
    </w:p>
    <w:p>
      <w:pPr>
        <w:pStyle w:val="Heading1"/>
        <w:spacing w:after="100" w:before="280"/>
      </w:pPr>
      <w:r>
        <w:t xml:space="preserve">5. Notice of Rights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© 2026 Resilium SRL. All rights reserved.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methodology, platform, and all associated intellectual property are protected under: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Romanian Law no. 8/1996 on copyright and related rights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EU Trade Secrets Directive (2016/943/EU), transposed into Romanian law via Law no. 11/1991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US Defend Trade Secrets Act (DTSA), 18 U.S.C. § 1836 et seq.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EU Database Directive (96/9/EC) — the checklist and methodology database qualifies for sui generis database rights</w:t>
      </w:r>
    </w:p>
    <w:p>
      <w:pPr>
        <w:pStyle w:val="Heading1"/>
        <w:spacing w:after="100" w:before="280"/>
      </w:pPr>
      <w:r>
        <w:t xml:space="preserve">6. Document Control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document should be reviewed and updated annually or whenever a material change is made to the methodology or technology. Copies should be stored securely and not distributed outside the organisation without legal counsel review.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Document version: 1.0  ·  Effective date: April 27, 2026  ·  Next review: April 2027</w:t>
      </w:r>
    </w:p>
    <w:p>
      <w:pPr>
        <w:pBdr>
          <w:bottom w:val="single" w:color="D97706" w:sz="6"/>
        </w:pBdr>
        <w:spacing w:after="160" w:before="16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AAAAAA"/>
          <w:sz w:val="18"/>
          <w:szCs w:val="18"/>
        </w:rPr>
        <w:t xml:space="preserve">Resilium SRL  ·  Confidential  ·  Not for Distribution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2026-04-27T20:27:16.974Z</dcterms:created>
  <dcterms:modified xsi:type="dcterms:W3CDTF">2026-04-27T20:27:16.974Z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