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NOTIFICARE DE CLASIFICARE SECRET COMERCIAL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Metodologia de Reziliență — Proprietar &amp; Confidențial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Resilium SRL  ·  27 aprilie 2026</w:t>
      </w:r>
    </w:p>
    <w:p>
      <w:pPr>
        <w:pBdr>
          <w:bottom w:val="single" w:color="D97706" w:sz="6"/>
        </w:pBdr>
        <w:spacing w:after="120" w:before="120"/>
      </w:pPr>
    </w:p>
    <w:p>
      <w:pPr>
        <w:pStyle w:val="Heading1"/>
        <w:spacing w:after="120" w:before="240"/>
      </w:pPr>
      <w:r>
        <w:t xml:space="preserve">1. Scopul Acestui Document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Acest document stabilește clasificarea formală ca secret comercial a metodologiei de reziliență Resilium și a întregii proprietăți intelectuale asociate. Este destinat creării unui registru scris al proprietății în scopuri interne, de protecție juridică și de aplicare, în conformitate cu Legea nr. 11/1991 privind combaterea concurenței neloiale, Directiva UE privind secretele comerciale (2016/943/UE) și Legea americană privind apărarea secretelor comerciale (DTSA).</w:t>
      </w:r>
    </w:p>
    <w:p>
      <w:pPr>
        <w:pStyle w:val="Heading1"/>
        <w:spacing w:after="120" w:before="240"/>
      </w:pPr>
      <w:r>
        <w:t xml:space="preserve">2. Proprietar &amp; Operator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Proprietatea intelectuală descrisă în prezentul document este deținută și operată exclusiv de Resilium SRL, o societate cu răspundere limitată înregistrată în România.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Contact: contact_resilium@pm.me</w:t>
      </w:r>
    </w:p>
    <w:p>
      <w:pPr>
        <w:pStyle w:val="Heading1"/>
        <w:spacing w:after="120" w:before="240"/>
      </w:pPr>
      <w:r>
        <w:t xml:space="preserve">3. Clasificarea Activelor Proprietare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Următoarele elemente sunt clasificate ca secrete comerciale proprietare și proprietate intelectuală confidențială:</w:t>
      </w:r>
    </w:p>
    <w:p>
      <w:pPr>
        <w:pStyle w:val="Heading2"/>
        <w:spacing w:after="120" w:before="240"/>
      </w:pPr>
      <w:r>
        <w:t xml:space="preserve">3.1 Algoritmul de Scorare a Rezilienței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Metodologia de scorare multidimensională care produce un scor compozit ponderat al rezilienței pe șase dimensiuni ale vieții: Financiar, Sănătate, Competențe, Mobilitate, Psihologic și Resurse.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Matricea de ponderare specifică aplicată fiecărei dimensiuni în funcție de componența gospodăriei, locație, stabilitate financiară și priorități de risc declarate.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Logica de normalizare și benchmarking care poziționează scorurile individuale în distribuțiile populației.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Dimensiunea suplimentară Capital Social și integrarea sa în scorul compozit.</w:t>
      </w:r>
    </w:p>
    <w:p>
      <w:pPr>
        <w:pStyle w:val="Heading2"/>
        <w:spacing w:after="120" w:before="240"/>
      </w:pPr>
      <w:r>
        <w:t xml:space="preserve">3.2 Cadrul de Evaluare pe Șase Dimensiuni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Secvența specifică de întrebări, logica de ramificare și întrebările adaptive de urmărire din evaluarea completă a rezilienței (flux de 13+ pași).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Sub-evaluarea Rezilienței Mentale (chestionar MR) și integrarea sa cu cele șase dimensiuni primare.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Maparea răspunsurilor la evaluare pe categorii de vulnerabilitate și niveluri de prioritate.</w:t>
      </w:r>
    </w:p>
    <w:p>
      <w:pPr>
        <w:pStyle w:val="Heading2"/>
        <w:spacing w:after="120" w:before="240"/>
      </w:pPr>
      <w:r>
        <w:t xml:space="preserve">3.3 Generarea Planului de Acțiune prin Inteligență Artificială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Ingineria prompt-urilor, designul instrucțiunilor de sistem și schema de ieșire structurată utilizată pentru generarea planurilor personalizate de acțiune pentru reziliență prin API-uri de modele lingvistice mari.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Logica pentru traducerea scorurilor brute în liste de verificare prioritizate, specifice pe arii, contextualizate pentru gospodărie.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Cadrul de generare a obiceiurilor zilnice și legătura sa cu scorurile pe dimensiuni și obiectivele declarate.</w:t>
      </w:r>
    </w:p>
    <w:p>
      <w:pPr>
        <w:pStyle w:val="Heading2"/>
        <w:spacing w:after="120" w:before="240"/>
      </w:pPr>
      <w:r>
        <w:t xml:space="preserve">3.4 Metodologia de Testare la Stres prin Scenarii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Logica de simulare a scenariilor bazată pe IA (ex.: 'pierderea bruscă a locului de muncă', 'dezastru natural', 'urgență medicală') și modul în care decalajele de vulnerabilitate sunt identificate din profilul de reziliență existent al utilizatorului.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Formatul structurat de ieșire pentru scenarii: analiză a impactului, acțiuni imediate, traiectorie de recuperare.</w:t>
      </w:r>
    </w:p>
    <w:p>
      <w:pPr>
        <w:pStyle w:val="Heading2"/>
        <w:spacing w:after="120" w:before="240"/>
      </w:pPr>
      <w:r>
        <w:t xml:space="preserve">3.5 Cadrul și Conținutul Listei de Verificare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Biblioteca curată de elemente din lista de verificare, organizată pe arie de reziliență, nivel de prioritate (Critic, Ridicat, Mediu, Scăzut) și context de gospodărie.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Algoritmul de selecție și clasare a elementelor din lista de verificare bazat pe lacunele de scor și obiectivele declarate.</w:t>
      </w:r>
    </w:p>
    <w:p>
      <w:pPr>
        <w:pStyle w:val="Heading2"/>
        <w:spacing w:after="120" w:before="240"/>
      </w:pPr>
      <w:r>
        <w:t xml:space="preserve">3.6 Identitatea de Brand și Produs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Denumirea de brand 'Resilium', logo-ul, limbajul de design vizual și interfața utilizator a platformei.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Tagline-ul 'Know Your Readiness. Build Your Resilience.' și materialele de marketing asociate.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Fundalul animat Neural Canvas și elementele unice de identitate vizuală.</w:t>
      </w:r>
    </w:p>
    <w:p>
      <w:pPr>
        <w:pStyle w:val="Heading1"/>
        <w:spacing w:after="120" w:before="240"/>
      </w:pPr>
      <w:r>
        <w:t xml:space="preserve">4. Obligații de Confidențialitate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Toți angajații, contractorii, consilierii și terțele părți care au acces la oricare dintre activele proprietare descrise în Secțiunea 3 sunt obligați prin obligații de confidențialitate. Divulgarea neautorizată, reproducerea, ingineria inversă sau utilizarea acestor secrete comerciale în scopuri competitive constituie o încălcare a legislației aplicabile privind secretele comerciale și reglementările privind concurența neloială.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Accesul la aceste active trebuie acordat pe baza principiului strict al necesității de a cunoaște și trebuie revocat imediat la încheierea oricărei relații profesionale cu operatorul.</w:t>
      </w:r>
    </w:p>
    <w:p>
      <w:pPr>
        <w:pStyle w:val="Heading1"/>
        <w:spacing w:after="120" w:before="240"/>
      </w:pPr>
      <w:r>
        <w:t xml:space="preserve">5. Notificare de Drepturi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© 2026 Resilium SRL. Toate drepturile rezervate.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Această metodologie, platformă și toată proprietatea intelectuală asociată sunt protejate în temeiul: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Legii nr. 8/1996 privind dreptul de autor și drepturile conexe (România)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Directivei UE privind secretele comerciale (2016/943/UE), transpusă în dreptul român prin Legea nr. 11/1991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Legii americane privind apărarea secretelor comerciale (DTSA), 18 U.S.C. § 1836 et seq.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Directivei UE privind bazele de date (96/9/CE) — baza de date a listei de verificare și a metodologiei beneficiază de drepturi sui generis</w:t>
      </w:r>
    </w:p>
    <w:p>
      <w:pPr>
        <w:pStyle w:val="Heading1"/>
        <w:spacing w:after="120" w:before="240"/>
      </w:pPr>
      <w:r>
        <w:t xml:space="preserve">6. Controlul Documentului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Acest document trebuie revizuit și actualizat anual sau ori de câte ori se aduce o modificare materială metodologiei sau tehnologiei. Copiile trebuie stocate în siguranță și nu trebuie distribuite în afara organizației fără revizuirea consilierului juridic.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Versiunea documentului: 1.0  ·  Data intrării în vigoare: 27 aprilie 2026  ·  Revizuire următoare: aprilie 2027</w:t>
      </w:r>
    </w:p>
    <w:p>
      <w:pPr>
        <w:pBdr>
          <w:bottom w:val="single" w:color="D97706" w:sz="6"/>
        </w:pBdr>
        <w:spacing w:after="120" w:before="120"/>
      </w:pP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Resilium SRL  ·  Confidențial  ·  Nu pentru Distribuție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2026-04-27T20:22:47.960Z</dcterms:created>
  <dcterms:modified xsi:type="dcterms:W3CDTF">2026-04-27T20:22:47.960Z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