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D97706"/>
          <w:sz w:val="36"/>
          <w:szCs w:val="36"/>
        </w:rPr>
        <w:t xml:space="preserve">TRADE SECRET CLASSIFICATION NOTICE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Resilience Methodology — Proprietary &amp; Confidential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Resilium SRL  ·  April 27, 2026</w:t>
      </w:r>
    </w:p>
    <w:p>
      <w:pPr>
        <w:pBdr>
          <w:bottom w:val="single" w:color="D97706" w:sz="6"/>
        </w:pBdr>
        <w:spacing w:after="120" w:before="120"/>
      </w:pPr>
    </w:p>
    <w:p>
      <w:pPr>
        <w:pStyle w:val="Heading1"/>
        <w:spacing w:after="120" w:before="240"/>
      </w:pPr>
      <w:r>
        <w:t xml:space="preserve">1. Purpose of This Document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document establishes the formal trade secret classification of the Resilium resilience methodology and all associated intellectual property. It is intended to create a written record of proprietary ownership for internal use, legal protection, and enforcement purposes in accordance with the Romanian Law no. 11/1991 on unfair competition, the EU Trade Secrets Directive (2016/943/EU), and the US Defend Trade Secrets Act (DTSA).</w:t>
      </w:r>
    </w:p>
    <w:p>
      <w:pPr>
        <w:pStyle w:val="Heading1"/>
        <w:spacing w:after="120" w:before="240"/>
      </w:pPr>
      <w:r>
        <w:t xml:space="preserve">2. Owner &amp; Operator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intellectual property described herein is owned and operated exclusively by Resilium SRL, a Romanian limited liability company (Societate cu Răspundere Limitată) registered in Romania.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Contact: contact_resilium@pm.me</w:t>
      </w:r>
    </w:p>
    <w:p>
      <w:pPr>
        <w:pStyle w:val="Heading1"/>
        <w:spacing w:after="120" w:before="240"/>
      </w:pPr>
      <w:r>
        <w:t xml:space="preserve">3. Classification of Proprietary Assets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following elements are classified as proprietary trade secrets and confidential intellectual property:</w:t>
      </w:r>
    </w:p>
    <w:p>
      <w:pPr>
        <w:pStyle w:val="Heading2"/>
        <w:spacing w:after="120" w:before="240"/>
      </w:pPr>
      <w:r>
        <w:t xml:space="preserve">3.1 Resilience Scoring Algorithm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multi-dimensional scoring methodology that produces a weighted composite resilience score across six life dimensions: Financial, Health, Skills, Mobility, Psychological, and Resources.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specific weighting matrix applied to each dimension based on household composition, location, income stability, and stated risk priorities.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normalization and benchmarking logic that positions individual scores within population distributions.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Social Capital overlay dimension and its integration into the composite score.</w:t>
      </w:r>
    </w:p>
    <w:p>
      <w:pPr>
        <w:pStyle w:val="Heading2"/>
        <w:spacing w:after="120" w:before="240"/>
      </w:pPr>
      <w:r>
        <w:t xml:space="preserve">3.2 Six-Dimension Assessment Framework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specific question sequence, branching logic, and adaptive follow-up questions within the full resilience assessment (13+ step flow).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Mental Resilience sub-assessment (MR questionnaire) and its integration with the six primary dimensions.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mapping of assessment responses to vulnerability categories and priority tiers.</w:t>
      </w:r>
    </w:p>
    <w:p>
      <w:pPr>
        <w:pStyle w:val="Heading2"/>
        <w:spacing w:after="120" w:before="240"/>
      </w:pPr>
      <w:r>
        <w:t xml:space="preserve">3.3 AI-Powered Action Plan Generation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prompt engineering, system instruction design, and structured output schema used to generate personalized resilience action plans via large language model APIs.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logic for translating raw scores into prioritized, area-specific, household-contextualized checklists.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daily habits generation framework and its linkage to dimension scores and stated goals.</w:t>
      </w:r>
    </w:p>
    <w:p>
      <w:pPr>
        <w:pStyle w:val="Heading2"/>
        <w:spacing w:after="120" w:before="240"/>
      </w:pPr>
      <w:r>
        <w:t xml:space="preserve">3.4 Scenario Stress-Test Methodology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AI-driven scenario simulation logic (e.g., 'sudden job loss', 'natural disaster', 'medical emergency') and how vulnerability gaps are identified from the user's existing resilience profile.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structured scenario output format: impact analysis, immediate actions, recovery pathway.</w:t>
      </w:r>
    </w:p>
    <w:p>
      <w:pPr>
        <w:pStyle w:val="Heading2"/>
        <w:spacing w:after="120" w:before="240"/>
      </w:pPr>
      <w:r>
        <w:t xml:space="preserve">3.5 Checklist Framework &amp; Content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curated checklist item library organized by resilience area, priority tier (Critical, High, Medium, Low), and household context.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checklist item selection and ranking algorithm based on score gaps and stated goals.</w:t>
      </w:r>
    </w:p>
    <w:p>
      <w:pPr>
        <w:pStyle w:val="Heading2"/>
        <w:spacing w:after="120" w:before="240"/>
      </w:pPr>
      <w:r>
        <w:t xml:space="preserve">3.6 Brand &amp; Product Identity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'Resilium' brand name, logo, visual design language, and platform user interface.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'Know Your Readiness. Build Your Resilience.' tagline and associated marketing copy.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Neural Canvas animated background and unique visual identity elements.</w:t>
      </w:r>
    </w:p>
    <w:p>
      <w:pPr>
        <w:pStyle w:val="Heading1"/>
        <w:spacing w:after="120" w:before="240"/>
      </w:pPr>
      <w:r>
        <w:t xml:space="preserve">4. Confidentiality Obligations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employees, contractors, advisors, and third parties who have access to any of the proprietary assets described in Section 3 are bound by confidentiality obligations. Unauthorized disclosure, reproduction, reverse engineering, or use of these trade secrets for competitive purposes constitutes a violation of applicable trade secret law and unfair competition regulations.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Access to these assets must be granted on a strict need-to-know basis and must be revoked immediately upon termination of any professional relationship with the operator.</w:t>
      </w:r>
    </w:p>
    <w:p>
      <w:pPr>
        <w:pStyle w:val="Heading1"/>
        <w:spacing w:after="120" w:before="240"/>
      </w:pPr>
      <w:r>
        <w:t xml:space="preserve">5. Notice of Rights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© 2026 Resilium SRL. All rights reserved.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methodology, platform, and all associated intellectual property are protected under: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Romanian Law no. 8/1996 on copyright and related rights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EU Trade Secrets Directive (2016/943/EU), transposed into Romanian law via Law no. 11/1991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US Defend Trade Secrets Act (DTSA), 18 U.S.C. § 1836 et seq.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EU Database Directive (96/9/EC) — the checklist and methodology database qualifies for sui generis database rights</w:t>
      </w:r>
    </w:p>
    <w:p>
      <w:pPr>
        <w:pStyle w:val="Heading1"/>
        <w:spacing w:after="120" w:before="240"/>
      </w:pPr>
      <w:r>
        <w:t xml:space="preserve">6. Document Control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document should be reviewed and updated annually or whenever a material change is made to the methodology or technology. Copies should be stored securely and not distributed outside the organization without legal counsel review.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Document version: 1.0  ·  Effective date: April 27, 2026  ·  Next review: April 2027</w:t>
      </w:r>
    </w:p>
    <w:p>
      <w:pPr>
        <w:pBdr>
          <w:bottom w:val="single" w:color="D97706" w:sz="6"/>
        </w:pBdr>
        <w:spacing w:after="120" w:before="120"/>
      </w:pP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Resilium SRL  ·  Confidential  ·  Not for Distribution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2026-04-27T20:22:47.952Z</dcterms:created>
  <dcterms:modified xsi:type="dcterms:W3CDTF">2026-04-27T20:22:47.952Z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