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D97706"/>
          <w:sz w:val="36"/>
          <w:szCs w:val="36"/>
        </w:rPr>
        <w:t xml:space="preserve">NOTIFICARE DE CLASIFICARE SECRET COMERCIAL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Metodologia de Reziliență — Proprietar &amp; Confidențial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Resilium SRL  ·  27 aprilie 2026</w:t>
      </w:r>
    </w:p>
    <w:p>
      <w:pPr>
        <w:spacing w:before="120"/>
      </w:pPr>
    </w:p>
    <w:p>
      <w:pPr>
        <w:pBdr>
          <w:bottom w:val="single" w:color="D97706" w:sz="6"/>
        </w:pBdr>
        <w:spacing w:after="160" w:before="160"/>
      </w:pPr>
    </w:p>
    <w:p>
      <w:pPr>
        <w:pStyle w:val="Heading1"/>
        <w:spacing w:after="100" w:before="280"/>
      </w:pPr>
      <w:r>
        <w:t xml:space="preserve">1. Scopul Acestui Document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Acest document stabileşte clasificarea formală ca secret comercial a metodologiei de reziliență Resilium şi a întregii proprietăți intelectuale asociate. Este destinat creării unui registru scris al proprietății în scopuri interne, de protecție juridică şi de aplicare, în conformitate cu Legea nr. 11/1991 privind combaterea concurenței neloiale, Directiva UE privind secretele comerciale (2016/943/UE) şi Legea americană privind apărarea secretelor comerciale (DTSA).</w:t>
      </w:r>
    </w:p>
    <w:p>
      <w:pPr>
        <w:pStyle w:val="Heading1"/>
        <w:spacing w:after="100" w:before="280"/>
      </w:pPr>
      <w:r>
        <w:t xml:space="preserve">2. Proprietar &amp; Operator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Proprietatea intelectuală descrisă în prezentul document este deținută şi operată exclusiv de Resilium SRL, o societate cu răspundere limitată înregistrată în România.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Contact: contact_resilium@pm.me</w:t>
      </w:r>
    </w:p>
    <w:p>
      <w:pPr>
        <w:pStyle w:val="Heading1"/>
        <w:spacing w:after="100" w:before="280"/>
      </w:pPr>
      <w:r>
        <w:t xml:space="preserve">3. Clasificarea Activelor Proprietare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Următoarele elemente sunt clasificate ca secrete comerciale proprietare şi proprietate intelectuală confidențială:</w:t>
      </w:r>
    </w:p>
    <w:p>
      <w:pPr>
        <w:pStyle w:val="Heading2"/>
        <w:spacing w:after="100" w:before="280"/>
      </w:pPr>
      <w:r>
        <w:t xml:space="preserve">3.1  Algoritmul de Scorare a Rezilienței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Metodologia de scorare multidimensională care produce un scor compozit ponderat al rezilienței pe şase dimensiuni ale vieții: Financiar, Sănătate, Competențe, Mobilitate, Psihologic şi Resurse.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Matricea de ponderare specifică aplicată fiecărei dimensiuni în funcție de componența gospodăriei, locație, stabilitate financiară şi priorități de risc declarate.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Logica de normalizare şi benchmarking care poziționează scorurile individuale în distribuțiile populației.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Dimensiunea suplimentară Capital Social şi integrarea sa în scorul compozit.</w:t>
      </w:r>
    </w:p>
    <w:p>
      <w:pPr>
        <w:pStyle w:val="Heading2"/>
        <w:spacing w:after="100" w:before="280"/>
      </w:pPr>
      <w:r>
        <w:t xml:space="preserve">3.2  Cadrul de Evaluare pe Şase Dimensiuni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Secvența specifică de întrebări, logica de ramificare şi întrebările adaptive de urmărire din evaluarea completă a rezilienței (flux de 13+ paşi).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Sub-evaluarea Rezilienței Mentale (chestionar MR) şi integrarea sa cu cele şase dimensiuni primare.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Maparea răspunsurilor la evaluare pe categorii de vulnerabilitate şi niveluri de prioritate.</w:t>
      </w:r>
    </w:p>
    <w:p>
      <w:pPr>
        <w:pStyle w:val="Heading2"/>
        <w:spacing w:after="100" w:before="280"/>
      </w:pPr>
      <w:r>
        <w:t xml:space="preserve">3.3  Generarea Planului de Acțiune prin Inteligență Artificială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Ingineria prompt-urilor, designul instrucțiunilor de sistem şi schema de ieşire structurată utilizată pentru generarea planurilor personalizate de acțiune pentru reziliență prin API-uri de modele lingvistice mari.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Logica pentru traducerea scorurilor brute în liste de verificare prioritizate, specifice pe arii, contextualizate pentru gospodărie.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Cadrul de generare a obiceiurilor zilnice şi legătura sa cu scorurile pe dimensiuni şi obiectivele declarate.</w:t>
      </w:r>
    </w:p>
    <w:p>
      <w:pPr>
        <w:pStyle w:val="Heading2"/>
        <w:spacing w:after="100" w:before="280"/>
      </w:pPr>
      <w:r>
        <w:t xml:space="preserve">3.4  Metodologia de Testare la Stres prin Scenarii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Logica de simulare a scenariilor bazată pe IA (ex.: ‘pierderea bruscă a locului de muncă’, ‘dezastru natural’, ‘urgență medicală’) şi modul în care decalajele de vulnerabilitate sunt identificate din profilul de reziliență existent al utilizatorului.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Formatul structurat de ieşire pentru scenarii: analiză a impactului, acțiuni imediate, traiectorie de recuperare.</w:t>
      </w:r>
    </w:p>
    <w:p>
      <w:pPr>
        <w:pStyle w:val="Heading2"/>
        <w:spacing w:after="100" w:before="280"/>
      </w:pPr>
      <w:r>
        <w:t xml:space="preserve">3.5  Cadrul şi Conținutul Listei de Verificare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Biblioteca curată de elemente din lista de verificare, organizată pe arie de reziliență, nivel de prioritate (Critic, Ridicat, Mediu, Scăzut) şi context de gospodărie.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Algoritmul de selecție şi clasare a elementelor din lista de verificare bazat pe lacunele de scor şi obiectivele declarate.</w:t>
      </w:r>
    </w:p>
    <w:p>
      <w:pPr>
        <w:pStyle w:val="Heading2"/>
        <w:spacing w:after="100" w:before="280"/>
      </w:pPr>
      <w:r>
        <w:t xml:space="preserve">3.6  Identitatea de Brand şi Produs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Denumirea de brand ‘Resilium’, logo-ul, limbajul de design vizual şi interfata utilizator a platformei.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Tagline-ul ‘Know Your Readiness. Build Your Resilience.’ şi materialele de marketing asociate.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Fundalul animat Neural Canvas şi elementele unice de identitate vizuală.</w:t>
      </w:r>
    </w:p>
    <w:p>
      <w:pPr>
        <w:pStyle w:val="Heading1"/>
        <w:spacing w:after="100" w:before="280"/>
      </w:pPr>
      <w:r>
        <w:t xml:space="preserve">4. Obligații de Confidențialitate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Toți angajații, contractorii, consilierii şi terțele părți care au acces la oricare dintre activele proprietare descrise în Secțiunea 3 sunt obligați prin obligații de confidențialitate. Divulgarea neautorizată, reproducerea, ingineria inversă sau utilizarea acestor secrete comerciale în scopuri competitive constituie o încălcare a legislației aplicabile privind secretele comerciale şi reglementările privind concurența neloială.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Accesul la aceste active trebuie acordat pe baza principiului strict al necesității de a cunoaşte şi trebuie revocat imediat la încheierea oricărei relații profesionale cu operatorul.</w:t>
      </w:r>
    </w:p>
    <w:p>
      <w:pPr>
        <w:pStyle w:val="Heading1"/>
        <w:spacing w:after="100" w:before="280"/>
      </w:pPr>
      <w:r>
        <w:t xml:space="preserve">5. Notificare de Drepturi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© 2026 Resilium SRL. Toate drepturile rezervate.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Această metodologie, platformă şi toată proprietatea intelectuală asociată sunt protejate în temeiul: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Legii nr. 8/1996 privind dreptul de autor şi drepturile conexe (România)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Directivei UE privind secretele comerciale (2016/943/UE), transpusă în dreptul român prin Legea nr. 11/1991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Legii americane privind apărarea secretelor comerciale (DTSA), 18 U.S.C. § 1836 et seq.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Directivei UE privind bazele de date (96/9/CE) — baza de date a listei de verificare şi a metodologiei beneficiază de drepturi sui generis</w:t>
      </w:r>
    </w:p>
    <w:p>
      <w:pPr>
        <w:pStyle w:val="Heading1"/>
        <w:spacing w:after="100" w:before="280"/>
      </w:pPr>
      <w:r>
        <w:t xml:space="preserve">6. Controlul Documentului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Acest document trebuie revizuit şi actualizat anual sau ori de câte ori se aduce o modificare materială metodologiei sau tehnologiei. Copiile trebuie stocate în siguranță şi nu trebuie distribuite în afara organizației fără revizuirea consilierului juridic.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Versiunea documentului: 1.0  ·  Data intrării în vigoare: 27 aprilie 2026  ·  Revizuire următoare: aprilie 2027</w:t>
      </w:r>
    </w:p>
    <w:p>
      <w:pPr>
        <w:pBdr>
          <w:bottom w:val="single" w:color="D97706" w:sz="6"/>
        </w:pBdr>
        <w:spacing w:after="160" w:before="16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Resilium SRL  ·  Confidențial  ·  Nu pentru Distribuție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2026-04-27T21:03:19.461Z</dcterms:created>
  <dcterms:modified xsi:type="dcterms:W3CDTF">2026-04-27T21:03:19.461Z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