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64E49"/>
          <w:sz w:val="22"/>
        </w:rPr>
        <w:t>PROFESSIONAL PROJECT REPORT</w:t>
      </w:r>
    </w:p>
    <w:p>
      <w:pPr>
        <w:spacing w:after="120"/>
      </w:pPr>
      <w:r>
        <w:rPr>
          <w:rFonts w:ascii="Calibri" w:hAnsi="Calibri"/>
          <w:b/>
          <w:color w:val="142536"/>
          <w:sz w:val="52"/>
        </w:rPr>
        <w:t>Fraud Alert Control Tower</w:t>
      </w:r>
    </w:p>
    <w:p>
      <w:pPr>
        <w:spacing w:after="240"/>
      </w:pPr>
      <w:r>
        <w:rPr>
          <w:rFonts w:ascii="Calibri" w:hAnsi="Calibri"/>
          <w:color w:val="5F6F6C"/>
          <w:sz w:val="25"/>
        </w:rPr>
        <w:t>Explainable fraud alert prioritization, investigator queue control, threshold economics, and governance evidence.</w:t>
      </w:r>
    </w:p>
    <w:tbl>
      <w:tblPr>
        <w:tblStyle w:val="TableGrid"/>
        <w:tblW w:type="auto" w:w="0"/>
        <w:jc w:val="center"/>
        <w:tblLook w:firstColumn="1" w:firstRow="1" w:lastColumn="0" w:lastRow="0" w:noHBand="0" w:noVBand="1" w:val="04A0"/>
      </w:tblPr>
      <w:tblGrid>
        <w:gridCol w:w="4896"/>
        <w:gridCol w:w="4896"/>
      </w:tblGrid>
      <w:tr>
        <w:tc>
          <w:tcPr>
            <w:tcW w:type="dxa" w:w="4896"/>
            <w:shd w:fill="F2F6F5"/>
            <w:vAlign w:val="center"/>
          </w:tcPr>
          <w:p>
            <w:pPr>
              <w:spacing w:after="40"/>
            </w:pPr>
            <w:r/>
            <w:r>
              <w:rPr>
                <w:rFonts w:ascii="Calibri" w:hAnsi="Calibri"/>
                <w:b/>
                <w:color w:val="142536"/>
                <w:sz w:val="21"/>
              </w:rPr>
              <w:t>Prepared by</w:t>
            </w:r>
          </w:p>
        </w:tc>
        <w:tc>
          <w:tcPr>
            <w:tcW w:type="dxa" w:w="4896"/>
            <w:vAlign w:val="center"/>
          </w:tcPr>
          <w:p>
            <w:pPr>
              <w:spacing w:after="40"/>
            </w:pPr>
            <w:r/>
            <w:r>
              <w:rPr>
                <w:rFonts w:ascii="Calibri" w:hAnsi="Calibri"/>
                <w:b w:val="0"/>
                <w:color w:val="142536"/>
                <w:sz w:val="21"/>
              </w:rPr>
              <w:t>Mirza Saif Baig</w:t>
            </w:r>
          </w:p>
        </w:tc>
      </w:tr>
      <w:tr>
        <w:tc>
          <w:tcPr>
            <w:tcW w:type="dxa" w:w="4896"/>
            <w:shd w:fill="F2F6F5"/>
            <w:vAlign w:val="center"/>
          </w:tcPr>
          <w:p>
            <w:pPr>
              <w:spacing w:after="40"/>
            </w:pPr>
            <w:r/>
            <w:r>
              <w:rPr>
                <w:rFonts w:ascii="Calibri" w:hAnsi="Calibri"/>
                <w:b/>
                <w:color w:val="142536"/>
                <w:sz w:val="21"/>
              </w:rPr>
              <w:t>Date</w:t>
            </w:r>
          </w:p>
        </w:tc>
        <w:tc>
          <w:tcPr>
            <w:tcW w:type="dxa" w:w="4896"/>
            <w:vAlign w:val="center"/>
          </w:tcPr>
          <w:p>
            <w:pPr>
              <w:spacing w:after="40"/>
            </w:pPr>
            <w:r/>
            <w:r>
              <w:rPr>
                <w:rFonts w:ascii="Calibri" w:hAnsi="Calibri"/>
                <w:b w:val="0"/>
                <w:color w:val="142536"/>
                <w:sz w:val="21"/>
              </w:rPr>
              <w:t>June 21, 2026</w:t>
            </w:r>
          </w:p>
        </w:tc>
      </w:tr>
      <w:tr>
        <w:tc>
          <w:tcPr>
            <w:tcW w:type="dxa" w:w="4896"/>
            <w:shd w:fill="F2F6F5"/>
            <w:vAlign w:val="center"/>
          </w:tcPr>
          <w:p>
            <w:pPr>
              <w:spacing w:after="40"/>
            </w:pPr>
            <w:r/>
            <w:r>
              <w:rPr>
                <w:rFonts w:ascii="Calibri" w:hAnsi="Calibri"/>
                <w:b/>
                <w:color w:val="142536"/>
                <w:sz w:val="21"/>
              </w:rPr>
              <w:t>Project</w:t>
            </w:r>
          </w:p>
        </w:tc>
        <w:tc>
          <w:tcPr>
            <w:tcW w:type="dxa" w:w="4896"/>
            <w:vAlign w:val="center"/>
          </w:tcPr>
          <w:p>
            <w:pPr>
              <w:spacing w:after="40"/>
            </w:pPr>
            <w:r/>
            <w:r>
              <w:rPr>
                <w:rFonts w:ascii="Calibri" w:hAnsi="Calibri"/>
                <w:b w:val="0"/>
                <w:color w:val="142536"/>
                <w:sz w:val="21"/>
              </w:rPr>
              <w:t>JPMorgan-inspired explainable fraud alert prioritization</w:t>
            </w:r>
          </w:p>
        </w:tc>
      </w:tr>
      <w:tr>
        <w:tc>
          <w:tcPr>
            <w:tcW w:type="dxa" w:w="4896"/>
            <w:shd w:fill="F2F6F5"/>
            <w:vAlign w:val="center"/>
          </w:tcPr>
          <w:p>
            <w:pPr>
              <w:spacing w:after="40"/>
            </w:pPr>
            <w:r/>
            <w:r>
              <w:rPr>
                <w:rFonts w:ascii="Calibri" w:hAnsi="Calibri"/>
                <w:b/>
                <w:color w:val="142536"/>
                <w:sz w:val="21"/>
              </w:rPr>
              <w:t>Status</w:t>
            </w:r>
          </w:p>
        </w:tc>
        <w:tc>
          <w:tcPr>
            <w:tcW w:type="dxa" w:w="4896"/>
            <w:vAlign w:val="center"/>
          </w:tcPr>
          <w:p>
            <w:pPr>
              <w:spacing w:after="40"/>
            </w:pPr>
            <w:r/>
            <w:r>
              <w:rPr>
                <w:rFonts w:ascii="Calibri" w:hAnsi="Calibri"/>
                <w:b w:val="0"/>
                <w:color w:val="142536"/>
                <w:sz w:val="21"/>
              </w:rPr>
              <w:t>Submission-ready prototype using synthetic data</w:t>
            </w:r>
          </w:p>
        </w:tc>
      </w:tr>
    </w:tbl>
    <w:p/>
    <w:p>
      <w:pPr>
        <w:spacing w:before="240" w:after="100"/>
      </w:pPr>
      <w:r>
        <w:rPr>
          <w:rFonts w:ascii="Calibri" w:hAnsi="Calibri"/>
          <w:b/>
          <w:color w:val="064E49"/>
          <w:sz w:val="32"/>
        </w:rPr>
        <w:t>1. Executive Summary</w:t>
      </w:r>
    </w:p>
    <w:p>
      <w:pPr>
        <w:spacing w:after="120" w:line="264" w:lineRule="auto"/>
      </w:pPr>
      <w:r>
        <w:rPr>
          <w:rFonts w:ascii="Calibri" w:hAnsi="Calibri"/>
          <w:color w:val="222222"/>
          <w:sz w:val="22"/>
        </w:rPr>
        <w:t>This project was built to solve an explainable fraud alert prioritization problem. I interpreted the brief as an operational analytics challenge: a fraud team cannot review every transaction, so the system must rank the riskiest cases, explain why each case is risky, and show how the threshold affects investigator workload.</w:t>
      </w:r>
    </w:p>
    <w:p>
      <w:pPr>
        <w:spacing w:after="120" w:line="264" w:lineRule="auto"/>
      </w:pPr>
      <w:r>
        <w:rPr>
          <w:rFonts w:ascii="Calibri" w:hAnsi="Calibri"/>
          <w:color w:val="222222"/>
          <w:sz w:val="22"/>
        </w:rPr>
        <w:t>The final deliverable is an end-to-end fraud analytics workflow covering data cleaning, feature engineering, model comparison, threshold selection, explainability, governance, and a deployed Vercel-style analyst app.</w:t>
      </w:r>
    </w:p>
    <w:tbl>
      <w:tblPr>
        <w:tblStyle w:val="TableGrid"/>
        <w:tblW w:type="auto" w:w="0"/>
        <w:jc w:val="center"/>
        <w:tblLook w:firstColumn="1" w:firstRow="1" w:lastColumn="0" w:lastRow="0" w:noHBand="0" w:noVBand="1" w:val="04A0"/>
      </w:tblPr>
      <w:tblGrid>
        <w:gridCol w:w="9792"/>
      </w:tblGrid>
      <w:tr>
        <w:tc>
          <w:tcPr>
            <w:tcW w:type="dxa" w:w="9792"/>
            <w:shd w:fill="E8F4F1"/>
          </w:tcPr>
          <w:p>
            <w:pPr>
              <w:spacing w:after="80"/>
            </w:pPr>
            <w:r/>
            <w:r>
              <w:rPr>
                <w:rFonts w:ascii="Calibri" w:hAnsi="Calibri"/>
                <w:b/>
                <w:color w:val="064E49"/>
                <w:sz w:val="24"/>
              </w:rPr>
              <w:t>Final conclusion</w:t>
            </w:r>
          </w:p>
          <w:p>
            <w:pPr>
              <w:spacing w:after="40"/>
            </w:pPr>
            <w:r>
              <w:rPr>
                <w:rFonts w:ascii="Calibri" w:hAnsi="Calibri"/>
                <w:color w:val="222222"/>
                <w:sz w:val="21"/>
              </w:rPr>
              <w:t>The project is not only a fraud classifier. It is a decision-support control tower that connects fraud scoring to review queues, investigator explanations, false positives, and governance controls.</w:t>
            </w:r>
          </w:p>
        </w:tc>
      </w:tr>
    </w:tbl>
    <w:p/>
    <w:p>
      <w:pPr>
        <w:spacing w:before="240" w:after="100"/>
      </w:pPr>
      <w:r>
        <w:rPr>
          <w:rFonts w:ascii="Calibri" w:hAnsi="Calibri"/>
          <w:b/>
          <w:color w:val="064E49"/>
          <w:sz w:val="32"/>
        </w:rPr>
        <w:t>2. Project Brief And My Interpretation</w:t>
      </w:r>
    </w:p>
    <w:p>
      <w:pPr>
        <w:spacing w:after="120" w:line="264" w:lineRule="auto"/>
      </w:pPr>
      <w:r>
        <w:rPr>
          <w:rFonts w:ascii="Calibri" w:hAnsi="Calibri"/>
          <w:color w:val="222222"/>
          <w:sz w:val="22"/>
        </w:rPr>
        <w:t>The assigned problem was to build an explainable fraud alert prioritization system. My first decision was to avoid treating it as a simple fraud vs legitimate prediction task. In a bank, the bigger question is which alerts should be reviewed first when investigator capacity is limited.</w:t>
      </w:r>
    </w:p>
    <w:p>
      <w:pPr>
        <w:spacing w:after="80"/>
        <w:ind w:left="360" w:hanging="216"/>
      </w:pPr>
      <w:r>
        <w:rPr>
          <w:rFonts w:ascii="Calibri" w:hAnsi="Calibri"/>
          <w:b/>
          <w:color w:val="087B73"/>
          <w:sz w:val="22"/>
        </w:rPr>
        <w:t xml:space="preserve">- </w:t>
      </w:r>
      <w:r>
        <w:rPr>
          <w:rFonts w:ascii="Calibri" w:hAnsi="Calibri"/>
          <w:color w:val="222222"/>
          <w:sz w:val="22"/>
        </w:rPr>
        <w:t>Score transaction-level fraud risk.</w:t>
      </w:r>
    </w:p>
    <w:p>
      <w:pPr>
        <w:spacing w:after="80"/>
        <w:ind w:left="360" w:hanging="216"/>
      </w:pPr>
      <w:r>
        <w:rPr>
          <w:rFonts w:ascii="Calibri" w:hAnsi="Calibri"/>
          <w:b/>
          <w:color w:val="087B73"/>
          <w:sz w:val="22"/>
        </w:rPr>
        <w:t xml:space="preserve">- </w:t>
      </w:r>
      <w:r>
        <w:rPr>
          <w:rFonts w:ascii="Calibri" w:hAnsi="Calibri"/>
          <w:color w:val="222222"/>
          <w:sz w:val="22"/>
        </w:rPr>
        <w:t>Prioritize a review queue instead of only producing a model score.</w:t>
      </w:r>
    </w:p>
    <w:p>
      <w:pPr>
        <w:spacing w:after="80"/>
        <w:ind w:left="360" w:hanging="216"/>
      </w:pPr>
      <w:r>
        <w:rPr>
          <w:rFonts w:ascii="Calibri" w:hAnsi="Calibri"/>
          <w:b/>
          <w:color w:val="087B73"/>
          <w:sz w:val="22"/>
        </w:rPr>
        <w:t xml:space="preserve">- </w:t>
      </w:r>
      <w:r>
        <w:rPr>
          <w:rFonts w:ascii="Calibri" w:hAnsi="Calibri"/>
          <w:color w:val="222222"/>
          <w:sz w:val="22"/>
        </w:rPr>
        <w:t>Explain the main drivers behind each high-risk case.</w:t>
      </w:r>
    </w:p>
    <w:p>
      <w:pPr>
        <w:spacing w:after="80"/>
        <w:ind w:left="360" w:hanging="216"/>
      </w:pPr>
      <w:r>
        <w:rPr>
          <w:rFonts w:ascii="Calibri" w:hAnsi="Calibri"/>
          <w:b/>
          <w:color w:val="087B73"/>
          <w:sz w:val="22"/>
        </w:rPr>
        <w:t xml:space="preserve">- </w:t>
      </w:r>
      <w:r>
        <w:rPr>
          <w:rFonts w:ascii="Calibri" w:hAnsi="Calibri"/>
          <w:color w:val="222222"/>
          <w:sz w:val="22"/>
        </w:rPr>
        <w:t>Tune thresholds around investigator capacity and false-positive load.</w:t>
      </w:r>
    </w:p>
    <w:p>
      <w:pPr>
        <w:spacing w:after="80"/>
        <w:ind w:left="360" w:hanging="216"/>
      </w:pPr>
      <w:r>
        <w:rPr>
          <w:rFonts w:ascii="Calibri" w:hAnsi="Calibri"/>
          <w:b/>
          <w:color w:val="087B73"/>
          <w:sz w:val="22"/>
        </w:rPr>
        <w:t xml:space="preserve">- </w:t>
      </w:r>
      <w:r>
        <w:rPr>
          <w:rFonts w:ascii="Calibri" w:hAnsi="Calibri"/>
          <w:color w:val="222222"/>
          <w:sz w:val="22"/>
        </w:rPr>
        <w:t>Document limitations and responsible-use controls before production use.</w:t>
      </w:r>
    </w:p>
    <w:p>
      <w:pPr>
        <w:spacing w:before="240" w:after="100"/>
      </w:pPr>
      <w:r>
        <w:rPr>
          <w:rFonts w:ascii="Calibri" w:hAnsi="Calibri"/>
          <w:b/>
          <w:color w:val="064E49"/>
          <w:sz w:val="32"/>
        </w:rPr>
        <w:t>3. Project Journey</w:t>
      </w:r>
    </w:p>
    <w:tbl>
      <w:tblPr>
        <w:tblStyle w:val="TableGrid"/>
        <w:tblW w:type="auto" w:w="0"/>
        <w:jc w:val="center"/>
        <w:tblLook w:firstColumn="1" w:firstRow="1" w:lastColumn="0" w:lastRow="0" w:noHBand="0" w:noVBand="1" w:val="04A0"/>
      </w:tblPr>
      <w:tblGrid>
        <w:gridCol w:w="3264"/>
        <w:gridCol w:w="3264"/>
        <w:gridCol w:w="3264"/>
      </w:tblGrid>
      <w:tr>
        <w:tc>
          <w:tcPr>
            <w:tcW w:type="dxa" w:w="1728"/>
            <w:shd w:fill="F2F6F5"/>
            <w:vAlign w:val="center"/>
          </w:tcPr>
          <w:p>
            <w:pPr>
              <w:spacing w:after="40"/>
            </w:pPr>
            <w:r/>
            <w:r>
              <w:rPr>
                <w:rFonts w:ascii="Calibri" w:hAnsi="Calibri"/>
                <w:b/>
                <w:color w:val="064E49"/>
                <w:sz w:val="21"/>
              </w:rPr>
              <w:t>Phase</w:t>
            </w:r>
          </w:p>
        </w:tc>
        <w:tc>
          <w:tcPr>
            <w:tcW w:type="dxa" w:w="3960"/>
            <w:shd w:fill="F2F6F5"/>
            <w:vAlign w:val="center"/>
          </w:tcPr>
          <w:p>
            <w:pPr>
              <w:spacing w:after="40"/>
            </w:pPr>
            <w:r/>
            <w:r>
              <w:rPr>
                <w:rFonts w:ascii="Calibri" w:hAnsi="Calibri"/>
                <w:b/>
                <w:color w:val="064E49"/>
                <w:sz w:val="21"/>
              </w:rPr>
              <w:t>What I did</w:t>
            </w:r>
          </w:p>
        </w:tc>
        <w:tc>
          <w:tcPr>
            <w:tcW w:type="dxa" w:w="3384"/>
            <w:shd w:fill="F2F6F5"/>
            <w:vAlign w:val="center"/>
          </w:tcPr>
          <w:p>
            <w:pPr>
              <w:spacing w:after="40"/>
            </w:pPr>
            <w:r/>
            <w:r>
              <w:rPr>
                <w:rFonts w:ascii="Calibri" w:hAnsi="Calibri"/>
                <w:b/>
                <w:color w:val="064E49"/>
                <w:sz w:val="21"/>
              </w:rPr>
              <w:t>Why it mattered</w:t>
            </w:r>
          </w:p>
        </w:tc>
      </w:tr>
      <w:tr>
        <w:tc>
          <w:tcPr>
            <w:tcW w:type="dxa" w:w="1728"/>
            <w:vAlign w:val="center"/>
          </w:tcPr>
          <w:p>
            <w:pPr>
              <w:spacing w:after="40"/>
            </w:pPr>
            <w:r/>
            <w:r>
              <w:rPr>
                <w:rFonts w:ascii="Calibri" w:hAnsi="Calibri"/>
                <w:b w:val="0"/>
                <w:color w:val="142536"/>
                <w:sz w:val="21"/>
              </w:rPr>
              <w:t>1. Understand the brief</w:t>
            </w:r>
          </w:p>
        </w:tc>
        <w:tc>
          <w:tcPr>
            <w:tcW w:type="dxa" w:w="3960"/>
            <w:vAlign w:val="center"/>
          </w:tcPr>
          <w:p>
            <w:pPr>
              <w:spacing w:after="40"/>
            </w:pPr>
            <w:r/>
            <w:r>
              <w:rPr>
                <w:rFonts w:ascii="Calibri" w:hAnsi="Calibri"/>
                <w:b w:val="0"/>
                <w:color w:val="142536"/>
                <w:sz w:val="21"/>
              </w:rPr>
              <w:t>Reframed the task as fraud operations and review-capacity prioritization.</w:t>
            </w:r>
          </w:p>
        </w:tc>
        <w:tc>
          <w:tcPr>
            <w:tcW w:type="dxa" w:w="3384"/>
            <w:vAlign w:val="center"/>
          </w:tcPr>
          <w:p>
            <w:pPr>
              <w:spacing w:after="40"/>
            </w:pPr>
            <w:r/>
            <w:r>
              <w:rPr>
                <w:rFonts w:ascii="Calibri" w:hAnsi="Calibri"/>
                <w:b w:val="0"/>
                <w:color w:val="142536"/>
                <w:sz w:val="21"/>
              </w:rPr>
              <w:t>This made the work more realistic for a banking fraud team.</w:t>
            </w:r>
          </w:p>
        </w:tc>
      </w:tr>
      <w:tr>
        <w:tc>
          <w:tcPr>
            <w:tcW w:type="dxa" w:w="1728"/>
            <w:vAlign w:val="center"/>
          </w:tcPr>
          <w:p>
            <w:pPr>
              <w:spacing w:after="40"/>
            </w:pPr>
            <w:r/>
            <w:r>
              <w:rPr>
                <w:rFonts w:ascii="Calibri" w:hAnsi="Calibri"/>
                <w:b w:val="0"/>
                <w:color w:val="142536"/>
                <w:sz w:val="21"/>
              </w:rPr>
              <w:t>2. Prepare the data</w:t>
            </w:r>
          </w:p>
        </w:tc>
        <w:tc>
          <w:tcPr>
            <w:tcW w:type="dxa" w:w="3960"/>
            <w:vAlign w:val="center"/>
          </w:tcPr>
          <w:p>
            <w:pPr>
              <w:spacing w:after="40"/>
            </w:pPr>
            <w:r/>
            <w:r>
              <w:rPr>
                <w:rFonts w:ascii="Calibri" w:hAnsi="Calibri"/>
                <w:b w:val="0"/>
                <w:color w:val="142536"/>
                <w:sz w:val="21"/>
              </w:rPr>
              <w:t>Joined transaction, customer, and merchant information; fixed known data issues; prevented leakage.</w:t>
            </w:r>
          </w:p>
        </w:tc>
        <w:tc>
          <w:tcPr>
            <w:tcW w:type="dxa" w:w="3384"/>
            <w:vAlign w:val="center"/>
          </w:tcPr>
          <w:p>
            <w:pPr>
              <w:spacing w:after="40"/>
            </w:pPr>
            <w:r/>
            <w:r>
              <w:rPr>
                <w:rFonts w:ascii="Calibri" w:hAnsi="Calibri"/>
                <w:b w:val="0"/>
                <w:color w:val="142536"/>
                <w:sz w:val="21"/>
              </w:rPr>
              <w:t>A model is only useful if the data pipeline is trustworthy.</w:t>
            </w:r>
          </w:p>
        </w:tc>
      </w:tr>
      <w:tr>
        <w:tc>
          <w:tcPr>
            <w:tcW w:type="dxa" w:w="1728"/>
            <w:vAlign w:val="center"/>
          </w:tcPr>
          <w:p>
            <w:pPr>
              <w:spacing w:after="40"/>
            </w:pPr>
            <w:r/>
            <w:r>
              <w:rPr>
                <w:rFonts w:ascii="Calibri" w:hAnsi="Calibri"/>
                <w:b w:val="0"/>
                <w:color w:val="142536"/>
                <w:sz w:val="21"/>
              </w:rPr>
              <w:t>3. Build features</w:t>
            </w:r>
          </w:p>
        </w:tc>
        <w:tc>
          <w:tcPr>
            <w:tcW w:type="dxa" w:w="3960"/>
            <w:vAlign w:val="center"/>
          </w:tcPr>
          <w:p>
            <w:pPr>
              <w:spacing w:after="40"/>
            </w:pPr>
            <w:r/>
            <w:r>
              <w:rPr>
                <w:rFonts w:ascii="Calibri" w:hAnsi="Calibri"/>
                <w:b w:val="0"/>
                <w:color w:val="142536"/>
                <w:sz w:val="21"/>
              </w:rPr>
              <w:t>Selected the top 10 explainable features using training-only mutual information.</w:t>
            </w:r>
          </w:p>
        </w:tc>
        <w:tc>
          <w:tcPr>
            <w:tcW w:type="dxa" w:w="3384"/>
            <w:vAlign w:val="center"/>
          </w:tcPr>
          <w:p>
            <w:pPr>
              <w:spacing w:after="40"/>
            </w:pPr>
            <w:r/>
            <w:r>
              <w:rPr>
                <w:rFonts w:ascii="Calibri" w:hAnsi="Calibri"/>
                <w:b w:val="0"/>
                <w:color w:val="142536"/>
                <w:sz w:val="21"/>
              </w:rPr>
              <w:t>Kept the model defensible and easy to connect to the app.</w:t>
            </w:r>
          </w:p>
        </w:tc>
      </w:tr>
      <w:tr>
        <w:tc>
          <w:tcPr>
            <w:tcW w:type="dxa" w:w="1728"/>
            <w:vAlign w:val="center"/>
          </w:tcPr>
          <w:p>
            <w:pPr>
              <w:spacing w:after="40"/>
            </w:pPr>
            <w:r/>
            <w:r>
              <w:rPr>
                <w:rFonts w:ascii="Calibri" w:hAnsi="Calibri"/>
                <w:b w:val="0"/>
                <w:color w:val="142536"/>
                <w:sz w:val="21"/>
              </w:rPr>
              <w:t>4. Compare models</w:t>
            </w:r>
          </w:p>
        </w:tc>
        <w:tc>
          <w:tcPr>
            <w:tcW w:type="dxa" w:w="3960"/>
            <w:vAlign w:val="center"/>
          </w:tcPr>
          <w:p>
            <w:pPr>
              <w:spacing w:after="40"/>
            </w:pPr>
            <w:r/>
            <w:r>
              <w:rPr>
                <w:rFonts w:ascii="Calibri" w:hAnsi="Calibri"/>
                <w:b w:val="0"/>
                <w:color w:val="142536"/>
                <w:sz w:val="21"/>
              </w:rPr>
              <w:t>Tested weighted models and evaluated them using fraud-focused metrics.</w:t>
            </w:r>
          </w:p>
        </w:tc>
        <w:tc>
          <w:tcPr>
            <w:tcW w:type="dxa" w:w="3384"/>
            <w:vAlign w:val="center"/>
          </w:tcPr>
          <w:p>
            <w:pPr>
              <w:spacing w:after="40"/>
            </w:pPr>
            <w:r/>
            <w:r>
              <w:rPr>
                <w:rFonts w:ascii="Calibri" w:hAnsi="Calibri"/>
                <w:b w:val="0"/>
                <w:color w:val="142536"/>
                <w:sz w:val="21"/>
              </w:rPr>
              <w:t>Accuracy is misleading when fraud is rare.</w:t>
            </w:r>
          </w:p>
        </w:tc>
      </w:tr>
      <w:tr>
        <w:tc>
          <w:tcPr>
            <w:tcW w:type="dxa" w:w="1728"/>
            <w:vAlign w:val="center"/>
          </w:tcPr>
          <w:p>
            <w:pPr>
              <w:spacing w:after="40"/>
            </w:pPr>
            <w:r/>
            <w:r>
              <w:rPr>
                <w:rFonts w:ascii="Calibri" w:hAnsi="Calibri"/>
                <w:b w:val="0"/>
                <w:color w:val="142536"/>
                <w:sz w:val="21"/>
              </w:rPr>
              <w:t>5. Deploy workflow</w:t>
            </w:r>
          </w:p>
        </w:tc>
        <w:tc>
          <w:tcPr>
            <w:tcW w:type="dxa" w:w="3960"/>
            <w:vAlign w:val="center"/>
          </w:tcPr>
          <w:p>
            <w:pPr>
              <w:spacing w:after="40"/>
            </w:pPr>
            <w:r/>
            <w:r>
              <w:rPr>
                <w:rFonts w:ascii="Calibri" w:hAnsi="Calibri"/>
                <w:b w:val="0"/>
                <w:color w:val="142536"/>
                <w:sz w:val="21"/>
              </w:rPr>
              <w:t>Built a Vercel-style control tower with scoring, queue, metrics, governance, and export.</w:t>
            </w:r>
          </w:p>
        </w:tc>
        <w:tc>
          <w:tcPr>
            <w:tcW w:type="dxa" w:w="3384"/>
            <w:vAlign w:val="center"/>
          </w:tcPr>
          <w:p>
            <w:pPr>
              <w:spacing w:after="40"/>
            </w:pPr>
            <w:r/>
            <w:r>
              <w:rPr>
                <w:rFonts w:ascii="Calibri" w:hAnsi="Calibri"/>
                <w:b w:val="0"/>
                <w:color w:val="142536"/>
                <w:sz w:val="21"/>
              </w:rPr>
              <w:t>Turned the analysis into something a reviewer can operate and assess.</w:t>
            </w:r>
          </w:p>
        </w:tc>
      </w:tr>
    </w:tbl>
    <w:p/>
    <w:p>
      <w:pPr>
        <w:spacing w:before="240" w:after="100"/>
      </w:pPr>
      <w:r>
        <w:rPr>
          <w:rFonts w:ascii="Calibri" w:hAnsi="Calibri"/>
          <w:b/>
          <w:color w:val="064E49"/>
          <w:sz w:val="32"/>
        </w:rPr>
        <w:t>4. Data Cleaning And Preparation</w:t>
      </w:r>
    </w:p>
    <w:p>
      <w:pPr>
        <w:spacing w:after="120" w:line="264" w:lineRule="auto"/>
      </w:pPr>
      <w:r>
        <w:rPr>
          <w:rFonts w:ascii="Calibri" w:hAnsi="Calibri"/>
          <w:color w:val="222222"/>
          <w:sz w:val="22"/>
        </w:rPr>
        <w:t>The modelling table was created at transaction grain, meaning one row represented one transaction. Customer and merchant fields were joined in as supporting context. The cleaning stage focused on keeping records, flagging data quality issues, and removing fields that could leak the answer.</w:t>
      </w:r>
    </w:p>
    <w:p>
      <w:pPr>
        <w:spacing w:after="80"/>
        <w:ind w:left="360" w:hanging="216"/>
      </w:pPr>
      <w:r>
        <w:rPr>
          <w:rFonts w:ascii="Calibri" w:hAnsi="Calibri"/>
          <w:b/>
          <w:color w:val="087B73"/>
          <w:sz w:val="22"/>
        </w:rPr>
        <w:t xml:space="preserve">- </w:t>
      </w:r>
      <w:r>
        <w:rPr>
          <w:rFonts w:ascii="Calibri" w:hAnsi="Calibri"/>
          <w:color w:val="222222"/>
          <w:sz w:val="22"/>
        </w:rPr>
        <w:t>Parsed transaction timestamps into hour, day-of-week, month, and weekend features.</w:t>
      </w:r>
    </w:p>
    <w:p>
      <w:pPr>
        <w:spacing w:after="80"/>
        <w:ind w:left="360" w:hanging="216"/>
      </w:pPr>
      <w:r>
        <w:rPr>
          <w:rFonts w:ascii="Calibri" w:hAnsi="Calibri"/>
          <w:b/>
          <w:color w:val="087B73"/>
          <w:sz w:val="22"/>
        </w:rPr>
        <w:t xml:space="preserve">- </w:t>
      </w:r>
      <w:r>
        <w:rPr>
          <w:rFonts w:ascii="Calibri" w:hAnsi="Calibri"/>
          <w:color w:val="222222"/>
          <w:sz w:val="22"/>
        </w:rPr>
        <w:t>Normalized country values, including mapping GB to UK for consistency.</w:t>
      </w:r>
    </w:p>
    <w:p>
      <w:pPr>
        <w:spacing w:after="80"/>
        <w:ind w:left="360" w:hanging="216"/>
      </w:pPr>
      <w:r>
        <w:rPr>
          <w:rFonts w:ascii="Calibri" w:hAnsi="Calibri"/>
          <w:b/>
          <w:color w:val="087B73"/>
          <w:sz w:val="22"/>
        </w:rPr>
        <w:t xml:space="preserve">- </w:t>
      </w:r>
      <w:r>
        <w:rPr>
          <w:rFonts w:ascii="Calibri" w:hAnsi="Calibri"/>
          <w:color w:val="222222"/>
          <w:sz w:val="22"/>
        </w:rPr>
        <w:t>Left joined customer and merchant profiles so transaction records were preserved.</w:t>
      </w:r>
    </w:p>
    <w:p>
      <w:pPr>
        <w:spacing w:after="80"/>
        <w:ind w:left="360" w:hanging="216"/>
      </w:pPr>
      <w:r>
        <w:rPr>
          <w:rFonts w:ascii="Calibri" w:hAnsi="Calibri"/>
          <w:b/>
          <w:color w:val="087B73"/>
          <w:sz w:val="22"/>
        </w:rPr>
        <w:t xml:space="preserve">- </w:t>
      </w:r>
      <w:r>
        <w:rPr>
          <w:rFonts w:ascii="Calibri" w:hAnsi="Calibri"/>
          <w:color w:val="222222"/>
          <w:sz w:val="22"/>
        </w:rPr>
        <w:t>Created missing-profile flags rather than dropping unmatched customer records.</w:t>
      </w:r>
    </w:p>
    <w:p>
      <w:pPr>
        <w:spacing w:after="80"/>
        <w:ind w:left="360" w:hanging="216"/>
      </w:pPr>
      <w:r>
        <w:rPr>
          <w:rFonts w:ascii="Calibri" w:hAnsi="Calibri"/>
          <w:b/>
          <w:color w:val="087B73"/>
          <w:sz w:val="22"/>
        </w:rPr>
        <w:t xml:space="preserve">- </w:t>
      </w:r>
      <w:r>
        <w:rPr>
          <w:rFonts w:ascii="Calibri" w:hAnsi="Calibri"/>
          <w:color w:val="222222"/>
          <w:sz w:val="22"/>
        </w:rPr>
        <w:t>Flagged broken tenure values instead of treating them as valid numeric tenure.</w:t>
      </w:r>
    </w:p>
    <w:p>
      <w:pPr>
        <w:spacing w:after="80"/>
        <w:ind w:left="360" w:hanging="216"/>
      </w:pPr>
      <w:r>
        <w:rPr>
          <w:rFonts w:ascii="Calibri" w:hAnsi="Calibri"/>
          <w:b/>
          <w:color w:val="087B73"/>
          <w:sz w:val="22"/>
        </w:rPr>
        <w:t xml:space="preserve">- </w:t>
      </w:r>
      <w:r>
        <w:rPr>
          <w:rFonts w:ascii="Calibri" w:hAnsi="Calibri"/>
          <w:color w:val="222222"/>
          <w:sz w:val="22"/>
        </w:rPr>
        <w:t>Excluded IDs, target fields, and the existing alert flag from model inputs.</w:t>
      </w:r>
    </w:p>
    <w:p>
      <w:pPr>
        <w:spacing w:before="240" w:after="100"/>
      </w:pPr>
      <w:r>
        <w:rPr>
          <w:rFonts w:ascii="Calibri" w:hAnsi="Calibri"/>
          <w:b/>
          <w:color w:val="064E49"/>
          <w:sz w:val="32"/>
        </w:rPr>
        <w:t>5. Feature Engineering And Selection</w:t>
      </w:r>
    </w:p>
    <w:p>
      <w:pPr>
        <w:spacing w:after="120" w:line="264" w:lineRule="auto"/>
      </w:pPr>
      <w:r>
        <w:rPr>
          <w:rFonts w:ascii="Calibri" w:hAnsi="Calibri"/>
          <w:color w:val="222222"/>
          <w:sz w:val="22"/>
        </w:rPr>
        <w:t>Feature selection was performed using training-only mutual information. This avoided selecting features based on validation or test data and kept the final app aligned with the same input fields used by the modelling workflow.</w:t>
      </w:r>
    </w:p>
    <w:tbl>
      <w:tblPr>
        <w:tblStyle w:val="TableGrid"/>
        <w:tblW w:type="auto" w:w="0"/>
        <w:jc w:val="center"/>
        <w:tblLook w:firstColumn="1" w:firstRow="1" w:lastColumn="0" w:lastRow="0" w:noHBand="0" w:noVBand="1" w:val="04A0"/>
      </w:tblPr>
      <w:tblGrid>
        <w:gridCol w:w="3264"/>
        <w:gridCol w:w="3264"/>
        <w:gridCol w:w="3264"/>
      </w:tblGrid>
      <w:tr>
        <w:tc>
          <w:tcPr>
            <w:tcW w:type="dxa" w:w="792"/>
            <w:shd w:fill="F2F6F5"/>
            <w:vAlign w:val="center"/>
          </w:tcPr>
          <w:p>
            <w:pPr>
              <w:spacing w:after="40"/>
            </w:pPr>
            <w:r/>
            <w:r>
              <w:rPr>
                <w:rFonts w:ascii="Calibri" w:hAnsi="Calibri"/>
                <w:b/>
                <w:color w:val="064E49"/>
                <w:sz w:val="21"/>
              </w:rPr>
              <w:t>Rank</w:t>
            </w:r>
          </w:p>
        </w:tc>
        <w:tc>
          <w:tcPr>
            <w:tcW w:type="dxa" w:w="2880"/>
            <w:shd w:fill="F2F6F5"/>
            <w:vAlign w:val="center"/>
          </w:tcPr>
          <w:p>
            <w:pPr>
              <w:spacing w:after="40"/>
            </w:pPr>
            <w:r/>
            <w:r>
              <w:rPr>
                <w:rFonts w:ascii="Calibri" w:hAnsi="Calibri"/>
                <w:b/>
                <w:color w:val="064E49"/>
                <w:sz w:val="21"/>
              </w:rPr>
              <w:t>Feature</w:t>
            </w:r>
          </w:p>
        </w:tc>
        <w:tc>
          <w:tcPr>
            <w:tcW w:type="dxa" w:w="5400"/>
            <w:shd w:fill="F2F6F5"/>
            <w:vAlign w:val="center"/>
          </w:tcPr>
          <w:p>
            <w:pPr>
              <w:spacing w:after="40"/>
            </w:pPr>
            <w:r/>
            <w:r>
              <w:rPr>
                <w:rFonts w:ascii="Calibri" w:hAnsi="Calibri"/>
                <w:b/>
                <w:color w:val="064E49"/>
                <w:sz w:val="21"/>
              </w:rPr>
              <w:t>Reason it is useful</w:t>
            </w:r>
          </w:p>
        </w:tc>
      </w:tr>
      <w:tr>
        <w:tc>
          <w:tcPr>
            <w:tcW w:type="dxa" w:w="792"/>
            <w:vAlign w:val="center"/>
          </w:tcPr>
          <w:p>
            <w:pPr>
              <w:spacing w:after="40"/>
            </w:pPr>
            <w:r/>
            <w:r>
              <w:rPr>
                <w:rFonts w:ascii="Calibri" w:hAnsi="Calibri"/>
                <w:b w:val="0"/>
                <w:color w:val="142536"/>
                <w:sz w:val="21"/>
              </w:rPr>
              <w:t>1</w:t>
            </w:r>
          </w:p>
        </w:tc>
        <w:tc>
          <w:tcPr>
            <w:tcW w:type="dxa" w:w="2880"/>
            <w:vAlign w:val="center"/>
          </w:tcPr>
          <w:p>
            <w:pPr>
              <w:spacing w:after="40"/>
            </w:pPr>
            <w:r/>
            <w:r>
              <w:rPr>
                <w:rFonts w:ascii="Calibri" w:hAnsi="Calibri"/>
                <w:b w:val="0"/>
                <w:color w:val="142536"/>
                <w:sz w:val="21"/>
              </w:rPr>
              <w:t>geo_distance_km</w:t>
            </w:r>
          </w:p>
        </w:tc>
        <w:tc>
          <w:tcPr>
            <w:tcW w:type="dxa" w:w="5400"/>
            <w:vAlign w:val="center"/>
          </w:tcPr>
          <w:p>
            <w:pPr>
              <w:spacing w:after="40"/>
            </w:pPr>
            <w:r/>
            <w:r>
              <w:rPr>
                <w:rFonts w:ascii="Calibri" w:hAnsi="Calibri"/>
                <w:b w:val="0"/>
                <w:color w:val="142536"/>
                <w:sz w:val="21"/>
              </w:rPr>
              <w:t>Captures unusual transaction location distance.</w:t>
            </w:r>
          </w:p>
        </w:tc>
      </w:tr>
      <w:tr>
        <w:tc>
          <w:tcPr>
            <w:tcW w:type="dxa" w:w="792"/>
            <w:vAlign w:val="center"/>
          </w:tcPr>
          <w:p>
            <w:pPr>
              <w:spacing w:after="40"/>
            </w:pPr>
            <w:r/>
            <w:r>
              <w:rPr>
                <w:rFonts w:ascii="Calibri" w:hAnsi="Calibri"/>
                <w:b w:val="0"/>
                <w:color w:val="142536"/>
                <w:sz w:val="21"/>
              </w:rPr>
              <w:t>2</w:t>
            </w:r>
          </w:p>
        </w:tc>
        <w:tc>
          <w:tcPr>
            <w:tcW w:type="dxa" w:w="2880"/>
            <w:vAlign w:val="center"/>
          </w:tcPr>
          <w:p>
            <w:pPr>
              <w:spacing w:after="40"/>
            </w:pPr>
            <w:r/>
            <w:r>
              <w:rPr>
                <w:rFonts w:ascii="Calibri" w:hAnsi="Calibri"/>
                <w:b w:val="0"/>
                <w:color w:val="142536"/>
                <w:sz w:val="21"/>
              </w:rPr>
              <w:t>txn_country</w:t>
            </w:r>
          </w:p>
        </w:tc>
        <w:tc>
          <w:tcPr>
            <w:tcW w:type="dxa" w:w="5400"/>
            <w:vAlign w:val="center"/>
          </w:tcPr>
          <w:p>
            <w:pPr>
              <w:spacing w:after="40"/>
            </w:pPr>
            <w:r/>
            <w:r>
              <w:rPr>
                <w:rFonts w:ascii="Calibri" w:hAnsi="Calibri"/>
                <w:b w:val="0"/>
                <w:color w:val="142536"/>
                <w:sz w:val="21"/>
              </w:rPr>
              <w:t>Captures country-level transaction context.</w:t>
            </w:r>
          </w:p>
        </w:tc>
      </w:tr>
      <w:tr>
        <w:tc>
          <w:tcPr>
            <w:tcW w:type="dxa" w:w="792"/>
            <w:vAlign w:val="center"/>
          </w:tcPr>
          <w:p>
            <w:pPr>
              <w:spacing w:after="40"/>
            </w:pPr>
            <w:r/>
            <w:r>
              <w:rPr>
                <w:rFonts w:ascii="Calibri" w:hAnsi="Calibri"/>
                <w:b w:val="0"/>
                <w:color w:val="142536"/>
                <w:sz w:val="21"/>
              </w:rPr>
              <w:t>3</w:t>
            </w:r>
          </w:p>
        </w:tc>
        <w:tc>
          <w:tcPr>
            <w:tcW w:type="dxa" w:w="2880"/>
            <w:vAlign w:val="center"/>
          </w:tcPr>
          <w:p>
            <w:pPr>
              <w:spacing w:after="40"/>
            </w:pPr>
            <w:r/>
            <w:r>
              <w:rPr>
                <w:rFonts w:ascii="Calibri" w:hAnsi="Calibri"/>
                <w:b w:val="0"/>
                <w:color w:val="142536"/>
                <w:sz w:val="21"/>
              </w:rPr>
              <w:t>synthetic_identity_score</w:t>
            </w:r>
          </w:p>
        </w:tc>
        <w:tc>
          <w:tcPr>
            <w:tcW w:type="dxa" w:w="5400"/>
            <w:vAlign w:val="center"/>
          </w:tcPr>
          <w:p>
            <w:pPr>
              <w:spacing w:after="40"/>
            </w:pPr>
            <w:r/>
            <w:r>
              <w:rPr>
                <w:rFonts w:ascii="Calibri" w:hAnsi="Calibri"/>
                <w:b w:val="0"/>
                <w:color w:val="142536"/>
                <w:sz w:val="21"/>
              </w:rPr>
              <w:t>Flags possible identity-profile risk.</w:t>
            </w:r>
          </w:p>
        </w:tc>
      </w:tr>
      <w:tr>
        <w:tc>
          <w:tcPr>
            <w:tcW w:type="dxa" w:w="792"/>
            <w:vAlign w:val="center"/>
          </w:tcPr>
          <w:p>
            <w:pPr>
              <w:spacing w:after="40"/>
            </w:pPr>
            <w:r/>
            <w:r>
              <w:rPr>
                <w:rFonts w:ascii="Calibri" w:hAnsi="Calibri"/>
                <w:b w:val="0"/>
                <w:color w:val="142536"/>
                <w:sz w:val="21"/>
              </w:rPr>
              <w:t>4</w:t>
            </w:r>
          </w:p>
        </w:tc>
        <w:tc>
          <w:tcPr>
            <w:tcW w:type="dxa" w:w="2880"/>
            <w:vAlign w:val="center"/>
          </w:tcPr>
          <w:p>
            <w:pPr>
              <w:spacing w:after="40"/>
            </w:pPr>
            <w:r/>
            <w:r>
              <w:rPr>
                <w:rFonts w:ascii="Calibri" w:hAnsi="Calibri"/>
                <w:b w:val="0"/>
                <w:color w:val="142536"/>
                <w:sz w:val="21"/>
              </w:rPr>
              <w:t>merchant_risk_score</w:t>
            </w:r>
          </w:p>
        </w:tc>
        <w:tc>
          <w:tcPr>
            <w:tcW w:type="dxa" w:w="5400"/>
            <w:vAlign w:val="center"/>
          </w:tcPr>
          <w:p>
            <w:pPr>
              <w:spacing w:after="40"/>
            </w:pPr>
            <w:r/>
            <w:r>
              <w:rPr>
                <w:rFonts w:ascii="Calibri" w:hAnsi="Calibri"/>
                <w:b w:val="0"/>
                <w:color w:val="142536"/>
                <w:sz w:val="21"/>
              </w:rPr>
              <w:t>Adds merchant-level risk signal.</w:t>
            </w:r>
          </w:p>
        </w:tc>
      </w:tr>
      <w:tr>
        <w:tc>
          <w:tcPr>
            <w:tcW w:type="dxa" w:w="792"/>
            <w:vAlign w:val="center"/>
          </w:tcPr>
          <w:p>
            <w:pPr>
              <w:spacing w:after="40"/>
            </w:pPr>
            <w:r/>
            <w:r>
              <w:rPr>
                <w:rFonts w:ascii="Calibri" w:hAnsi="Calibri"/>
                <w:b w:val="0"/>
                <w:color w:val="142536"/>
                <w:sz w:val="21"/>
              </w:rPr>
              <w:t>5</w:t>
            </w:r>
          </w:p>
        </w:tc>
        <w:tc>
          <w:tcPr>
            <w:tcW w:type="dxa" w:w="2880"/>
            <w:vAlign w:val="center"/>
          </w:tcPr>
          <w:p>
            <w:pPr>
              <w:spacing w:after="40"/>
            </w:pPr>
            <w:r/>
            <w:r>
              <w:rPr>
                <w:rFonts w:ascii="Calibri" w:hAnsi="Calibri"/>
                <w:b w:val="0"/>
                <w:color w:val="142536"/>
                <w:sz w:val="21"/>
              </w:rPr>
              <w:t>channel</w:t>
            </w:r>
          </w:p>
        </w:tc>
        <w:tc>
          <w:tcPr>
            <w:tcW w:type="dxa" w:w="5400"/>
            <w:vAlign w:val="center"/>
          </w:tcPr>
          <w:p>
            <w:pPr>
              <w:spacing w:after="40"/>
            </w:pPr>
            <w:r/>
            <w:r>
              <w:rPr>
                <w:rFonts w:ascii="Calibri" w:hAnsi="Calibri"/>
                <w:b w:val="0"/>
                <w:color w:val="142536"/>
                <w:sz w:val="21"/>
              </w:rPr>
              <w:t>Separates P2P, wire, card, and online behavior.</w:t>
            </w:r>
          </w:p>
        </w:tc>
      </w:tr>
      <w:tr>
        <w:tc>
          <w:tcPr>
            <w:tcW w:type="dxa" w:w="792"/>
            <w:vAlign w:val="center"/>
          </w:tcPr>
          <w:p>
            <w:pPr>
              <w:spacing w:after="40"/>
            </w:pPr>
            <w:r/>
            <w:r>
              <w:rPr>
                <w:rFonts w:ascii="Calibri" w:hAnsi="Calibri"/>
                <w:b w:val="0"/>
                <w:color w:val="142536"/>
                <w:sz w:val="21"/>
              </w:rPr>
              <w:t>6</w:t>
            </w:r>
          </w:p>
        </w:tc>
        <w:tc>
          <w:tcPr>
            <w:tcW w:type="dxa" w:w="2880"/>
            <w:vAlign w:val="center"/>
          </w:tcPr>
          <w:p>
            <w:pPr>
              <w:spacing w:after="40"/>
            </w:pPr>
            <w:r/>
            <w:r>
              <w:rPr>
                <w:rFonts w:ascii="Calibri" w:hAnsi="Calibri"/>
                <w:b w:val="0"/>
                <w:color w:val="142536"/>
                <w:sz w:val="21"/>
              </w:rPr>
              <w:t>txn_hour</w:t>
            </w:r>
          </w:p>
        </w:tc>
        <w:tc>
          <w:tcPr>
            <w:tcW w:type="dxa" w:w="5400"/>
            <w:vAlign w:val="center"/>
          </w:tcPr>
          <w:p>
            <w:pPr>
              <w:spacing w:after="40"/>
            </w:pPr>
            <w:r/>
            <w:r>
              <w:rPr>
                <w:rFonts w:ascii="Calibri" w:hAnsi="Calibri"/>
                <w:b w:val="0"/>
                <w:color w:val="142536"/>
                <w:sz w:val="21"/>
              </w:rPr>
              <w:t>Captures time-of-day transaction pattern.</w:t>
            </w:r>
          </w:p>
        </w:tc>
      </w:tr>
      <w:tr>
        <w:tc>
          <w:tcPr>
            <w:tcW w:type="dxa" w:w="792"/>
            <w:vAlign w:val="center"/>
          </w:tcPr>
          <w:p>
            <w:pPr>
              <w:spacing w:after="40"/>
            </w:pPr>
            <w:r/>
            <w:r>
              <w:rPr>
                <w:rFonts w:ascii="Calibri" w:hAnsi="Calibri"/>
                <w:b w:val="0"/>
                <w:color w:val="142536"/>
                <w:sz w:val="21"/>
              </w:rPr>
              <w:t>7</w:t>
            </w:r>
          </w:p>
        </w:tc>
        <w:tc>
          <w:tcPr>
            <w:tcW w:type="dxa" w:w="2880"/>
            <w:vAlign w:val="center"/>
          </w:tcPr>
          <w:p>
            <w:pPr>
              <w:spacing w:after="40"/>
            </w:pPr>
            <w:r/>
            <w:r>
              <w:rPr>
                <w:rFonts w:ascii="Calibri" w:hAnsi="Calibri"/>
                <w:b w:val="0"/>
                <w:color w:val="142536"/>
                <w:sz w:val="21"/>
              </w:rPr>
              <w:t>device_risk_score</w:t>
            </w:r>
          </w:p>
        </w:tc>
        <w:tc>
          <w:tcPr>
            <w:tcW w:type="dxa" w:w="5400"/>
            <w:vAlign w:val="center"/>
          </w:tcPr>
          <w:p>
            <w:pPr>
              <w:spacing w:after="40"/>
            </w:pPr>
            <w:r/>
            <w:r>
              <w:rPr>
                <w:rFonts w:ascii="Calibri" w:hAnsi="Calibri"/>
                <w:b w:val="0"/>
                <w:color w:val="142536"/>
                <w:sz w:val="21"/>
              </w:rPr>
              <w:t>Adds device-level fraud risk context.</w:t>
            </w:r>
          </w:p>
        </w:tc>
      </w:tr>
      <w:tr>
        <w:tc>
          <w:tcPr>
            <w:tcW w:type="dxa" w:w="792"/>
            <w:vAlign w:val="center"/>
          </w:tcPr>
          <w:p>
            <w:pPr>
              <w:spacing w:after="40"/>
            </w:pPr>
            <w:r/>
            <w:r>
              <w:rPr>
                <w:rFonts w:ascii="Calibri" w:hAnsi="Calibri"/>
                <w:b w:val="0"/>
                <w:color w:val="142536"/>
                <w:sz w:val="21"/>
              </w:rPr>
              <w:t>8</w:t>
            </w:r>
          </w:p>
        </w:tc>
        <w:tc>
          <w:tcPr>
            <w:tcW w:type="dxa" w:w="2880"/>
            <w:vAlign w:val="center"/>
          </w:tcPr>
          <w:p>
            <w:pPr>
              <w:spacing w:after="40"/>
            </w:pPr>
            <w:r/>
            <w:r>
              <w:rPr>
                <w:rFonts w:ascii="Calibri" w:hAnsi="Calibri"/>
                <w:b w:val="0"/>
                <w:color w:val="142536"/>
                <w:sz w:val="21"/>
              </w:rPr>
              <w:t>merchant_profile_risk_score</w:t>
            </w:r>
          </w:p>
        </w:tc>
        <w:tc>
          <w:tcPr>
            <w:tcW w:type="dxa" w:w="5400"/>
            <w:vAlign w:val="center"/>
          </w:tcPr>
          <w:p>
            <w:pPr>
              <w:spacing w:after="40"/>
            </w:pPr>
            <w:r/>
            <w:r>
              <w:rPr>
                <w:rFonts w:ascii="Calibri" w:hAnsi="Calibri"/>
                <w:b w:val="0"/>
                <w:color w:val="142536"/>
                <w:sz w:val="21"/>
              </w:rPr>
              <w:t>Adds broader merchant profile signal.</w:t>
            </w:r>
          </w:p>
        </w:tc>
      </w:tr>
      <w:tr>
        <w:tc>
          <w:tcPr>
            <w:tcW w:type="dxa" w:w="792"/>
            <w:vAlign w:val="center"/>
          </w:tcPr>
          <w:p>
            <w:pPr>
              <w:spacing w:after="40"/>
            </w:pPr>
            <w:r/>
            <w:r>
              <w:rPr>
                <w:rFonts w:ascii="Calibri" w:hAnsi="Calibri"/>
                <w:b w:val="0"/>
                <w:color w:val="142536"/>
                <w:sz w:val="21"/>
              </w:rPr>
              <w:t>9</w:t>
            </w:r>
          </w:p>
        </w:tc>
        <w:tc>
          <w:tcPr>
            <w:tcW w:type="dxa" w:w="2880"/>
            <w:vAlign w:val="center"/>
          </w:tcPr>
          <w:p>
            <w:pPr>
              <w:spacing w:after="40"/>
            </w:pPr>
            <w:r/>
            <w:r>
              <w:rPr>
                <w:rFonts w:ascii="Calibri" w:hAnsi="Calibri"/>
                <w:b w:val="0"/>
                <w:color w:val="142536"/>
                <w:sz w:val="21"/>
              </w:rPr>
              <w:t>transaction_amount_usd</w:t>
            </w:r>
          </w:p>
        </w:tc>
        <w:tc>
          <w:tcPr>
            <w:tcW w:type="dxa" w:w="5400"/>
            <w:vAlign w:val="center"/>
          </w:tcPr>
          <w:p>
            <w:pPr>
              <w:spacing w:after="40"/>
            </w:pPr>
            <w:r/>
            <w:r>
              <w:rPr>
                <w:rFonts w:ascii="Calibri" w:hAnsi="Calibri"/>
                <w:b w:val="0"/>
                <w:color w:val="142536"/>
                <w:sz w:val="21"/>
              </w:rPr>
              <w:t>Captures transaction value risk.</w:t>
            </w:r>
          </w:p>
        </w:tc>
      </w:tr>
      <w:tr>
        <w:tc>
          <w:tcPr>
            <w:tcW w:type="dxa" w:w="792"/>
            <w:vAlign w:val="center"/>
          </w:tcPr>
          <w:p>
            <w:pPr>
              <w:spacing w:after="40"/>
            </w:pPr>
            <w:r/>
            <w:r>
              <w:rPr>
                <w:rFonts w:ascii="Calibri" w:hAnsi="Calibri"/>
                <w:b w:val="0"/>
                <w:color w:val="142536"/>
                <w:sz w:val="21"/>
              </w:rPr>
              <w:t>10</w:t>
            </w:r>
          </w:p>
        </w:tc>
        <w:tc>
          <w:tcPr>
            <w:tcW w:type="dxa" w:w="2880"/>
            <w:vAlign w:val="center"/>
          </w:tcPr>
          <w:p>
            <w:pPr>
              <w:spacing w:after="40"/>
            </w:pPr>
            <w:r/>
            <w:r>
              <w:rPr>
                <w:rFonts w:ascii="Calibri" w:hAnsi="Calibri"/>
                <w:b w:val="0"/>
                <w:color w:val="142536"/>
                <w:sz w:val="21"/>
              </w:rPr>
              <w:t>amount_log1p</w:t>
            </w:r>
          </w:p>
        </w:tc>
        <w:tc>
          <w:tcPr>
            <w:tcW w:type="dxa" w:w="5400"/>
            <w:vAlign w:val="center"/>
          </w:tcPr>
          <w:p>
            <w:pPr>
              <w:spacing w:after="40"/>
            </w:pPr>
            <w:r/>
            <w:r>
              <w:rPr>
                <w:rFonts w:ascii="Calibri" w:hAnsi="Calibri"/>
                <w:b w:val="0"/>
                <w:color w:val="142536"/>
                <w:sz w:val="21"/>
              </w:rPr>
              <w:t>Reduces skew from transaction amount.</w:t>
            </w:r>
          </w:p>
        </w:tc>
      </w:tr>
    </w:tbl>
    <w:p/>
    <w:p>
      <w:pPr>
        <w:spacing w:before="240" w:after="100"/>
      </w:pPr>
      <w:r>
        <w:rPr>
          <w:rFonts w:ascii="Calibri" w:hAnsi="Calibri"/>
          <w:b/>
          <w:color w:val="064E49"/>
          <w:sz w:val="32"/>
        </w:rPr>
        <w:t>6. Modelling And Threshold Strategy</w:t>
      </w:r>
    </w:p>
    <w:p>
      <w:pPr>
        <w:spacing w:after="120" w:line="264" w:lineRule="auto"/>
      </w:pPr>
      <w:r>
        <w:rPr>
          <w:rFonts w:ascii="Calibri" w:hAnsi="Calibri"/>
          <w:color w:val="222222"/>
          <w:sz w:val="22"/>
        </w:rPr>
        <w:t>The modelling stage compared several weighted models because the fraud class was rare. I did not treat accuracy as the main evidence. Instead, I focused on ranking quality, precision, recall, false positives, and review count.</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fill="F2F6F5"/>
            <w:vAlign w:val="center"/>
          </w:tcPr>
          <w:p>
            <w:pPr>
              <w:spacing w:after="40"/>
            </w:pPr>
            <w:r/>
            <w:r>
              <w:rPr>
                <w:rFonts w:ascii="Calibri" w:hAnsi="Calibri"/>
                <w:b/>
                <w:color w:val="064E49"/>
                <w:sz w:val="21"/>
              </w:rPr>
              <w:t>Metric</w:t>
            </w:r>
          </w:p>
        </w:tc>
        <w:tc>
          <w:tcPr>
            <w:tcW w:type="dxa" w:w="2880"/>
            <w:shd w:fill="F2F6F5"/>
            <w:vAlign w:val="center"/>
          </w:tcPr>
          <w:p>
            <w:pPr>
              <w:spacing w:after="40"/>
            </w:pPr>
            <w:r/>
            <w:r>
              <w:rPr>
                <w:rFonts w:ascii="Calibri" w:hAnsi="Calibri"/>
                <w:b/>
                <w:color w:val="064E49"/>
                <w:sz w:val="21"/>
              </w:rPr>
              <w:t>Selected operating result</w:t>
            </w:r>
          </w:p>
        </w:tc>
        <w:tc>
          <w:tcPr>
            <w:tcW w:type="dxa" w:w="3888"/>
            <w:shd w:fill="F2F6F5"/>
            <w:vAlign w:val="center"/>
          </w:tcPr>
          <w:p>
            <w:pPr>
              <w:spacing w:after="40"/>
            </w:pPr>
            <w:r/>
            <w:r>
              <w:rPr>
                <w:rFonts w:ascii="Calibri" w:hAnsi="Calibri"/>
                <w:b/>
                <w:color w:val="064E49"/>
                <w:sz w:val="21"/>
              </w:rPr>
              <w:t>Interpretation</w:t>
            </w:r>
          </w:p>
        </w:tc>
      </w:tr>
      <w:tr>
        <w:tc>
          <w:tcPr>
            <w:tcW w:type="dxa" w:w="2304"/>
            <w:vAlign w:val="center"/>
          </w:tcPr>
          <w:p>
            <w:pPr>
              <w:spacing w:after="40"/>
            </w:pPr>
            <w:r/>
            <w:r>
              <w:rPr>
                <w:rFonts w:ascii="Calibri" w:hAnsi="Calibri"/>
                <w:b w:val="0"/>
                <w:color w:val="142536"/>
                <w:sz w:val="21"/>
              </w:rPr>
              <w:t>Recommended threshold</w:t>
            </w:r>
          </w:p>
        </w:tc>
        <w:tc>
          <w:tcPr>
            <w:tcW w:type="dxa" w:w="2880"/>
            <w:vAlign w:val="center"/>
          </w:tcPr>
          <w:p>
            <w:pPr>
              <w:spacing w:after="40"/>
            </w:pPr>
            <w:r/>
            <w:r>
              <w:rPr>
                <w:rFonts w:ascii="Calibri" w:hAnsi="Calibri"/>
                <w:b w:val="0"/>
                <w:color w:val="142536"/>
                <w:sz w:val="21"/>
              </w:rPr>
              <w:t>0.798</w:t>
            </w:r>
          </w:p>
        </w:tc>
        <w:tc>
          <w:tcPr>
            <w:tcW w:type="dxa" w:w="3888"/>
            <w:vAlign w:val="center"/>
          </w:tcPr>
          <w:p>
            <w:pPr>
              <w:spacing w:after="40"/>
            </w:pPr>
            <w:r/>
            <w:r>
              <w:rPr>
                <w:rFonts w:ascii="Calibri" w:hAnsi="Calibri"/>
                <w:b w:val="0"/>
                <w:color w:val="142536"/>
                <w:sz w:val="21"/>
              </w:rPr>
              <w:t>Prototype threshold selected around 5% review capacity.</w:t>
            </w:r>
          </w:p>
        </w:tc>
      </w:tr>
      <w:tr>
        <w:tc>
          <w:tcPr>
            <w:tcW w:type="dxa" w:w="2304"/>
            <w:vAlign w:val="center"/>
          </w:tcPr>
          <w:p>
            <w:pPr>
              <w:spacing w:after="40"/>
            </w:pPr>
            <w:r/>
            <w:r>
              <w:rPr>
                <w:rFonts w:ascii="Calibri" w:hAnsi="Calibri"/>
                <w:b w:val="0"/>
                <w:color w:val="142536"/>
                <w:sz w:val="21"/>
              </w:rPr>
              <w:t>Review count</w:t>
            </w:r>
          </w:p>
        </w:tc>
        <w:tc>
          <w:tcPr>
            <w:tcW w:type="dxa" w:w="2880"/>
            <w:vAlign w:val="center"/>
          </w:tcPr>
          <w:p>
            <w:pPr>
              <w:spacing w:after="40"/>
            </w:pPr>
            <w:r/>
            <w:r>
              <w:rPr>
                <w:rFonts w:ascii="Calibri" w:hAnsi="Calibri"/>
                <w:b w:val="0"/>
                <w:color w:val="142536"/>
                <w:sz w:val="21"/>
              </w:rPr>
              <w:t>74 of 1,000 test transactions</w:t>
            </w:r>
          </w:p>
        </w:tc>
        <w:tc>
          <w:tcPr>
            <w:tcW w:type="dxa" w:w="3888"/>
            <w:vAlign w:val="center"/>
          </w:tcPr>
          <w:p>
            <w:pPr>
              <w:spacing w:after="40"/>
            </w:pPr>
            <w:r/>
            <w:r>
              <w:rPr>
                <w:rFonts w:ascii="Calibri" w:hAnsi="Calibri"/>
                <w:b w:val="0"/>
                <w:color w:val="142536"/>
                <w:sz w:val="21"/>
              </w:rPr>
              <w:t>Actual test queue rate was 7.4%.</w:t>
            </w:r>
          </w:p>
        </w:tc>
      </w:tr>
      <w:tr>
        <w:tc>
          <w:tcPr>
            <w:tcW w:type="dxa" w:w="2304"/>
            <w:vAlign w:val="center"/>
          </w:tcPr>
          <w:p>
            <w:pPr>
              <w:spacing w:after="40"/>
            </w:pPr>
            <w:r/>
            <w:r>
              <w:rPr>
                <w:rFonts w:ascii="Calibri" w:hAnsi="Calibri"/>
                <w:b w:val="0"/>
                <w:color w:val="142536"/>
                <w:sz w:val="21"/>
              </w:rPr>
              <w:t>Queue hit rate</w:t>
            </w:r>
          </w:p>
        </w:tc>
        <w:tc>
          <w:tcPr>
            <w:tcW w:type="dxa" w:w="2880"/>
            <w:vAlign w:val="center"/>
          </w:tcPr>
          <w:p>
            <w:pPr>
              <w:spacing w:after="40"/>
            </w:pPr>
            <w:r/>
            <w:r>
              <w:rPr>
                <w:rFonts w:ascii="Calibri" w:hAnsi="Calibri"/>
                <w:b w:val="0"/>
                <w:color w:val="142536"/>
                <w:sz w:val="21"/>
              </w:rPr>
              <w:t>13.5%</w:t>
            </w:r>
          </w:p>
        </w:tc>
        <w:tc>
          <w:tcPr>
            <w:tcW w:type="dxa" w:w="3888"/>
            <w:vAlign w:val="center"/>
          </w:tcPr>
          <w:p>
            <w:pPr>
              <w:spacing w:after="40"/>
            </w:pPr>
            <w:r/>
            <w:r>
              <w:rPr>
                <w:rFonts w:ascii="Calibri" w:hAnsi="Calibri"/>
                <w:b w:val="0"/>
                <w:color w:val="142536"/>
                <w:sz w:val="21"/>
              </w:rPr>
              <w:t>Share of reviewed cases that were confirmed fraud.</w:t>
            </w:r>
          </w:p>
        </w:tc>
      </w:tr>
      <w:tr>
        <w:tc>
          <w:tcPr>
            <w:tcW w:type="dxa" w:w="2304"/>
            <w:vAlign w:val="center"/>
          </w:tcPr>
          <w:p>
            <w:pPr>
              <w:spacing w:after="40"/>
            </w:pPr>
            <w:r/>
            <w:r>
              <w:rPr>
                <w:rFonts w:ascii="Calibri" w:hAnsi="Calibri"/>
                <w:b w:val="0"/>
                <w:color w:val="142536"/>
                <w:sz w:val="21"/>
              </w:rPr>
              <w:t>Fraud capture</w:t>
            </w:r>
          </w:p>
        </w:tc>
        <w:tc>
          <w:tcPr>
            <w:tcW w:type="dxa" w:w="2880"/>
            <w:vAlign w:val="center"/>
          </w:tcPr>
          <w:p>
            <w:pPr>
              <w:spacing w:after="40"/>
            </w:pPr>
            <w:r/>
            <w:r>
              <w:rPr>
                <w:rFonts w:ascii="Calibri" w:hAnsi="Calibri"/>
                <w:b w:val="0"/>
                <w:color w:val="142536"/>
                <w:sz w:val="21"/>
              </w:rPr>
              <w:t>25.0%</w:t>
            </w:r>
          </w:p>
        </w:tc>
        <w:tc>
          <w:tcPr>
            <w:tcW w:type="dxa" w:w="3888"/>
            <w:vAlign w:val="center"/>
          </w:tcPr>
          <w:p>
            <w:pPr>
              <w:spacing w:after="40"/>
            </w:pPr>
            <w:r/>
            <w:r>
              <w:rPr>
                <w:rFonts w:ascii="Calibri" w:hAnsi="Calibri"/>
                <w:b w:val="0"/>
                <w:color w:val="142536"/>
                <w:sz w:val="21"/>
              </w:rPr>
              <w:t>Share of all frauds captured in the review queue.</w:t>
            </w:r>
          </w:p>
        </w:tc>
      </w:tr>
      <w:tr>
        <w:tc>
          <w:tcPr>
            <w:tcW w:type="dxa" w:w="2304"/>
            <w:vAlign w:val="center"/>
          </w:tcPr>
          <w:p>
            <w:pPr>
              <w:spacing w:after="40"/>
            </w:pPr>
            <w:r/>
            <w:r>
              <w:rPr>
                <w:rFonts w:ascii="Calibri" w:hAnsi="Calibri"/>
                <w:b w:val="0"/>
                <w:color w:val="142536"/>
                <w:sz w:val="21"/>
              </w:rPr>
              <w:t>True positives</w:t>
            </w:r>
          </w:p>
        </w:tc>
        <w:tc>
          <w:tcPr>
            <w:tcW w:type="dxa" w:w="2880"/>
            <w:vAlign w:val="center"/>
          </w:tcPr>
          <w:p>
            <w:pPr>
              <w:spacing w:after="40"/>
            </w:pPr>
            <w:r/>
            <w:r>
              <w:rPr>
                <w:rFonts w:ascii="Calibri" w:hAnsi="Calibri"/>
                <w:b w:val="0"/>
                <w:color w:val="142536"/>
                <w:sz w:val="21"/>
              </w:rPr>
              <w:t>10</w:t>
            </w:r>
          </w:p>
        </w:tc>
        <w:tc>
          <w:tcPr>
            <w:tcW w:type="dxa" w:w="3888"/>
            <w:vAlign w:val="center"/>
          </w:tcPr>
          <w:p>
            <w:pPr>
              <w:spacing w:after="40"/>
            </w:pPr>
            <w:r/>
            <w:r>
              <w:rPr>
                <w:rFonts w:ascii="Calibri" w:hAnsi="Calibri"/>
                <w:b w:val="0"/>
                <w:color w:val="142536"/>
                <w:sz w:val="21"/>
              </w:rPr>
              <w:t>Fraud cases caught at the selected operating point.</w:t>
            </w:r>
          </w:p>
        </w:tc>
      </w:tr>
      <w:tr>
        <w:tc>
          <w:tcPr>
            <w:tcW w:type="dxa" w:w="2304"/>
            <w:vAlign w:val="center"/>
          </w:tcPr>
          <w:p>
            <w:pPr>
              <w:spacing w:after="40"/>
            </w:pPr>
            <w:r/>
            <w:r>
              <w:rPr>
                <w:rFonts w:ascii="Calibri" w:hAnsi="Calibri"/>
                <w:b w:val="0"/>
                <w:color w:val="142536"/>
                <w:sz w:val="21"/>
              </w:rPr>
              <w:t>False positives</w:t>
            </w:r>
          </w:p>
        </w:tc>
        <w:tc>
          <w:tcPr>
            <w:tcW w:type="dxa" w:w="2880"/>
            <w:vAlign w:val="center"/>
          </w:tcPr>
          <w:p>
            <w:pPr>
              <w:spacing w:after="40"/>
            </w:pPr>
            <w:r/>
            <w:r>
              <w:rPr>
                <w:rFonts w:ascii="Calibri" w:hAnsi="Calibri"/>
                <w:b w:val="0"/>
                <w:color w:val="142536"/>
                <w:sz w:val="21"/>
              </w:rPr>
              <w:t>64</w:t>
            </w:r>
          </w:p>
        </w:tc>
        <w:tc>
          <w:tcPr>
            <w:tcW w:type="dxa" w:w="3888"/>
            <w:vAlign w:val="center"/>
          </w:tcPr>
          <w:p>
            <w:pPr>
              <w:spacing w:after="40"/>
            </w:pPr>
            <w:r/>
            <w:r>
              <w:rPr>
                <w:rFonts w:ascii="Calibri" w:hAnsi="Calibri"/>
                <w:b w:val="0"/>
                <w:color w:val="142536"/>
                <w:sz w:val="21"/>
              </w:rPr>
              <w:t>Legitimate cases requiring review before action.</w:t>
            </w:r>
          </w:p>
        </w:tc>
      </w:tr>
    </w:tbl>
    <w:p/>
    <w:p>
      <w:pPr>
        <w:spacing w:after="120" w:line="264" w:lineRule="auto"/>
      </w:pPr>
      <w:r>
        <w:rPr>
          <w:rFonts w:ascii="Calibri" w:hAnsi="Calibri"/>
          <w:color w:val="222222"/>
          <w:sz w:val="22"/>
        </w:rPr>
        <w:t>The key conclusion is that the threshold is a business-control decision. Lower thresholds increase fraud capture but create more false positives. Higher thresholds reduce workload but risk missing fraud.</w:t>
      </w:r>
    </w:p>
    <w:tbl>
      <w:tblPr>
        <w:tblStyle w:val="TableGrid"/>
        <w:tblW w:type="auto" w:w="0"/>
        <w:jc w:val="center"/>
        <w:tblLook w:firstColumn="1" w:firstRow="1" w:lastColumn="0" w:lastRow="0" w:noHBand="0" w:noVBand="1" w:val="04A0"/>
      </w:tblPr>
      <w:tblGrid>
        <w:gridCol w:w="3264"/>
        <w:gridCol w:w="3264"/>
        <w:gridCol w:w="3264"/>
      </w:tblGrid>
      <w:tr>
        <w:tc>
          <w:tcPr>
            <w:tcW w:type="dxa" w:w="1368"/>
            <w:shd w:fill="F2F6F5"/>
            <w:vAlign w:val="center"/>
          </w:tcPr>
          <w:p>
            <w:pPr>
              <w:spacing w:after="40"/>
            </w:pPr>
            <w:r/>
            <w:r>
              <w:rPr>
                <w:rFonts w:ascii="Calibri" w:hAnsi="Calibri"/>
                <w:b/>
                <w:color w:val="064E49"/>
                <w:sz w:val="21"/>
              </w:rPr>
              <w:t>Tier</w:t>
            </w:r>
          </w:p>
        </w:tc>
        <w:tc>
          <w:tcPr>
            <w:tcW w:type="dxa" w:w="3096"/>
            <w:shd w:fill="F2F6F5"/>
            <w:vAlign w:val="center"/>
          </w:tcPr>
          <w:p>
            <w:pPr>
              <w:spacing w:after="40"/>
            </w:pPr>
            <w:r/>
            <w:r>
              <w:rPr>
                <w:rFonts w:ascii="Calibri" w:hAnsi="Calibri"/>
                <w:b/>
                <w:color w:val="064E49"/>
                <w:sz w:val="21"/>
              </w:rPr>
              <w:t>Probability band</w:t>
            </w:r>
          </w:p>
        </w:tc>
        <w:tc>
          <w:tcPr>
            <w:tcW w:type="dxa" w:w="4608"/>
            <w:shd w:fill="F2F6F5"/>
            <w:vAlign w:val="center"/>
          </w:tcPr>
          <w:p>
            <w:pPr>
              <w:spacing w:after="40"/>
            </w:pPr>
            <w:r/>
            <w:r>
              <w:rPr>
                <w:rFonts w:ascii="Calibri" w:hAnsi="Calibri"/>
                <w:b/>
                <w:color w:val="064E49"/>
                <w:sz w:val="21"/>
              </w:rPr>
              <w:t>Analyst meaning</w:t>
            </w:r>
          </w:p>
        </w:tc>
      </w:tr>
      <w:tr>
        <w:tc>
          <w:tcPr>
            <w:tcW w:type="dxa" w:w="1368"/>
            <w:vAlign w:val="center"/>
          </w:tcPr>
          <w:p>
            <w:pPr>
              <w:spacing w:after="40"/>
            </w:pPr>
            <w:r/>
            <w:r>
              <w:rPr>
                <w:rFonts w:ascii="Calibri" w:hAnsi="Calibri"/>
                <w:b w:val="0"/>
                <w:color w:val="142536"/>
                <w:sz w:val="21"/>
              </w:rPr>
              <w:t>Critical</w:t>
            </w:r>
          </w:p>
        </w:tc>
        <w:tc>
          <w:tcPr>
            <w:tcW w:type="dxa" w:w="3096"/>
            <w:vAlign w:val="center"/>
          </w:tcPr>
          <w:p>
            <w:pPr>
              <w:spacing w:after="40"/>
            </w:pPr>
            <w:r/>
            <w:r>
              <w:rPr>
                <w:rFonts w:ascii="Calibri" w:hAnsi="Calibri"/>
                <w:b w:val="0"/>
                <w:color w:val="142536"/>
                <w:sz w:val="21"/>
              </w:rPr>
              <w:t>p &gt;= max(0.820, review threshold)</w:t>
            </w:r>
          </w:p>
        </w:tc>
        <w:tc>
          <w:tcPr>
            <w:tcW w:type="dxa" w:w="4608"/>
            <w:vAlign w:val="center"/>
          </w:tcPr>
          <w:p>
            <w:pPr>
              <w:spacing w:after="40"/>
            </w:pPr>
            <w:r/>
            <w:r>
              <w:rPr>
                <w:rFonts w:ascii="Calibri" w:hAnsi="Calibri"/>
                <w:b w:val="0"/>
                <w:color w:val="142536"/>
                <w:sz w:val="21"/>
              </w:rPr>
              <w:t>Emergency review before any customer-impacting decision.</w:t>
            </w:r>
          </w:p>
        </w:tc>
      </w:tr>
      <w:tr>
        <w:tc>
          <w:tcPr>
            <w:tcW w:type="dxa" w:w="1368"/>
            <w:vAlign w:val="center"/>
          </w:tcPr>
          <w:p>
            <w:pPr>
              <w:spacing w:after="40"/>
            </w:pPr>
            <w:r/>
            <w:r>
              <w:rPr>
                <w:rFonts w:ascii="Calibri" w:hAnsi="Calibri"/>
                <w:b w:val="0"/>
                <w:color w:val="142536"/>
                <w:sz w:val="21"/>
              </w:rPr>
              <w:t>High</w:t>
            </w:r>
          </w:p>
        </w:tc>
        <w:tc>
          <w:tcPr>
            <w:tcW w:type="dxa" w:w="3096"/>
            <w:vAlign w:val="center"/>
          </w:tcPr>
          <w:p>
            <w:pPr>
              <w:spacing w:after="40"/>
            </w:pPr>
            <w:r/>
            <w:r>
              <w:rPr>
                <w:rFonts w:ascii="Calibri" w:hAnsi="Calibri"/>
                <w:b w:val="0"/>
                <w:color w:val="142536"/>
                <w:sz w:val="21"/>
              </w:rPr>
              <w:t>review threshold &lt;= p &lt; Critical band</w:t>
            </w:r>
          </w:p>
        </w:tc>
        <w:tc>
          <w:tcPr>
            <w:tcW w:type="dxa" w:w="4608"/>
            <w:vAlign w:val="center"/>
          </w:tcPr>
          <w:p>
            <w:pPr>
              <w:spacing w:after="40"/>
            </w:pPr>
            <w:r/>
            <w:r>
              <w:rPr>
                <w:rFonts w:ascii="Calibri" w:hAnsi="Calibri"/>
                <w:b w:val="0"/>
                <w:color w:val="142536"/>
                <w:sz w:val="21"/>
              </w:rPr>
              <w:t>Manual investigator review.</w:t>
            </w:r>
          </w:p>
        </w:tc>
      </w:tr>
      <w:tr>
        <w:tc>
          <w:tcPr>
            <w:tcW w:type="dxa" w:w="1368"/>
            <w:vAlign w:val="center"/>
          </w:tcPr>
          <w:p>
            <w:pPr>
              <w:spacing w:after="40"/>
            </w:pPr>
            <w:r/>
            <w:r>
              <w:rPr>
                <w:rFonts w:ascii="Calibri" w:hAnsi="Calibri"/>
                <w:b w:val="0"/>
                <w:color w:val="142536"/>
                <w:sz w:val="21"/>
              </w:rPr>
              <w:t>Medium</w:t>
            </w:r>
          </w:p>
        </w:tc>
        <w:tc>
          <w:tcPr>
            <w:tcW w:type="dxa" w:w="3096"/>
            <w:vAlign w:val="center"/>
          </w:tcPr>
          <w:p>
            <w:pPr>
              <w:spacing w:after="40"/>
            </w:pPr>
            <w:r/>
            <w:r>
              <w:rPr>
                <w:rFonts w:ascii="Calibri" w:hAnsi="Calibri"/>
                <w:b w:val="0"/>
                <w:color w:val="142536"/>
                <w:sz w:val="21"/>
              </w:rPr>
              <w:t>0.350 &lt;= p &lt; review threshold</w:t>
            </w:r>
          </w:p>
        </w:tc>
        <w:tc>
          <w:tcPr>
            <w:tcW w:type="dxa" w:w="4608"/>
            <w:vAlign w:val="center"/>
          </w:tcPr>
          <w:p>
            <w:pPr>
              <w:spacing w:after="40"/>
            </w:pPr>
            <w:r/>
            <w:r>
              <w:rPr>
                <w:rFonts w:ascii="Calibri" w:hAnsi="Calibri"/>
                <w:b w:val="0"/>
                <w:color w:val="142536"/>
                <w:sz w:val="21"/>
              </w:rPr>
              <w:t>Monitor closely and escalate if behavior repeats or another signal appears.</w:t>
            </w:r>
          </w:p>
        </w:tc>
      </w:tr>
      <w:tr>
        <w:tc>
          <w:tcPr>
            <w:tcW w:type="dxa" w:w="1368"/>
            <w:vAlign w:val="center"/>
          </w:tcPr>
          <w:p>
            <w:pPr>
              <w:spacing w:after="40"/>
            </w:pPr>
            <w:r/>
            <w:r>
              <w:rPr>
                <w:rFonts w:ascii="Calibri" w:hAnsi="Calibri"/>
                <w:b w:val="0"/>
                <w:color w:val="142536"/>
                <w:sz w:val="21"/>
              </w:rPr>
              <w:t>Low</w:t>
            </w:r>
          </w:p>
        </w:tc>
        <w:tc>
          <w:tcPr>
            <w:tcW w:type="dxa" w:w="3096"/>
            <w:vAlign w:val="center"/>
          </w:tcPr>
          <w:p>
            <w:pPr>
              <w:spacing w:after="40"/>
            </w:pPr>
            <w:r/>
            <w:r>
              <w:rPr>
                <w:rFonts w:ascii="Calibri" w:hAnsi="Calibri"/>
                <w:b w:val="0"/>
                <w:color w:val="142536"/>
                <w:sz w:val="21"/>
              </w:rPr>
              <w:t>p &lt; 0.350</w:t>
            </w:r>
          </w:p>
        </w:tc>
        <w:tc>
          <w:tcPr>
            <w:tcW w:type="dxa" w:w="4608"/>
            <w:vAlign w:val="center"/>
          </w:tcPr>
          <w:p>
            <w:pPr>
              <w:spacing w:after="40"/>
            </w:pPr>
            <w:r/>
            <w:r>
              <w:rPr>
                <w:rFonts w:ascii="Calibri" w:hAnsi="Calibri"/>
                <w:b w:val="0"/>
                <w:color w:val="142536"/>
                <w:sz w:val="21"/>
              </w:rPr>
              <w:t>Likely legitimate; keep score and reasons in the audit trail.</w:t>
            </w:r>
          </w:p>
        </w:tc>
      </w:tr>
    </w:tbl>
    <w:p/>
    <w:p>
      <w:pPr>
        <w:spacing w:before="240" w:after="100"/>
      </w:pPr>
      <w:r>
        <w:rPr>
          <w:rFonts w:ascii="Calibri" w:hAnsi="Calibri"/>
          <w:b/>
          <w:color w:val="064E49"/>
          <w:sz w:val="32"/>
        </w:rPr>
        <w:t>7. Deployed Analyst App</w:t>
      </w:r>
    </w:p>
    <w:p>
      <w:pPr>
        <w:spacing w:after="120" w:line="264" w:lineRule="auto"/>
      </w:pPr>
      <w:r>
        <w:rPr>
          <w:rFonts w:ascii="Calibri" w:hAnsi="Calibri"/>
          <w:color w:val="222222"/>
          <w:sz w:val="22"/>
        </w:rPr>
        <w:t>The final app was built as a Vercel-style static application so reviewers can open it in a browser without running a Python server. The app has four main sections: Score, Queue, Metrics, and Governance.</w:t>
      </w:r>
    </w:p>
    <w:p>
      <w:pPr>
        <w:jc w:val="center"/>
      </w:pPr>
      <w:r>
        <w:drawing>
          <wp:inline xmlns:a="http://schemas.openxmlformats.org/drawingml/2006/main" xmlns:pic="http://schemas.openxmlformats.org/drawingml/2006/picture">
            <wp:extent cx="5577840" cy="4260850"/>
            <wp:docPr id="1" name="Picture 1"/>
            <wp:cNvGraphicFramePr>
              <a:graphicFrameLocks noChangeAspect="1"/>
            </wp:cNvGraphicFramePr>
            <a:graphic>
              <a:graphicData uri="http://schemas.openxmlformats.org/drawingml/2006/picture">
                <pic:pic>
                  <pic:nvPicPr>
                    <pic:cNvPr id="0" name="app-score-decision.png"/>
                    <pic:cNvPicPr/>
                  </pic:nvPicPr>
                  <pic:blipFill>
                    <a:blip r:embed="rId11"/>
                    <a:stretch>
                      <a:fillRect/>
                    </a:stretch>
                  </pic:blipFill>
                  <pic:spPr>
                    <a:xfrm>
                      <a:off x="0" y="0"/>
                      <a:ext cx="5577840" cy="4260850"/>
                    </a:xfrm>
                    <a:prstGeom prst="rect"/>
                  </pic:spPr>
                </pic:pic>
              </a:graphicData>
            </a:graphic>
          </wp:inline>
        </w:drawing>
      </w:r>
    </w:p>
    <w:p>
      <w:pPr>
        <w:spacing w:after="200"/>
        <w:jc w:val="center"/>
      </w:pPr>
      <w:r>
        <w:rPr>
          <w:rFonts w:ascii="Calibri" w:hAnsi="Calibri"/>
          <w:i/>
          <w:color w:val="5F6F6C"/>
          <w:sz w:val="18"/>
        </w:rPr>
        <w:t>Score view: transaction lookup, manual scoring, risk decision, explanation, and case export.</w:t>
      </w:r>
    </w:p>
    <w:tbl>
      <w:tblPr>
        <w:tblStyle w:val="TableGrid"/>
        <w:tblW w:type="auto" w:w="0"/>
        <w:jc w:val="center"/>
        <w:tblLook w:firstColumn="1" w:firstRow="1" w:lastColumn="0" w:lastRow="0" w:noHBand="0" w:noVBand="1" w:val="04A0"/>
      </w:tblPr>
      <w:tblGrid>
        <w:gridCol w:w="4896"/>
        <w:gridCol w:w="4896"/>
      </w:tblGrid>
      <w:tr>
        <w:tc>
          <w:tcPr>
            <w:tcW w:type="dxa" w:w="1872"/>
            <w:shd w:fill="F2F6F5"/>
            <w:vAlign w:val="center"/>
          </w:tcPr>
          <w:p>
            <w:pPr>
              <w:spacing w:after="40"/>
            </w:pPr>
            <w:r/>
            <w:r>
              <w:rPr>
                <w:rFonts w:ascii="Calibri" w:hAnsi="Calibri"/>
                <w:b/>
                <w:color w:val="064E49"/>
                <w:sz w:val="21"/>
              </w:rPr>
              <w:t>App section</w:t>
            </w:r>
          </w:p>
        </w:tc>
        <w:tc>
          <w:tcPr>
            <w:tcW w:type="dxa" w:w="7200"/>
            <w:shd w:fill="F2F6F5"/>
            <w:vAlign w:val="center"/>
          </w:tcPr>
          <w:p>
            <w:pPr>
              <w:spacing w:after="40"/>
            </w:pPr>
            <w:r/>
            <w:r>
              <w:rPr>
                <w:rFonts w:ascii="Calibri" w:hAnsi="Calibri"/>
                <w:b/>
                <w:color w:val="064E49"/>
                <w:sz w:val="21"/>
              </w:rPr>
              <w:t>Purpose</w:t>
            </w:r>
          </w:p>
        </w:tc>
      </w:tr>
      <w:tr>
        <w:tc>
          <w:tcPr>
            <w:tcW w:type="dxa" w:w="1872"/>
            <w:vAlign w:val="center"/>
          </w:tcPr>
          <w:p>
            <w:pPr>
              <w:spacing w:after="40"/>
            </w:pPr>
            <w:r/>
            <w:r>
              <w:rPr>
                <w:rFonts w:ascii="Calibri" w:hAnsi="Calibri"/>
                <w:b w:val="0"/>
                <w:color w:val="142536"/>
                <w:sz w:val="21"/>
              </w:rPr>
              <w:t>Score</w:t>
            </w:r>
          </w:p>
        </w:tc>
        <w:tc>
          <w:tcPr>
            <w:tcW w:type="dxa" w:w="7200"/>
            <w:vAlign w:val="center"/>
          </w:tcPr>
          <w:p>
            <w:pPr>
              <w:spacing w:after="40"/>
            </w:pPr>
            <w:r/>
            <w:r>
              <w:rPr>
                <w:rFonts w:ascii="Calibri" w:hAnsi="Calibri"/>
                <w:b w:val="0"/>
                <w:color w:val="142536"/>
                <w:sz w:val="21"/>
              </w:rPr>
              <w:t>Search or manually enter a transaction and receive risk probability, alert tier, action, explanation, and CSV export.</w:t>
            </w:r>
          </w:p>
        </w:tc>
      </w:tr>
      <w:tr>
        <w:tc>
          <w:tcPr>
            <w:tcW w:type="dxa" w:w="1872"/>
            <w:vAlign w:val="center"/>
          </w:tcPr>
          <w:p>
            <w:pPr>
              <w:spacing w:after="40"/>
            </w:pPr>
            <w:r/>
            <w:r>
              <w:rPr>
                <w:rFonts w:ascii="Calibri" w:hAnsi="Calibri"/>
                <w:b w:val="0"/>
                <w:color w:val="142536"/>
                <w:sz w:val="21"/>
              </w:rPr>
              <w:t>Queue</w:t>
            </w:r>
          </w:p>
        </w:tc>
        <w:tc>
          <w:tcPr>
            <w:tcW w:type="dxa" w:w="7200"/>
            <w:vAlign w:val="center"/>
          </w:tcPr>
          <w:p>
            <w:pPr>
              <w:spacing w:after="40"/>
            </w:pPr>
            <w:r/>
            <w:r>
              <w:rPr>
                <w:rFonts w:ascii="Calibri" w:hAnsi="Calibri"/>
                <w:b w:val="0"/>
                <w:color w:val="142536"/>
                <w:sz w:val="21"/>
              </w:rPr>
              <w:t>Show the investigator review queue, top cases, rule-gap cases, triage lanes, and control checks.</w:t>
            </w:r>
          </w:p>
        </w:tc>
      </w:tr>
      <w:tr>
        <w:tc>
          <w:tcPr>
            <w:tcW w:type="dxa" w:w="1872"/>
            <w:vAlign w:val="center"/>
          </w:tcPr>
          <w:p>
            <w:pPr>
              <w:spacing w:after="40"/>
            </w:pPr>
            <w:r/>
            <w:r>
              <w:rPr>
                <w:rFonts w:ascii="Calibri" w:hAnsi="Calibri"/>
                <w:b w:val="0"/>
                <w:color w:val="142536"/>
                <w:sz w:val="21"/>
              </w:rPr>
              <w:t>Metrics</w:t>
            </w:r>
          </w:p>
        </w:tc>
        <w:tc>
          <w:tcPr>
            <w:tcW w:type="dxa" w:w="7200"/>
            <w:vAlign w:val="center"/>
          </w:tcPr>
          <w:p>
            <w:pPr>
              <w:spacing w:after="40"/>
            </w:pPr>
            <w:r/>
            <w:r>
              <w:rPr>
                <w:rFonts w:ascii="Calibri" w:hAnsi="Calibri"/>
                <w:b w:val="0"/>
                <w:color w:val="142536"/>
                <w:sz w:val="21"/>
              </w:rPr>
              <w:t>Translate model performance into fraud capture, false positives, review cost, and threshold trade-offs.</w:t>
            </w:r>
          </w:p>
        </w:tc>
      </w:tr>
      <w:tr>
        <w:tc>
          <w:tcPr>
            <w:tcW w:type="dxa" w:w="1872"/>
            <w:vAlign w:val="center"/>
          </w:tcPr>
          <w:p>
            <w:pPr>
              <w:spacing w:after="40"/>
            </w:pPr>
            <w:r/>
            <w:r>
              <w:rPr>
                <w:rFonts w:ascii="Calibri" w:hAnsi="Calibri"/>
                <w:b w:val="0"/>
                <w:color w:val="142536"/>
                <w:sz w:val="21"/>
              </w:rPr>
              <w:t>Governance</w:t>
            </w:r>
          </w:p>
        </w:tc>
        <w:tc>
          <w:tcPr>
            <w:tcW w:type="dxa" w:w="7200"/>
            <w:vAlign w:val="center"/>
          </w:tcPr>
          <w:p>
            <w:pPr>
              <w:spacing w:after="40"/>
            </w:pPr>
            <w:r/>
            <w:r>
              <w:rPr>
                <w:rFonts w:ascii="Calibri" w:hAnsi="Calibri"/>
                <w:b w:val="0"/>
                <w:color w:val="142536"/>
                <w:sz w:val="21"/>
              </w:rPr>
              <w:t>Summarize model card, limitations, approval gates, monitoring controls, and responsible-use policy.</w:t>
            </w:r>
          </w:p>
        </w:tc>
      </w:tr>
    </w:tbl>
    <w:p/>
    <w:p>
      <w:pPr>
        <w:spacing w:before="240" w:after="100"/>
      </w:pPr>
      <w:r>
        <w:rPr>
          <w:rFonts w:ascii="Calibri" w:hAnsi="Calibri"/>
          <w:b/>
          <w:color w:val="064E49"/>
          <w:sz w:val="32"/>
        </w:rPr>
        <w:t>8. Explainability And Investigator Use</w:t>
      </w:r>
    </w:p>
    <w:p>
      <w:pPr>
        <w:spacing w:after="120" w:line="264" w:lineRule="auto"/>
      </w:pPr>
      <w:r>
        <w:rPr>
          <w:rFonts w:ascii="Calibri" w:hAnsi="Calibri"/>
          <w:color w:val="222222"/>
          <w:sz w:val="22"/>
        </w:rPr>
        <w:t>The app explains the score by comparing each transaction with typical reference values. If a transaction has unusually high geographic distance or amount, the app shows how that signal increased model risk. If a feature lowers risk, the app presents it as a protective signal.</w:t>
      </w:r>
    </w:p>
    <w:p>
      <w:pPr>
        <w:spacing w:after="120" w:line="264" w:lineRule="auto"/>
      </w:pPr>
      <w:r>
        <w:rPr>
          <w:rFonts w:ascii="Calibri" w:hAnsi="Calibri"/>
          <w:color w:val="222222"/>
          <w:sz w:val="22"/>
        </w:rPr>
        <w:t>Important wording control: the explanation describes model behavior, not guaranteed causality. It means the model treated a feature value as risk-increasing or risk-reducing; it does not prove that the feature caused fraud.</w:t>
      </w:r>
    </w:p>
    <w:p>
      <w:pPr>
        <w:spacing w:after="80"/>
        <w:ind w:left="360" w:hanging="216"/>
      </w:pPr>
      <w:r>
        <w:rPr>
          <w:rFonts w:ascii="Calibri" w:hAnsi="Calibri"/>
          <w:b/>
          <w:color w:val="087B73"/>
          <w:sz w:val="22"/>
        </w:rPr>
        <w:t xml:space="preserve">- </w:t>
      </w:r>
      <w:r>
        <w:rPr>
          <w:rFonts w:ascii="Calibri" w:hAnsi="Calibri"/>
          <w:color w:val="222222"/>
          <w:sz w:val="22"/>
        </w:rPr>
        <w:t>High-risk cases receive investigator actions such as validation, step-up verification, or manual review.</w:t>
      </w:r>
    </w:p>
    <w:p>
      <w:pPr>
        <w:spacing w:after="80"/>
        <w:ind w:left="360" w:hanging="216"/>
      </w:pPr>
      <w:r>
        <w:rPr>
          <w:rFonts w:ascii="Calibri" w:hAnsi="Calibri"/>
          <w:b/>
          <w:color w:val="087B73"/>
          <w:sz w:val="22"/>
        </w:rPr>
        <w:t xml:space="preserve">- </w:t>
      </w:r>
      <w:r>
        <w:rPr>
          <w:rFonts w:ascii="Calibri" w:hAnsi="Calibri"/>
          <w:color w:val="222222"/>
          <w:sz w:val="22"/>
        </w:rPr>
        <w:t>Low-risk cases can be monitored with audit trail only unless behavior changes.</w:t>
      </w:r>
    </w:p>
    <w:p>
      <w:pPr>
        <w:spacing w:after="80"/>
        <w:ind w:left="360" w:hanging="216"/>
      </w:pPr>
      <w:r>
        <w:rPr>
          <w:rFonts w:ascii="Calibri" w:hAnsi="Calibri"/>
          <w:b/>
          <w:color w:val="087B73"/>
          <w:sz w:val="22"/>
        </w:rPr>
        <w:t xml:space="preserve">- </w:t>
      </w:r>
      <w:r>
        <w:rPr>
          <w:rFonts w:ascii="Calibri" w:hAnsi="Calibri"/>
          <w:color w:val="222222"/>
          <w:sz w:val="22"/>
        </w:rPr>
        <w:t>The exportable CSV case report gives transaction facts, risk score, explanation, next steps, and governance notes.</w:t>
      </w:r>
    </w:p>
    <w:p>
      <w:pPr>
        <w:spacing w:before="240" w:after="100"/>
      </w:pPr>
      <w:r>
        <w:rPr>
          <w:rFonts w:ascii="Calibri" w:hAnsi="Calibri"/>
          <w:b/>
          <w:color w:val="064E49"/>
          <w:sz w:val="32"/>
        </w:rPr>
        <w:t>9. Governance And Responsible Use</w:t>
      </w:r>
    </w:p>
    <w:p>
      <w:pPr>
        <w:spacing w:after="120" w:line="264" w:lineRule="auto"/>
      </w:pPr>
      <w:r>
        <w:rPr>
          <w:rFonts w:ascii="Calibri" w:hAnsi="Calibri"/>
          <w:color w:val="222222"/>
          <w:sz w:val="22"/>
        </w:rPr>
        <w:t>Because this is a banking-style fraud project, governance was treated as part of the deliverable rather than an afterthought. The model is positioned as decision support only. It should not automatically freeze accounts or create customer-impacting decisions without human review.</w:t>
      </w:r>
    </w:p>
    <w:tbl>
      <w:tblPr>
        <w:tblStyle w:val="TableGrid"/>
        <w:tblW w:type="auto" w:w="0"/>
        <w:jc w:val="center"/>
        <w:tblLook w:firstColumn="1" w:firstRow="1" w:lastColumn="0" w:lastRow="0" w:noHBand="0" w:noVBand="1" w:val="04A0"/>
      </w:tblPr>
      <w:tblGrid>
        <w:gridCol w:w="4896"/>
        <w:gridCol w:w="4896"/>
      </w:tblGrid>
      <w:tr>
        <w:tc>
          <w:tcPr>
            <w:tcW w:type="dxa" w:w="2448"/>
            <w:shd w:fill="F2F6F5"/>
            <w:vAlign w:val="center"/>
          </w:tcPr>
          <w:p>
            <w:pPr>
              <w:spacing w:after="40"/>
            </w:pPr>
            <w:r/>
            <w:r>
              <w:rPr>
                <w:rFonts w:ascii="Calibri" w:hAnsi="Calibri"/>
                <w:b/>
                <w:color w:val="064E49"/>
                <w:sz w:val="21"/>
              </w:rPr>
              <w:t>Control</w:t>
            </w:r>
          </w:p>
        </w:tc>
        <w:tc>
          <w:tcPr>
            <w:tcW w:type="dxa" w:w="6624"/>
            <w:shd w:fill="F2F6F5"/>
            <w:vAlign w:val="center"/>
          </w:tcPr>
          <w:p>
            <w:pPr>
              <w:spacing w:after="40"/>
            </w:pPr>
            <w:r/>
            <w:r>
              <w:rPr>
                <w:rFonts w:ascii="Calibri" w:hAnsi="Calibri"/>
                <w:b/>
                <w:color w:val="064E49"/>
                <w:sz w:val="21"/>
              </w:rPr>
              <w:t>How it was handled</w:t>
            </w:r>
          </w:p>
        </w:tc>
      </w:tr>
      <w:tr>
        <w:tc>
          <w:tcPr>
            <w:tcW w:type="dxa" w:w="2448"/>
            <w:vAlign w:val="center"/>
          </w:tcPr>
          <w:p>
            <w:pPr>
              <w:spacing w:after="40"/>
            </w:pPr>
            <w:r/>
            <w:r>
              <w:rPr>
                <w:rFonts w:ascii="Calibri" w:hAnsi="Calibri"/>
                <w:b w:val="0"/>
                <w:color w:val="142536"/>
                <w:sz w:val="21"/>
              </w:rPr>
              <w:t>Leakage prevention</w:t>
            </w:r>
          </w:p>
        </w:tc>
        <w:tc>
          <w:tcPr>
            <w:tcW w:type="dxa" w:w="6624"/>
            <w:vAlign w:val="center"/>
          </w:tcPr>
          <w:p>
            <w:pPr>
              <w:spacing w:after="40"/>
            </w:pPr>
            <w:r/>
            <w:r>
              <w:rPr>
                <w:rFonts w:ascii="Calibri" w:hAnsi="Calibri"/>
                <w:b w:val="0"/>
                <w:color w:val="142536"/>
                <w:sz w:val="21"/>
              </w:rPr>
              <w:t>Removed IDs, target fields, and the old alert flag from model inputs.</w:t>
            </w:r>
          </w:p>
        </w:tc>
      </w:tr>
      <w:tr>
        <w:tc>
          <w:tcPr>
            <w:tcW w:type="dxa" w:w="2448"/>
            <w:vAlign w:val="center"/>
          </w:tcPr>
          <w:p>
            <w:pPr>
              <w:spacing w:after="40"/>
            </w:pPr>
            <w:r/>
            <w:r>
              <w:rPr>
                <w:rFonts w:ascii="Calibri" w:hAnsi="Calibri"/>
                <w:b w:val="0"/>
                <w:color w:val="142536"/>
                <w:sz w:val="21"/>
              </w:rPr>
              <w:t>Human review</w:t>
            </w:r>
          </w:p>
        </w:tc>
        <w:tc>
          <w:tcPr>
            <w:tcW w:type="dxa" w:w="6624"/>
            <w:vAlign w:val="center"/>
          </w:tcPr>
          <w:p>
            <w:pPr>
              <w:spacing w:after="40"/>
            </w:pPr>
            <w:r/>
            <w:r>
              <w:rPr>
                <w:rFonts w:ascii="Calibri" w:hAnsi="Calibri"/>
                <w:b w:val="0"/>
                <w:color w:val="142536"/>
                <w:sz w:val="21"/>
              </w:rPr>
              <w:t>App recommends review actions but does not automate blocking.</w:t>
            </w:r>
          </w:p>
        </w:tc>
      </w:tr>
      <w:tr>
        <w:tc>
          <w:tcPr>
            <w:tcW w:type="dxa" w:w="2448"/>
            <w:vAlign w:val="center"/>
          </w:tcPr>
          <w:p>
            <w:pPr>
              <w:spacing w:after="40"/>
            </w:pPr>
            <w:r/>
            <w:r>
              <w:rPr>
                <w:rFonts w:ascii="Calibri" w:hAnsi="Calibri"/>
                <w:b w:val="0"/>
                <w:color w:val="142536"/>
                <w:sz w:val="21"/>
              </w:rPr>
              <w:t>Threshold governance</w:t>
            </w:r>
          </w:p>
        </w:tc>
        <w:tc>
          <w:tcPr>
            <w:tcW w:type="dxa" w:w="6624"/>
            <w:vAlign w:val="center"/>
          </w:tcPr>
          <w:p>
            <w:pPr>
              <w:spacing w:after="40"/>
            </w:pPr>
            <w:r/>
            <w:r>
              <w:rPr>
                <w:rFonts w:ascii="Calibri" w:hAnsi="Calibri"/>
                <w:b w:val="0"/>
                <w:color w:val="142536"/>
                <w:sz w:val="21"/>
              </w:rPr>
              <w:t>Threshold selected with investigator capacity and false-positive load in mind.</w:t>
            </w:r>
          </w:p>
        </w:tc>
      </w:tr>
      <w:tr>
        <w:tc>
          <w:tcPr>
            <w:tcW w:type="dxa" w:w="2448"/>
            <w:vAlign w:val="center"/>
          </w:tcPr>
          <w:p>
            <w:pPr>
              <w:spacing w:after="40"/>
            </w:pPr>
            <w:r/>
            <w:r>
              <w:rPr>
                <w:rFonts w:ascii="Calibri" w:hAnsi="Calibri"/>
                <w:b w:val="0"/>
                <w:color w:val="142536"/>
                <w:sz w:val="21"/>
              </w:rPr>
              <w:t>Monitoring</w:t>
            </w:r>
          </w:p>
        </w:tc>
        <w:tc>
          <w:tcPr>
            <w:tcW w:type="dxa" w:w="6624"/>
            <w:vAlign w:val="center"/>
          </w:tcPr>
          <w:p>
            <w:pPr>
              <w:spacing w:after="40"/>
            </w:pPr>
            <w:r/>
            <w:r>
              <w:rPr>
                <w:rFonts w:ascii="Calibri" w:hAnsi="Calibri"/>
                <w:b w:val="0"/>
                <w:color w:val="142536"/>
                <w:sz w:val="21"/>
              </w:rPr>
              <w:t>Defined queue size, hit rate, fraud capture, false positives, drift, and segment review.</w:t>
            </w:r>
          </w:p>
        </w:tc>
      </w:tr>
      <w:tr>
        <w:tc>
          <w:tcPr>
            <w:tcW w:type="dxa" w:w="2448"/>
            <w:vAlign w:val="center"/>
          </w:tcPr>
          <w:p>
            <w:pPr>
              <w:spacing w:after="40"/>
            </w:pPr>
            <w:r/>
            <w:r>
              <w:rPr>
                <w:rFonts w:ascii="Calibri" w:hAnsi="Calibri"/>
                <w:b w:val="0"/>
                <w:color w:val="142536"/>
                <w:sz w:val="21"/>
              </w:rPr>
              <w:t>Limitations</w:t>
            </w:r>
          </w:p>
        </w:tc>
        <w:tc>
          <w:tcPr>
            <w:tcW w:type="dxa" w:w="6624"/>
            <w:vAlign w:val="center"/>
          </w:tcPr>
          <w:p>
            <w:pPr>
              <w:spacing w:after="40"/>
            </w:pPr>
            <w:r/>
            <w:r>
              <w:rPr>
                <w:rFonts w:ascii="Calibri" w:hAnsi="Calibri"/>
                <w:b w:val="0"/>
                <w:color w:val="142536"/>
                <w:sz w:val="21"/>
              </w:rPr>
              <w:t>Synthetic data means production use would require real-data validation and approval.</w:t>
            </w:r>
          </w:p>
        </w:tc>
      </w:tr>
    </w:tbl>
    <w:p/>
    <w:p>
      <w:pPr>
        <w:spacing w:before="240" w:after="100"/>
      </w:pPr>
      <w:r>
        <w:rPr>
          <w:rFonts w:ascii="Calibri" w:hAnsi="Calibri"/>
          <w:b/>
          <w:color w:val="064E49"/>
          <w:sz w:val="32"/>
        </w:rPr>
        <w:t>10. Changes Made After Feedback</w:t>
      </w:r>
    </w:p>
    <w:p>
      <w:pPr>
        <w:spacing w:after="120" w:line="264" w:lineRule="auto"/>
      </w:pPr>
      <w:r>
        <w:rPr>
          <w:rFonts w:ascii="Calibri" w:hAnsi="Calibri"/>
          <w:color w:val="222222"/>
          <w:sz w:val="22"/>
        </w:rPr>
        <w:t>After receiving feedback, I improved the project to make it easier for a tutor or JPMorgan-style reviewer to understand and evaluate. The main changes focused on clarity, professional presentation, and reviewer usability.</w:t>
      </w:r>
    </w:p>
    <w:tbl>
      <w:tblPr>
        <w:tblStyle w:val="TableGrid"/>
        <w:tblW w:type="auto" w:w="0"/>
        <w:jc w:val="center"/>
        <w:tblLook w:firstColumn="1" w:firstRow="1" w:lastColumn="0" w:lastRow="0" w:noHBand="0" w:noVBand="1" w:val="04A0"/>
      </w:tblPr>
      <w:tblGrid>
        <w:gridCol w:w="4896"/>
        <w:gridCol w:w="4896"/>
      </w:tblGrid>
      <w:tr>
        <w:tc>
          <w:tcPr>
            <w:tcW w:type="dxa" w:w="3168"/>
            <w:shd w:fill="F2F6F5"/>
            <w:vAlign w:val="center"/>
          </w:tcPr>
          <w:p>
            <w:pPr>
              <w:spacing w:after="40"/>
            </w:pPr>
            <w:r/>
            <w:r>
              <w:rPr>
                <w:rFonts w:ascii="Calibri" w:hAnsi="Calibri"/>
                <w:b/>
                <w:color w:val="064E49"/>
                <w:sz w:val="21"/>
              </w:rPr>
              <w:t>Feedback theme</w:t>
            </w:r>
          </w:p>
        </w:tc>
        <w:tc>
          <w:tcPr>
            <w:tcW w:type="dxa" w:w="5904"/>
            <w:shd w:fill="F2F6F5"/>
            <w:vAlign w:val="center"/>
          </w:tcPr>
          <w:p>
            <w:pPr>
              <w:spacing w:after="40"/>
            </w:pPr>
            <w:r/>
            <w:r>
              <w:rPr>
                <w:rFonts w:ascii="Calibri" w:hAnsi="Calibri"/>
                <w:b/>
                <w:color w:val="064E49"/>
                <w:sz w:val="21"/>
              </w:rPr>
              <w:t>Change made</w:t>
            </w:r>
          </w:p>
        </w:tc>
      </w:tr>
      <w:tr>
        <w:tc>
          <w:tcPr>
            <w:tcW w:type="dxa" w:w="3168"/>
            <w:vAlign w:val="center"/>
          </w:tcPr>
          <w:p>
            <w:pPr>
              <w:spacing w:after="40"/>
            </w:pPr>
            <w:r/>
            <w:r>
              <w:rPr>
                <w:rFonts w:ascii="Calibri" w:hAnsi="Calibri"/>
                <w:b w:val="0"/>
                <w:color w:val="142536"/>
                <w:sz w:val="21"/>
              </w:rPr>
              <w:t>PPT needed a stronger story</w:t>
            </w:r>
          </w:p>
        </w:tc>
        <w:tc>
          <w:tcPr>
            <w:tcW w:type="dxa" w:w="5904"/>
            <w:vAlign w:val="center"/>
          </w:tcPr>
          <w:p>
            <w:pPr>
              <w:spacing w:after="40"/>
            </w:pPr>
            <w:r/>
            <w:r>
              <w:rPr>
                <w:rFonts w:ascii="Calibri" w:hAnsi="Calibri"/>
                <w:b w:val="0"/>
                <w:color w:val="142536"/>
                <w:sz w:val="21"/>
              </w:rPr>
              <w:t>Created a new journey-based deck explaining how the project started, evolved, and reached its conclusion.</w:t>
            </w:r>
          </w:p>
        </w:tc>
      </w:tr>
      <w:tr>
        <w:tc>
          <w:tcPr>
            <w:tcW w:type="dxa" w:w="3168"/>
            <w:vAlign w:val="center"/>
          </w:tcPr>
          <w:p>
            <w:pPr>
              <w:spacing w:after="40"/>
            </w:pPr>
            <w:r/>
            <w:r>
              <w:rPr>
                <w:rFonts w:ascii="Calibri" w:hAnsi="Calibri"/>
                <w:b w:val="0"/>
                <w:color w:val="142536"/>
                <w:sz w:val="21"/>
              </w:rPr>
              <w:t>App needed clearer analyst flow</w:t>
            </w:r>
          </w:p>
        </w:tc>
        <w:tc>
          <w:tcPr>
            <w:tcW w:type="dxa" w:w="5904"/>
            <w:vAlign w:val="center"/>
          </w:tcPr>
          <w:p>
            <w:pPr>
              <w:spacing w:after="40"/>
            </w:pPr>
            <w:r/>
            <w:r>
              <w:rPr>
                <w:rFonts w:ascii="Calibri" w:hAnsi="Calibri"/>
                <w:b w:val="0"/>
                <w:color w:val="142536"/>
                <w:sz w:val="21"/>
              </w:rPr>
              <w:t>Improved opening state, labels, sections, and risk analyst wording.</w:t>
            </w:r>
          </w:p>
        </w:tc>
      </w:tr>
      <w:tr>
        <w:tc>
          <w:tcPr>
            <w:tcW w:type="dxa" w:w="3168"/>
            <w:vAlign w:val="center"/>
          </w:tcPr>
          <w:p>
            <w:pPr>
              <w:spacing w:after="40"/>
            </w:pPr>
            <w:r/>
            <w:r>
              <w:rPr>
                <w:rFonts w:ascii="Calibri" w:hAnsi="Calibri"/>
                <w:b w:val="0"/>
                <w:color w:val="142536"/>
                <w:sz w:val="21"/>
              </w:rPr>
              <w:t>Export report needed to be more useful</w:t>
            </w:r>
          </w:p>
        </w:tc>
        <w:tc>
          <w:tcPr>
            <w:tcW w:type="dxa" w:w="5904"/>
            <w:vAlign w:val="center"/>
          </w:tcPr>
          <w:p>
            <w:pPr>
              <w:spacing w:after="40"/>
            </w:pPr>
            <w:r/>
            <w:r>
              <w:rPr>
                <w:rFonts w:ascii="Calibri" w:hAnsi="Calibri"/>
                <w:b w:val="0"/>
                <w:color w:val="142536"/>
                <w:sz w:val="21"/>
              </w:rPr>
              <w:t>Changed the case report export to CSV with transaction facts, decision evidence, and governance notes.</w:t>
            </w:r>
          </w:p>
        </w:tc>
      </w:tr>
      <w:tr>
        <w:tc>
          <w:tcPr>
            <w:tcW w:type="dxa" w:w="3168"/>
            <w:vAlign w:val="center"/>
          </w:tcPr>
          <w:p>
            <w:pPr>
              <w:spacing w:after="40"/>
            </w:pPr>
            <w:r/>
            <w:r>
              <w:rPr>
                <w:rFonts w:ascii="Calibri" w:hAnsi="Calibri"/>
                <w:b w:val="0"/>
                <w:color w:val="142536"/>
                <w:sz w:val="21"/>
              </w:rPr>
              <w:t>Tutor may ask how it was built</w:t>
            </w:r>
          </w:p>
        </w:tc>
        <w:tc>
          <w:tcPr>
            <w:tcW w:type="dxa" w:w="5904"/>
            <w:vAlign w:val="center"/>
          </w:tcPr>
          <w:p>
            <w:pPr>
              <w:spacing w:after="40"/>
            </w:pPr>
            <w:r/>
            <w:r>
              <w:rPr>
                <w:rFonts w:ascii="Calibri" w:hAnsi="Calibri"/>
                <w:b w:val="0"/>
                <w:color w:val="142536"/>
                <w:sz w:val="21"/>
              </w:rPr>
              <w:t>Added optional Presenter Mode so build notes appear only when needed.</w:t>
            </w:r>
          </w:p>
        </w:tc>
      </w:tr>
      <w:tr>
        <w:tc>
          <w:tcPr>
            <w:tcW w:type="dxa" w:w="3168"/>
            <w:vAlign w:val="center"/>
          </w:tcPr>
          <w:p>
            <w:pPr>
              <w:spacing w:after="40"/>
            </w:pPr>
            <w:r/>
            <w:r>
              <w:rPr>
                <w:rFonts w:ascii="Calibri" w:hAnsi="Calibri"/>
                <w:b w:val="0"/>
                <w:color w:val="142536"/>
                <w:sz w:val="21"/>
              </w:rPr>
              <w:t>Submission folder needed focus</w:t>
            </w:r>
          </w:p>
        </w:tc>
        <w:tc>
          <w:tcPr>
            <w:tcW w:type="dxa" w:w="5904"/>
            <w:vAlign w:val="center"/>
          </w:tcPr>
          <w:p>
            <w:pPr>
              <w:spacing w:after="40"/>
            </w:pPr>
            <w:r/>
            <w:r>
              <w:rPr>
                <w:rFonts w:ascii="Calibri" w:hAnsi="Calibri"/>
                <w:b w:val="0"/>
                <w:color w:val="142536"/>
                <w:sz w:val="21"/>
              </w:rPr>
              <w:t>Kept final submission materials project-focused and separated from learning notes.</w:t>
            </w:r>
          </w:p>
        </w:tc>
      </w:tr>
    </w:tbl>
    <w:p/>
    <w:p>
      <w:pPr>
        <w:spacing w:before="240" w:after="100"/>
      </w:pPr>
      <w:r>
        <w:rPr>
          <w:rFonts w:ascii="Calibri" w:hAnsi="Calibri"/>
          <w:b/>
          <w:color w:val="064E49"/>
          <w:sz w:val="32"/>
        </w:rPr>
        <w:t>11. Project Report Card</w:t>
      </w:r>
    </w:p>
    <w:tbl>
      <w:tblPr>
        <w:tblStyle w:val="TableGrid"/>
        <w:tblW w:type="auto" w:w="0"/>
        <w:jc w:val="center"/>
        <w:tblLook w:firstColumn="1" w:firstRow="1" w:lastColumn="0" w:lastRow="0" w:noHBand="0" w:noVBand="1" w:val="04A0"/>
      </w:tblPr>
      <w:tblGrid>
        <w:gridCol w:w="4896"/>
        <w:gridCol w:w="4896"/>
      </w:tblGrid>
      <w:tr>
        <w:tc>
          <w:tcPr>
            <w:tcW w:type="dxa" w:w="3240"/>
            <w:shd w:fill="F2F6F5"/>
            <w:vAlign w:val="center"/>
          </w:tcPr>
          <w:p>
            <w:pPr>
              <w:spacing w:after="40"/>
            </w:pPr>
            <w:r/>
            <w:r>
              <w:rPr>
                <w:rFonts w:ascii="Calibri" w:hAnsi="Calibri"/>
                <w:b/>
                <w:color w:val="064E49"/>
                <w:sz w:val="21"/>
              </w:rPr>
              <w:t>Review area</w:t>
            </w:r>
          </w:p>
        </w:tc>
        <w:tc>
          <w:tcPr>
            <w:tcW w:type="dxa" w:w="5832"/>
            <w:shd w:fill="F2F6F5"/>
            <w:vAlign w:val="center"/>
          </w:tcPr>
          <w:p>
            <w:pPr>
              <w:spacing w:after="40"/>
            </w:pPr>
            <w:r/>
            <w:r>
              <w:rPr>
                <w:rFonts w:ascii="Calibri" w:hAnsi="Calibri"/>
                <w:b/>
                <w:color w:val="064E49"/>
                <w:sz w:val="21"/>
              </w:rPr>
              <w:t>Evidence in this project</w:t>
            </w:r>
          </w:p>
        </w:tc>
      </w:tr>
      <w:tr>
        <w:tc>
          <w:tcPr>
            <w:tcW w:type="dxa" w:w="3240"/>
            <w:vAlign w:val="center"/>
          </w:tcPr>
          <w:p>
            <w:pPr>
              <w:spacing w:after="40"/>
            </w:pPr>
            <w:r/>
            <w:r>
              <w:rPr>
                <w:rFonts w:ascii="Calibri" w:hAnsi="Calibri"/>
                <w:b w:val="0"/>
                <w:color w:val="142536"/>
                <w:sz w:val="21"/>
              </w:rPr>
              <w:t>Fraud relevance and feature engineering</w:t>
            </w:r>
          </w:p>
        </w:tc>
        <w:tc>
          <w:tcPr>
            <w:tcW w:type="dxa" w:w="5832"/>
            <w:vAlign w:val="center"/>
          </w:tcPr>
          <w:p>
            <w:pPr>
              <w:spacing w:after="40"/>
            </w:pPr>
            <w:r/>
            <w:r>
              <w:rPr>
                <w:rFonts w:ascii="Calibri" w:hAnsi="Calibri"/>
                <w:b w:val="0"/>
                <w:color w:val="142536"/>
                <w:sz w:val="21"/>
              </w:rPr>
              <w:t>Top-10 fraud features, transaction/customer/merchant joins, leakage prevention, and explainable inputs.</w:t>
            </w:r>
          </w:p>
        </w:tc>
      </w:tr>
      <w:tr>
        <w:tc>
          <w:tcPr>
            <w:tcW w:type="dxa" w:w="3240"/>
            <w:vAlign w:val="center"/>
          </w:tcPr>
          <w:p>
            <w:pPr>
              <w:spacing w:after="40"/>
            </w:pPr>
            <w:r/>
            <w:r>
              <w:rPr>
                <w:rFonts w:ascii="Calibri" w:hAnsi="Calibri"/>
                <w:b w:val="0"/>
                <w:color w:val="142536"/>
                <w:sz w:val="21"/>
              </w:rPr>
              <w:t>Model evaluation and threshold discipline</w:t>
            </w:r>
          </w:p>
        </w:tc>
        <w:tc>
          <w:tcPr>
            <w:tcW w:type="dxa" w:w="5832"/>
            <w:vAlign w:val="center"/>
          </w:tcPr>
          <w:p>
            <w:pPr>
              <w:spacing w:after="40"/>
            </w:pPr>
            <w:r/>
            <w:r>
              <w:rPr>
                <w:rFonts w:ascii="Calibri" w:hAnsi="Calibri"/>
                <w:b w:val="0"/>
                <w:color w:val="142536"/>
                <w:sz w:val="21"/>
              </w:rPr>
              <w:t>Weighted model comparison, held-out test metrics, threshold capacity ladder, false-positive analysis.</w:t>
            </w:r>
          </w:p>
        </w:tc>
      </w:tr>
      <w:tr>
        <w:tc>
          <w:tcPr>
            <w:tcW w:type="dxa" w:w="3240"/>
            <w:vAlign w:val="center"/>
          </w:tcPr>
          <w:p>
            <w:pPr>
              <w:spacing w:after="40"/>
            </w:pPr>
            <w:r/>
            <w:r>
              <w:rPr>
                <w:rFonts w:ascii="Calibri" w:hAnsi="Calibri"/>
                <w:b w:val="0"/>
                <w:color w:val="142536"/>
                <w:sz w:val="21"/>
              </w:rPr>
              <w:t>Explainability and governance</w:t>
            </w:r>
          </w:p>
        </w:tc>
        <w:tc>
          <w:tcPr>
            <w:tcW w:type="dxa" w:w="5832"/>
            <w:vAlign w:val="center"/>
          </w:tcPr>
          <w:p>
            <w:pPr>
              <w:spacing w:after="40"/>
            </w:pPr>
            <w:r/>
            <w:r>
              <w:rPr>
                <w:rFonts w:ascii="Calibri" w:hAnsi="Calibri"/>
                <w:b w:val="0"/>
                <w:color w:val="142536"/>
                <w:sz w:val="21"/>
              </w:rPr>
              <w:t>Local explanations, model card, threshold memo, responsible-use summary, monitoring controls.</w:t>
            </w:r>
          </w:p>
        </w:tc>
      </w:tr>
      <w:tr>
        <w:tc>
          <w:tcPr>
            <w:tcW w:type="dxa" w:w="3240"/>
            <w:vAlign w:val="center"/>
          </w:tcPr>
          <w:p>
            <w:pPr>
              <w:spacing w:after="40"/>
            </w:pPr>
            <w:r/>
            <w:r>
              <w:rPr>
                <w:rFonts w:ascii="Calibri" w:hAnsi="Calibri"/>
                <w:b w:val="0"/>
                <w:color w:val="142536"/>
                <w:sz w:val="21"/>
              </w:rPr>
              <w:t>Operational dashboard usefulness</w:t>
            </w:r>
          </w:p>
        </w:tc>
        <w:tc>
          <w:tcPr>
            <w:tcW w:type="dxa" w:w="5832"/>
            <w:vAlign w:val="center"/>
          </w:tcPr>
          <w:p>
            <w:pPr>
              <w:spacing w:after="40"/>
            </w:pPr>
            <w:r/>
            <w:r>
              <w:rPr>
                <w:rFonts w:ascii="Calibri" w:hAnsi="Calibri"/>
                <w:b w:val="0"/>
                <w:color w:val="142536"/>
                <w:sz w:val="21"/>
              </w:rPr>
              <w:t>Score, Queue, Metrics, Governance, transaction lookup, case drilldown, and CSV export.</w:t>
            </w:r>
          </w:p>
        </w:tc>
      </w:tr>
      <w:tr>
        <w:tc>
          <w:tcPr>
            <w:tcW w:type="dxa" w:w="3240"/>
            <w:vAlign w:val="center"/>
          </w:tcPr>
          <w:p>
            <w:pPr>
              <w:spacing w:after="40"/>
            </w:pPr>
            <w:r/>
            <w:r>
              <w:rPr>
                <w:rFonts w:ascii="Calibri" w:hAnsi="Calibri"/>
                <w:b w:val="0"/>
                <w:color w:val="142536"/>
                <w:sz w:val="21"/>
              </w:rPr>
              <w:t>Business communication</w:t>
            </w:r>
          </w:p>
        </w:tc>
        <w:tc>
          <w:tcPr>
            <w:tcW w:type="dxa" w:w="5832"/>
            <w:vAlign w:val="center"/>
          </w:tcPr>
          <w:p>
            <w:pPr>
              <w:spacing w:after="40"/>
            </w:pPr>
            <w:r/>
            <w:r>
              <w:rPr>
                <w:rFonts w:ascii="Calibri" w:hAnsi="Calibri"/>
                <w:b w:val="0"/>
                <w:color w:val="142536"/>
                <w:sz w:val="21"/>
              </w:rPr>
              <w:t>Alert economics, review cost framing, fraud capture trade-off, final PPT, and professional report.</w:t>
            </w:r>
          </w:p>
        </w:tc>
      </w:tr>
    </w:tbl>
    <w:p/>
    <w:p>
      <w:pPr>
        <w:spacing w:before="240" w:after="100"/>
      </w:pPr>
      <w:r>
        <w:rPr>
          <w:rFonts w:ascii="Calibri" w:hAnsi="Calibri"/>
          <w:b/>
          <w:color w:val="064E49"/>
          <w:sz w:val="32"/>
        </w:rPr>
        <w:t>12. Final Recommendation</w:t>
      </w:r>
    </w:p>
    <w:p>
      <w:pPr>
        <w:spacing w:after="120" w:line="264" w:lineRule="auto"/>
      </w:pPr>
      <w:r>
        <w:rPr>
          <w:rFonts w:ascii="Calibri" w:hAnsi="Calibri"/>
          <w:color w:val="222222"/>
          <w:sz w:val="22"/>
        </w:rPr>
        <w:t>For the final review, I would present the project as an end-to-end fraud analytics control tower. The strongest message is that the work starts with data cleaning and modelling discipline, but the final value is operational: helping investigators decide what to review first, why it is risky, and how the review threshold affects cost and workload.</w:t>
      </w:r>
    </w:p>
    <w:tbl>
      <w:tblPr>
        <w:tblStyle w:val="TableGrid"/>
        <w:tblW w:type="auto" w:w="0"/>
        <w:jc w:val="center"/>
        <w:tblLook w:firstColumn="1" w:firstRow="1" w:lastColumn="0" w:lastRow="0" w:noHBand="0" w:noVBand="1" w:val="04A0"/>
      </w:tblPr>
      <w:tblGrid>
        <w:gridCol w:w="9792"/>
      </w:tblGrid>
      <w:tr>
        <w:tc>
          <w:tcPr>
            <w:tcW w:type="dxa" w:w="9792"/>
            <w:shd w:fill="E8F4F1"/>
          </w:tcPr>
          <w:p>
            <w:pPr>
              <w:spacing w:after="80"/>
            </w:pPr>
            <w:r/>
            <w:r>
              <w:rPr>
                <w:rFonts w:ascii="Calibri" w:hAnsi="Calibri"/>
                <w:b/>
                <w:color w:val="064E49"/>
                <w:sz w:val="24"/>
              </w:rPr>
              <w:t>Two-minute closing pitch</w:t>
            </w:r>
          </w:p>
          <w:p>
            <w:pPr>
              <w:spacing w:after="40"/>
            </w:pPr>
            <w:r>
              <w:rPr>
                <w:rFonts w:ascii="Calibri" w:hAnsi="Calibri"/>
                <w:color w:val="222222"/>
                <w:sz w:val="21"/>
              </w:rPr>
              <w:t>I built an explainable fraud alert prioritization system that cleans and joins transaction, customer, and merchant data; selects top risk features; compares fraud models; tunes the threshold around investigator capacity; and deploys a Vercel-style control tower with scoring, queue, metrics, governance, and case export.</w:t>
            </w:r>
          </w:p>
        </w:tc>
      </w:tr>
    </w:tbl>
    <w:p/>
    <w:sectPr w:rsidR="00FC693F" w:rsidRPr="0006063C" w:rsidSect="00034616">
      <w:headerReference w:type="default" r:id="rId9"/>
      <w:footerReference w:type="default" r:id="rId10"/>
      <w:pgSz w:w="12240" w:h="15840"/>
      <w:pgMar w:top="1152" w:right="1224" w:bottom="1152" w:left="1224"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F6C"/>
        <w:sz w:val="18"/>
      </w:rPr>
      <w:t>Synthetic-data capstone prototype | Decision support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olor w:val="5F6F6C"/>
        <w:sz w:val="18"/>
      </w:rPr>
      <w:t>Fraud Alert Control Tower - Professional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