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44"/>
        </w:rPr>
        <w:t>Fraud Alert Control Tower</w:t>
      </w:r>
    </w:p>
    <w:p>
      <w:r>
        <w:rPr>
          <w:color w:val="5C6C70"/>
          <w:sz w:val="22"/>
        </w:rPr>
        <w:t>Professional Business Report | Explainable fraud alert prioritization and threshold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E8F3F5"/>
          </w:tcPr>
          <w:p>
            <w:pPr>
              <w:spacing w:after="40"/>
            </w:pPr>
            <w:r>
              <w:rPr>
                <w:b/>
                <w:color w:val="1F4D78"/>
              </w:rPr>
              <w:t xml:space="preserve">Executive recommendation: </w:t>
            </w:r>
            <w:r>
              <w:rPr>
                <w:color w:val="192026"/>
              </w:rPr>
              <w:t>Use the model as a shadow-mode prioritization overlay or top-K pilot, not as an automatic blocking system.</w:t>
            </w:r>
          </w:p>
        </w:tc>
      </w:tr>
    </w:tbl>
    <w:p/>
    <w:p>
      <w:pPr>
        <w:pStyle w:val="Heading1"/>
        <w:spacing w:before="320" w:after="160"/>
      </w:pPr>
      <w:r>
        <w:rPr>
          <w:b/>
          <w:color w:val="2E74B5"/>
          <w:sz w:val="32"/>
        </w:rPr>
        <w:t>1. Problem And Objective</w:t>
      </w:r>
    </w:p>
    <w:p>
      <w:r>
        <w:t>Fraud teams cannot review every transaction. The project objective is to prioritize the highest-risk transactions, explain why they are risky, and show the trade-off between catching more fraud and creating more manual-review work.</w:t>
      </w:r>
    </w:p>
    <w:p>
      <w:pPr>
        <w:pStyle w:val="Heading1"/>
        <w:spacing w:before="320" w:after="160"/>
      </w:pPr>
      <w:r>
        <w:rPr>
          <w:b/>
          <w:color w:val="2E74B5"/>
          <w:sz w:val="32"/>
        </w:rPr>
        <w:t>2. Data And Modeling Approach</w:t>
      </w:r>
    </w:p>
    <w:p>
      <w:pPr>
        <w:pStyle w:val="ListBullet"/>
        <w:spacing w:after="80"/>
      </w:pPr>
      <w:r>
        <w:t>Joined transaction, customer, and merchant tables at transaction level.</w:t>
      </w:r>
    </w:p>
    <w:p>
      <w:pPr>
        <w:pStyle w:val="ListBullet"/>
        <w:spacing w:after="80"/>
      </w:pPr>
      <w:r>
        <w:t>Removed identifiers, labels, and existing alert outputs to avoid leakage.</w:t>
      </w:r>
    </w:p>
    <w:p>
      <w:pPr>
        <w:pStyle w:val="ListBullet"/>
        <w:spacing w:after="80"/>
      </w:pPr>
      <w:r>
        <w:t>Engineered explainable fraud-risk signals including amount pattern, geographic distance, transaction hour, recent activity, cross-border behavior, and merchant context.</w:t>
      </w:r>
    </w:p>
    <w:p>
      <w:pPr>
        <w:pStyle w:val="ListBullet"/>
        <w:spacing w:after="80"/>
      </w:pPr>
      <w:r>
        <w:t>Evaluated model output as an investigator queue using threshold and capacity policy.</w:t>
      </w:r>
    </w:p>
    <w:p>
      <w:pPr>
        <w:pStyle w:val="Heading1"/>
        <w:spacing w:before="320" w:after="160"/>
      </w:pPr>
      <w:r>
        <w:rPr>
          <w:b/>
          <w:color w:val="2E74B5"/>
          <w:sz w:val="32"/>
        </w:rPr>
        <w:t>3. Feedback Improvements Applied</w:t>
      </w:r>
    </w:p>
    <w:p>
      <w:pPr>
        <w:pStyle w:val="ListBullet"/>
        <w:spacing w:after="80"/>
      </w:pPr>
      <w:r>
        <w:t>Added behavioral features: velocity_ratio, amt_per_txn_24h, far_and_new, night_crossborder, hour_sin, and hour_cos.</w:t>
      </w:r>
    </w:p>
    <w:p>
      <w:pPr>
        <w:pStyle w:val="ListBullet"/>
        <w:spacing w:after="80"/>
      </w:pPr>
      <w:r>
        <w:t>Added leakage-aware merchant category fraud-rate encoding using out-of-fold training logic.</w:t>
      </w:r>
    </w:p>
    <w:p>
      <w:pPr>
        <w:pStyle w:val="ListBullet"/>
        <w:spacing w:after="80"/>
      </w:pPr>
      <w:r>
        <w:t>Added validation permutation-importance audit after mutual-information shortlisting.</w:t>
      </w:r>
    </w:p>
    <w:p>
      <w:pPr>
        <w:pStyle w:val="ListBullet"/>
        <w:spacing w:after="80"/>
      </w:pPr>
      <w:r>
        <w:t>Added SQL feature view in features/fraud_feature_view.sql to show how the feature layer could be built in a warehouse.</w:t>
      </w:r>
    </w:p>
    <w:p>
      <w:pPr>
        <w:pStyle w:val="ListBullet"/>
        <w:spacing w:after="80"/>
      </w:pPr>
      <w:r>
        <w:t>Added measured validation evidence: calibration bins, false-positive rate by country/channel, and SLA policy coverage.</w:t>
      </w:r>
    </w:p>
    <w:p>
      <w:pPr>
        <w:pStyle w:val="ListBullet"/>
        <w:spacing w:after="80"/>
      </w:pPr>
      <w:r>
        <w:t>Added a business-case report so the project leads with trade-off and operating recommendation.</w:t>
      </w:r>
    </w:p>
    <w:p>
      <w:pPr>
        <w:pStyle w:val="Heading1"/>
        <w:spacing w:before="320" w:after="160"/>
      </w:pPr>
      <w:r>
        <w:rPr>
          <w:b/>
          <w:color w:val="2E74B5"/>
          <w:sz w:val="32"/>
        </w:rPr>
        <w:t>4. Key Findings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Measure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Current Model Queue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Existing Alert Rule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Reviewed transactions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22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Fraud cases captured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False positives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14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Queue hit rate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13.5%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36.4%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Fraud capture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25.0%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20.0%</w:t>
            </w:r>
          </w:p>
        </w:tc>
      </w:tr>
    </w:tbl>
    <w:p/>
    <w:p>
      <w:r>
        <w:t>The model finds more fraud cases, but it creates more manual-review load. That makes it useful as a prioritization overlay, while the incumbent rule still has stronger precision.</w:t>
      </w:r>
    </w:p>
    <w:p>
      <w:pPr>
        <w:pStyle w:val="Heading1"/>
        <w:spacing w:before="320" w:after="160"/>
      </w:pPr>
      <w:r>
        <w:rPr>
          <w:b/>
          <w:color w:val="2E74B5"/>
          <w:sz w:val="32"/>
        </w:rPr>
        <w:t>5. Break-Even Review Economics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328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Input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Extra reviews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52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Extra fraud cases captured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Manual review cost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GBP 8 per case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Extra review cost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52 x GBP 8 = GBP 416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Break-even avoided loss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GBP 416 / 2 = GBP 208 per extra captured fraud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E8F3F5"/>
          </w:tcPr>
          <w:p>
            <w:pPr>
              <w:spacing w:after="40"/>
            </w:pPr>
            <w:r>
              <w:rPr>
                <w:b/>
                <w:color w:val="1F4D78"/>
              </w:rPr>
              <w:t xml:space="preserve">Interpretation: </w:t>
            </w:r>
            <w:r>
              <w:rPr>
                <w:color w:val="192026"/>
              </w:rPr>
              <w:t>If each additional fraud case prevented avoids more than GBP 208 of loss, the extra review work is financially justified.</w:t>
            </w:r>
          </w:p>
        </w:tc>
      </w:tr>
    </w:tbl>
    <w:p/>
    <w:p>
      <w:pPr>
        <w:pStyle w:val="Heading1"/>
        <w:spacing w:before="320" w:after="160"/>
      </w:pPr>
      <w:r>
        <w:rPr>
          <w:b/>
          <w:color w:val="2E74B5"/>
          <w:sz w:val="32"/>
        </w:rPr>
        <w:t>6. Validation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Evidence item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Result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Interpretation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Brier score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0.2192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Score is useful for ranking, but not production odds.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Expected calibration error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0.4132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Real-data calibration remains an approval gate.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Highest country FPR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 60.3%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Segment needs pilot monitoring for customer friction.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Highest channel FPR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P2P 7.5%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Channel-level friction should be tracked weekly.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SLA policy coverage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100.0%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Every routed case receives an urgency policy.</w:t>
            </w:r>
          </w:p>
        </w:tc>
      </w:tr>
    </w:tbl>
    <w:p/>
    <w:p>
      <w:r>
        <w:t>True SLA breach rate cannot be measured from the current synthetic dataset because it does not contain investigation created, assigned, and closed timestamps. That timestamp capture is listed as a production instrumentation requirement.</w:t>
      </w:r>
    </w:p>
    <w:p>
      <w:pPr>
        <w:pStyle w:val="Heading1"/>
        <w:spacing w:before="320" w:after="160"/>
      </w:pPr>
      <w:r>
        <w:rPr>
          <w:b/>
          <w:color w:val="2E74B5"/>
          <w:sz w:val="32"/>
        </w:rPr>
        <w:t>7. Recommendation</w:t>
      </w:r>
    </w:p>
    <w:p>
      <w:pPr>
        <w:pStyle w:val="ListBullet"/>
        <w:spacing w:after="80"/>
      </w:pPr>
      <w:r>
        <w:t>Run the model in shadow mode and compare it with the existing alert rule.</w:t>
      </w:r>
    </w:p>
    <w:p>
      <w:pPr>
        <w:pStyle w:val="ListBullet"/>
        <w:spacing w:after="80"/>
      </w:pPr>
      <w:r>
        <w:t>Use the highest-risk model cases to prioritize investigator workload.</w:t>
      </w:r>
    </w:p>
    <w:p>
      <w:pPr>
        <w:pStyle w:val="ListBullet"/>
        <w:spacing w:after="80"/>
      </w:pPr>
      <w:r>
        <w:t>Keep human approval before any customer-impacting action.</w:t>
      </w:r>
    </w:p>
    <w:p>
      <w:pPr>
        <w:pStyle w:val="ListBullet"/>
        <w:spacing w:after="80"/>
      </w:pPr>
      <w:r>
        <w:t>Move toward production only after real-data validation, calibration, and segment monitoring.</w:t>
      </w:r>
    </w:p>
    <w:p>
      <w:pPr>
        <w:pStyle w:val="Heading1"/>
        <w:spacing w:before="320" w:after="160"/>
      </w:pPr>
      <w:r>
        <w:rPr>
          <w:b/>
          <w:color w:val="2E74B5"/>
          <w:sz w:val="32"/>
        </w:rPr>
        <w:t>8. Risks And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Risk</w:t>
            </w:r>
          </w:p>
        </w:tc>
        <w:tc>
          <w:tcPr>
            <w:tcW w:type="dxa" w:w="6048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Control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Synthetic data limitation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Validate on real historical transactions before production.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Scores are ranking-oriented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 calibration before presenting scores as true probabilities.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False positives increase workload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Tune thresholds by staffing capacity and review economics.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Segment/proxy risk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Monitor false positives and fraud capture by country, channel, amount band, and tier.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Fraud drift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Track score distribution, top drivers, queue hit rate, and fraud capture weekly.</w:t>
            </w:r>
          </w:p>
        </w:tc>
      </w:tr>
    </w:tbl>
    <w:p/>
    <w:p>
      <w:pPr>
        <w:pStyle w:val="Heading1"/>
        <w:spacing w:before="320" w:after="160"/>
      </w:pPr>
      <w:r>
        <w:rPr>
          <w:b/>
          <w:color w:val="2E74B5"/>
          <w:sz w:val="32"/>
        </w:rPr>
        <w:t>9. Conclusion</w:t>
      </w:r>
    </w:p>
    <w:p>
      <w:r>
        <w:t>The project is strongest as a control-tower workflow: score a transaction, explain the reason, route it into a capacity-aware queue, compare it against the old alert rule, and document governance limits. The final recommendation is a controlled pilot focused on prioritization and measurement.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C70"/>
        <w:sz w:val="18"/>
      </w:rPr>
      <w:t>Fraud Alert Control Tower | Business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20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