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Aptos Display" w:hAnsi="Aptos Display"/>
          <w:b/>
          <w:color w:val="091837"/>
          <w:sz w:val="48"/>
        </w:rPr>
        <w:t>Fraud Alert Control Tower - Project Report Card</w:t>
      </w:r>
    </w:p>
    <w:p>
      <w:pPr>
        <w:spacing w:after="120"/>
      </w:pPr>
      <w:r>
        <w:rPr>
          <w:rFonts w:ascii="Aptos" w:hAnsi="Aptos"/>
          <w:color w:val="4F5B6F"/>
          <w:sz w:val="22"/>
        </w:rPr>
        <w:t>A quick reviewer-facing scorecard of what was built, what evidence supports it, and what the next action should be.</w:t>
      </w:r>
    </w:p>
    <w:p>
      <w:pPr>
        <w:spacing w:before="40" w:after="160"/>
        <w:pBdr>
          <w:bottom w:val="single" w:sz="12" w:space="1" w:color="1F6FEB"/>
        </w:pBdr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3168"/>
            <w:vAlign w:val="center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fill="EEF3F8"/>
          </w:tcPr>
          <w:p>
            <w:pPr>
              <w:spacing w:after="0"/>
            </w:pPr>
            <w:r>
              <w:rPr>
                <w:rFonts w:ascii="Aptos" w:hAnsi="Aptos"/>
                <w:b/>
                <w:color w:val="091837"/>
                <w:sz w:val="19"/>
              </w:rPr>
              <w:t>Prepared by</w:t>
            </w:r>
          </w:p>
        </w:tc>
        <w:tc>
          <w:tcPr>
            <w:tcW w:type="dxa" w:w="6768"/>
            <w:vAlign w:val="center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262F"/>
                <w:sz w:val="19"/>
              </w:rPr>
              <w:t>Mirza Saif Baig</w:t>
            </w:r>
          </w:p>
        </w:tc>
      </w:tr>
      <w:tr>
        <w:tc>
          <w:tcPr>
            <w:tcW w:type="dxa" w:w="3168"/>
            <w:vAlign w:val="center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fill="EEF3F8"/>
          </w:tcPr>
          <w:p>
            <w:pPr>
              <w:spacing w:after="0"/>
            </w:pPr>
            <w:r>
              <w:rPr>
                <w:rFonts w:ascii="Aptos" w:hAnsi="Aptos"/>
                <w:b/>
                <w:color w:val="091837"/>
                <w:sz w:val="19"/>
              </w:rPr>
              <w:t>Live demo</w:t>
            </w:r>
          </w:p>
        </w:tc>
        <w:tc>
          <w:tcPr>
            <w:tcW w:type="dxa" w:w="6768"/>
            <w:vAlign w:val="center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262F"/>
                <w:sz w:val="19"/>
              </w:rPr>
              <w:t>https://fraud-alert-control-tower-5cic.vercel.app</w:t>
            </w:r>
          </w:p>
        </w:tc>
      </w:tr>
      <w:tr>
        <w:tc>
          <w:tcPr>
            <w:tcW w:type="dxa" w:w="3168"/>
            <w:vAlign w:val="center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fill="EEF3F8"/>
          </w:tcPr>
          <w:p>
            <w:pPr>
              <w:spacing w:after="0"/>
            </w:pPr>
            <w:r>
              <w:rPr>
                <w:rFonts w:ascii="Aptos" w:hAnsi="Aptos"/>
                <w:b/>
                <w:color w:val="091837"/>
                <w:sz w:val="19"/>
              </w:rPr>
              <w:t>Repository</w:t>
            </w:r>
          </w:p>
        </w:tc>
        <w:tc>
          <w:tcPr>
            <w:tcW w:type="dxa" w:w="6768"/>
            <w:vAlign w:val="center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262F"/>
                <w:sz w:val="19"/>
              </w:rPr>
              <w:t>https://github.com/Mirza160099/fraud-alert-control-tower</w:t>
            </w:r>
          </w:p>
        </w:tc>
      </w:tr>
      <w:tr>
        <w:tc>
          <w:tcPr>
            <w:tcW w:type="dxa" w:w="3168"/>
            <w:vAlign w:val="center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fill="EEF3F8"/>
          </w:tcPr>
          <w:p>
            <w:pPr>
              <w:spacing w:after="0"/>
            </w:pPr>
            <w:r>
              <w:rPr>
                <w:rFonts w:ascii="Aptos" w:hAnsi="Aptos"/>
                <w:b/>
                <w:color w:val="091837"/>
                <w:sz w:val="19"/>
              </w:rPr>
              <w:t>Reviewer message</w:t>
            </w:r>
          </w:p>
        </w:tc>
        <w:tc>
          <w:tcPr>
            <w:tcW w:type="dxa" w:w="6768"/>
            <w:vAlign w:val="center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262F"/>
                <w:sz w:val="19"/>
              </w:rPr>
              <w:t>This is an explainable fraud alert prioritization and investigation-control prototype.</w:t>
            </w:r>
          </w:p>
        </w:tc>
      </w:tr>
      <w:tr>
        <w:tc>
          <w:tcPr>
            <w:tcW w:type="dxa" w:w="3168"/>
            <w:vAlign w:val="center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  <w:shd w:fill="EEF3F8"/>
          </w:tcPr>
          <w:p>
            <w:pPr>
              <w:spacing w:after="0"/>
            </w:pPr>
            <w:r>
              <w:rPr>
                <w:rFonts w:ascii="Aptos" w:hAnsi="Aptos"/>
                <w:b/>
                <w:color w:val="091837"/>
                <w:sz w:val="19"/>
              </w:rPr>
              <w:t>Recommended use</w:t>
            </w:r>
          </w:p>
        </w:tc>
        <w:tc>
          <w:tcPr>
            <w:tcW w:type="dxa" w:w="6768"/>
            <w:vAlign w:val="center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0262F"/>
                <w:sz w:val="19"/>
              </w:rPr>
              <w:t>Shadow-mode prioritization overlay with human review.</w:t>
            </w:r>
          </w:p>
        </w:tc>
      </w:tr>
    </w:tbl>
    <w:p/>
    <w:p>
      <w:pPr>
        <w:pStyle w:val="Heading1"/>
      </w:pPr>
      <w:r>
        <w:t>1. Project At A Glance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2592"/>
            <w:shd w:fill="0B2348"/>
            <w:tcBorders>
              <w:top w:val="single" w:sz="6" w:space="0" w:color="0B2348"/>
              <w:left w:val="single" w:sz="6" w:space="0" w:color="0B2348"/>
              <w:bottom w:val="single" w:sz="6" w:space="0" w:color="0B2348"/>
              <w:right w:val="single" w:sz="6" w:space="0" w:color="0B2348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8"/>
              </w:rPr>
              <w:t>Area</w:t>
            </w:r>
          </w:p>
        </w:tc>
        <w:tc>
          <w:tcPr>
            <w:tcW w:type="dxa" w:w="7128"/>
            <w:shd w:fill="0B2348"/>
            <w:tcBorders>
              <w:top w:val="single" w:sz="6" w:space="0" w:color="0B2348"/>
              <w:left w:val="single" w:sz="6" w:space="0" w:color="0B2348"/>
              <w:bottom w:val="single" w:sz="6" w:space="0" w:color="0B2348"/>
              <w:right w:val="single" w:sz="6" w:space="0" w:color="0B2348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8"/>
              </w:rPr>
              <w:t>Evidence</w:t>
            </w:r>
          </w:p>
        </w:tc>
      </w:tr>
      <w:tr>
        <w:tc>
          <w:tcPr>
            <w:tcW w:type="dxa" w:w="2592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after="0"/>
            </w:pPr>
            <w:r>
              <w:rPr>
                <w:rFonts w:ascii="Aptos" w:hAnsi="Aptos"/>
                <w:color w:val="20262F"/>
                <w:sz w:val="18"/>
              </w:rPr>
              <w:t>Problem solved</w:t>
            </w:r>
          </w:p>
        </w:tc>
        <w:tc>
          <w:tcPr>
            <w:tcW w:type="dxa" w:w="7128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after="0"/>
            </w:pPr>
            <w:r>
              <w:rPr>
                <w:rFonts w:ascii="Aptos" w:hAnsi="Aptos"/>
                <w:color w:val="20262F"/>
                <w:sz w:val="18"/>
              </w:rPr>
              <w:t>Fraud-alert overload, false positives, limited investigator capacity, and the need for explainable review decisions.</w:t>
            </w:r>
          </w:p>
        </w:tc>
      </w:tr>
      <w:tr>
        <w:tc>
          <w:tcPr>
            <w:tcW w:type="dxa" w:w="2592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after="0"/>
            </w:pPr>
            <w:r>
              <w:rPr>
                <w:rFonts w:ascii="Aptos" w:hAnsi="Aptos"/>
                <w:color w:val="20262F"/>
                <w:sz w:val="18"/>
              </w:rPr>
              <w:t>Data foundation</w:t>
            </w:r>
          </w:p>
        </w:tc>
        <w:tc>
          <w:tcPr>
            <w:tcW w:type="dxa" w:w="7128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after="0"/>
            </w:pPr>
            <w:r>
              <w:rPr>
                <w:rFonts w:ascii="Aptos" w:hAnsi="Aptos"/>
                <w:color w:val="20262F"/>
                <w:sz w:val="18"/>
              </w:rPr>
              <w:t>5,000 synthetic transactions, 201 fraud cases, transaction/customer/merchant joins, leakage controls, and a SQL feature view.</w:t>
            </w:r>
          </w:p>
        </w:tc>
      </w:tr>
      <w:tr>
        <w:tc>
          <w:tcPr>
            <w:tcW w:type="dxa" w:w="2592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after="0"/>
            </w:pPr>
            <w:r>
              <w:rPr>
                <w:rFonts w:ascii="Aptos" w:hAnsi="Aptos"/>
                <w:color w:val="20262F"/>
                <w:sz w:val="18"/>
              </w:rPr>
              <w:t>Model workflow</w:t>
            </w:r>
          </w:p>
        </w:tc>
        <w:tc>
          <w:tcPr>
            <w:tcW w:type="dxa" w:w="7128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after="0"/>
            </w:pPr>
            <w:r>
              <w:rPr>
                <w:rFonts w:ascii="Aptos" w:hAnsi="Aptos"/>
                <w:color w:val="20262F"/>
                <w:sz w:val="18"/>
              </w:rPr>
              <w:t>Feature engineering, model comparison, validation permutation importance, threshold selection, and app-ready artifact exports.</w:t>
            </w:r>
          </w:p>
        </w:tc>
      </w:tr>
      <w:tr>
        <w:tc>
          <w:tcPr>
            <w:tcW w:type="dxa" w:w="2592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after="0"/>
            </w:pPr>
            <w:r>
              <w:rPr>
                <w:rFonts w:ascii="Aptos" w:hAnsi="Aptos"/>
                <w:color w:val="20262F"/>
                <w:sz w:val="18"/>
              </w:rPr>
              <w:t>Operational output</w:t>
            </w:r>
          </w:p>
        </w:tc>
        <w:tc>
          <w:tcPr>
            <w:tcW w:type="dxa" w:w="7128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after="0"/>
            </w:pPr>
            <w:r>
              <w:rPr>
                <w:rFonts w:ascii="Aptos" w:hAnsi="Aptos"/>
                <w:color w:val="20262F"/>
                <w:sz w:val="18"/>
              </w:rPr>
              <w:t>Score, Queue, Metrics, Governance, transaction lookup, explanation layer, CSV case export, and presenter mode.</w:t>
            </w:r>
          </w:p>
        </w:tc>
      </w:tr>
      <w:tr>
        <w:tc>
          <w:tcPr>
            <w:tcW w:type="dxa" w:w="2592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after="0"/>
            </w:pPr>
            <w:r>
              <w:rPr>
                <w:rFonts w:ascii="Aptos" w:hAnsi="Aptos"/>
                <w:color w:val="20262F"/>
                <w:sz w:val="18"/>
              </w:rPr>
              <w:t>Governance output</w:t>
            </w:r>
          </w:p>
        </w:tc>
        <w:tc>
          <w:tcPr>
            <w:tcW w:type="dxa" w:w="7128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after="0"/>
            </w:pPr>
            <w:r>
              <w:rPr>
                <w:rFonts w:ascii="Aptos" w:hAnsi="Aptos"/>
                <w:color w:val="20262F"/>
                <w:sz w:val="18"/>
              </w:rPr>
              <w:t>Model card, threshold memo, monitoring controls, production boundary, and enterprise-readiness roadmap.</w:t>
            </w:r>
          </w:p>
        </w:tc>
      </w:tr>
    </w:tbl>
    <w:p/>
    <w:p>
      <w:pPr>
        <w:pStyle w:val="Heading1"/>
      </w:pPr>
      <w:r>
        <w:t>2. Report Card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2304"/>
            <w:shd w:fill="0B2348"/>
            <w:tcBorders>
              <w:top w:val="single" w:sz="6" w:space="0" w:color="0B2348"/>
              <w:left w:val="single" w:sz="6" w:space="0" w:color="0B2348"/>
              <w:bottom w:val="single" w:sz="6" w:space="0" w:color="0B2348"/>
              <w:right w:val="single" w:sz="6" w:space="0" w:color="0B2348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8"/>
              </w:rPr>
              <w:t>Review Criterion</w:t>
            </w:r>
          </w:p>
        </w:tc>
        <w:tc>
          <w:tcPr>
            <w:tcW w:type="dxa" w:w="4392"/>
            <w:shd w:fill="0B2348"/>
            <w:tcBorders>
              <w:top w:val="single" w:sz="6" w:space="0" w:color="0B2348"/>
              <w:left w:val="single" w:sz="6" w:space="0" w:color="0B2348"/>
              <w:bottom w:val="single" w:sz="6" w:space="0" w:color="0B2348"/>
              <w:right w:val="single" w:sz="6" w:space="0" w:color="0B2348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8"/>
              </w:rPr>
              <w:t>My Evidence</w:t>
            </w:r>
          </w:p>
        </w:tc>
        <w:tc>
          <w:tcPr>
            <w:tcW w:type="dxa" w:w="3024"/>
            <w:shd w:fill="0B2348"/>
            <w:tcBorders>
              <w:top w:val="single" w:sz="6" w:space="0" w:color="0B2348"/>
              <w:left w:val="single" w:sz="6" w:space="0" w:color="0B2348"/>
              <w:bottom w:val="single" w:sz="6" w:space="0" w:color="0B2348"/>
              <w:right w:val="single" w:sz="6" w:space="0" w:color="0B2348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8"/>
              </w:rPr>
              <w:t>Reviewer Takeaway</w:t>
            </w:r>
          </w:p>
        </w:tc>
      </w:tr>
      <w:tr>
        <w:tc>
          <w:tcPr>
            <w:tcW w:type="dxa" w:w="2304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after="0"/>
            </w:pPr>
            <w:r>
              <w:rPr>
                <w:rFonts w:ascii="Aptos" w:hAnsi="Aptos"/>
                <w:color w:val="20262F"/>
                <w:sz w:val="18"/>
              </w:rPr>
              <w:t>Fraud relevance</w:t>
            </w:r>
          </w:p>
        </w:tc>
        <w:tc>
          <w:tcPr>
            <w:tcW w:type="dxa" w:w="4392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after="0"/>
            </w:pPr>
            <w:r>
              <w:rPr>
                <w:rFonts w:ascii="Aptos" w:hAnsi="Aptos"/>
                <w:color w:val="20262F"/>
                <w:sz w:val="18"/>
              </w:rPr>
              <w:t>Risk signals based on amount, time, channel, geography, velocity, and merchant context.</w:t>
            </w:r>
          </w:p>
        </w:tc>
        <w:tc>
          <w:tcPr>
            <w:tcW w:type="dxa" w:w="3024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after="0"/>
            </w:pPr>
            <w:r>
              <w:rPr>
                <w:rFonts w:ascii="Aptos" w:hAnsi="Aptos"/>
                <w:color w:val="20262F"/>
                <w:sz w:val="18"/>
              </w:rPr>
              <w:t>Strong domain alignment.</w:t>
            </w:r>
          </w:p>
        </w:tc>
      </w:tr>
      <w:tr>
        <w:tc>
          <w:tcPr>
            <w:tcW w:type="dxa" w:w="2304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after="0"/>
            </w:pPr>
            <w:r>
              <w:rPr>
                <w:rFonts w:ascii="Aptos" w:hAnsi="Aptos"/>
                <w:color w:val="20262F"/>
                <w:sz w:val="18"/>
              </w:rPr>
              <w:t>Analytical discipline</w:t>
            </w:r>
          </w:p>
        </w:tc>
        <w:tc>
          <w:tcPr>
            <w:tcW w:type="dxa" w:w="4392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after="0"/>
            </w:pPr>
            <w:r>
              <w:rPr>
                <w:rFonts w:ascii="Aptos" w:hAnsi="Aptos"/>
                <w:color w:val="20262F"/>
                <w:sz w:val="18"/>
              </w:rPr>
              <w:t>Held-out validation, model-aware feature audit, threshold comparison, and false-positive awareness.</w:t>
            </w:r>
          </w:p>
        </w:tc>
        <w:tc>
          <w:tcPr>
            <w:tcW w:type="dxa" w:w="3024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after="0"/>
            </w:pPr>
            <w:r>
              <w:rPr>
                <w:rFonts w:ascii="Aptos" w:hAnsi="Aptos"/>
                <w:color w:val="20262F"/>
                <w:sz w:val="18"/>
              </w:rPr>
              <w:t>More than a dashboard.</w:t>
            </w:r>
          </w:p>
        </w:tc>
      </w:tr>
      <w:tr>
        <w:tc>
          <w:tcPr>
            <w:tcW w:type="dxa" w:w="2304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after="0"/>
            </w:pPr>
            <w:r>
              <w:rPr>
                <w:rFonts w:ascii="Aptos" w:hAnsi="Aptos"/>
                <w:color w:val="20262F"/>
                <w:sz w:val="18"/>
              </w:rPr>
              <w:t>Business usefulness</w:t>
            </w:r>
          </w:p>
        </w:tc>
        <w:tc>
          <w:tcPr>
            <w:tcW w:type="dxa" w:w="4392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after="0"/>
            </w:pPr>
            <w:r>
              <w:rPr>
                <w:rFonts w:ascii="Aptos" w:hAnsi="Aptos"/>
                <w:color w:val="20262F"/>
                <w:sz w:val="18"/>
              </w:rPr>
              <w:t>Capacity threshold, queue precision, fraud capture, review cost, and break-even analysis.</w:t>
            </w:r>
          </w:p>
        </w:tc>
        <w:tc>
          <w:tcPr>
            <w:tcW w:type="dxa" w:w="3024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after="0"/>
            </w:pPr>
            <w:r>
              <w:rPr>
                <w:rFonts w:ascii="Aptos" w:hAnsi="Aptos"/>
                <w:color w:val="20262F"/>
                <w:sz w:val="18"/>
              </w:rPr>
              <w:t>Decision-ready.</w:t>
            </w:r>
          </w:p>
        </w:tc>
      </w:tr>
      <w:tr>
        <w:tc>
          <w:tcPr>
            <w:tcW w:type="dxa" w:w="2304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after="0"/>
            </w:pPr>
            <w:r>
              <w:rPr>
                <w:rFonts w:ascii="Aptos" w:hAnsi="Aptos"/>
                <w:color w:val="20262F"/>
                <w:sz w:val="18"/>
              </w:rPr>
              <w:t>Explainability</w:t>
            </w:r>
          </w:p>
        </w:tc>
        <w:tc>
          <w:tcPr>
            <w:tcW w:type="dxa" w:w="4392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after="0"/>
            </w:pPr>
            <w:r>
              <w:rPr>
                <w:rFonts w:ascii="Aptos" w:hAnsi="Aptos"/>
                <w:color w:val="20262F"/>
                <w:sz w:val="18"/>
              </w:rPr>
              <w:t>Per-case reasons and local feature impact shown in the app and report.</w:t>
            </w:r>
          </w:p>
        </w:tc>
        <w:tc>
          <w:tcPr>
            <w:tcW w:type="dxa" w:w="3024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after="0"/>
            </w:pPr>
            <w:r>
              <w:rPr>
                <w:rFonts w:ascii="Aptos" w:hAnsi="Aptos"/>
                <w:color w:val="20262F"/>
                <w:sz w:val="18"/>
              </w:rPr>
              <w:t>Investigator-readable.</w:t>
            </w:r>
          </w:p>
        </w:tc>
      </w:tr>
      <w:tr>
        <w:tc>
          <w:tcPr>
            <w:tcW w:type="dxa" w:w="2304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after="0"/>
            </w:pPr>
            <w:r>
              <w:rPr>
                <w:rFonts w:ascii="Aptos" w:hAnsi="Aptos"/>
                <w:color w:val="20262F"/>
                <w:sz w:val="18"/>
              </w:rPr>
              <w:t>Governance</w:t>
            </w:r>
          </w:p>
        </w:tc>
        <w:tc>
          <w:tcPr>
            <w:tcW w:type="dxa" w:w="4392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after="0"/>
            </w:pPr>
            <w:r>
              <w:rPr>
                <w:rFonts w:ascii="Aptos" w:hAnsi="Aptos"/>
                <w:color w:val="20262F"/>
                <w:sz w:val="18"/>
              </w:rPr>
              <w:t>Human-review boundary, limitations, monitoring plan, and future approval roadmap.</w:t>
            </w:r>
          </w:p>
        </w:tc>
        <w:tc>
          <w:tcPr>
            <w:tcW w:type="dxa" w:w="3024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after="0"/>
            </w:pPr>
            <w:r>
              <w:rPr>
                <w:rFonts w:ascii="Aptos" w:hAnsi="Aptos"/>
                <w:color w:val="20262F"/>
                <w:sz w:val="18"/>
              </w:rPr>
              <w:t>Responsible prototype.</w:t>
            </w:r>
          </w:p>
        </w:tc>
      </w:tr>
      <w:tr>
        <w:tc>
          <w:tcPr>
            <w:tcW w:type="dxa" w:w="2304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after="0"/>
            </w:pPr>
            <w:r>
              <w:rPr>
                <w:rFonts w:ascii="Aptos" w:hAnsi="Aptos"/>
                <w:color w:val="20262F"/>
                <w:sz w:val="18"/>
              </w:rPr>
              <w:t>Delivery quality</w:t>
            </w:r>
          </w:p>
        </w:tc>
        <w:tc>
          <w:tcPr>
            <w:tcW w:type="dxa" w:w="4392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after="0"/>
            </w:pPr>
            <w:r>
              <w:rPr>
                <w:rFonts w:ascii="Aptos" w:hAnsi="Aptos"/>
                <w:color w:val="20262F"/>
                <w:sz w:val="18"/>
              </w:rPr>
              <w:t>Live Vercel app, GitHub repository, final PPT, report, video script, source code, and evidence folder.</w:t>
            </w:r>
          </w:p>
        </w:tc>
        <w:tc>
          <w:tcPr>
            <w:tcW w:type="dxa" w:w="3024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after="0"/>
            </w:pPr>
            <w:r>
              <w:rPr>
                <w:rFonts w:ascii="Aptos" w:hAnsi="Aptos"/>
                <w:color w:val="20262F"/>
                <w:sz w:val="18"/>
              </w:rPr>
              <w:t>Submission-ready.</w:t>
            </w:r>
          </w:p>
        </w:tc>
      </w:tr>
    </w:tbl>
    <w:p/>
    <w:p>
      <w:pPr>
        <w:pStyle w:val="Heading1"/>
      </w:pPr>
      <w:r>
        <w:t>3. Honest Recommendation</w:t>
      </w:r>
    </w:p>
    <w:p>
      <w:r>
        <w:t>The final recommendation is to pilot the solution as a controlled prioritization overlay, not as an automated fraud-blocking system. The model can help investigators decide which cases to review next, while existing controls and human validation remain in place. A production path would require real-data validation, probability calibration, signed SHAP explanations, drift monitoring, investigator outcomes, security controls, audit logging, and formal model-risk approval.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EAF4FF"/>
            <w:tcBorders>
              <w:top w:val="single" w:sz="6" w:space="0" w:color="9DCBFF"/>
              <w:left w:val="single" w:sz="6" w:space="0" w:color="9DCBFF"/>
              <w:bottom w:val="single" w:sz="6" w:space="0" w:color="9DCBFF"/>
              <w:right w:val="single" w:sz="6" w:space="0" w:color="9DCBFF"/>
            </w:tcBorders>
          </w:tcPr>
          <w:p>
            <w:pPr>
              <w:spacing w:after="40"/>
            </w:pPr>
            <w:r>
              <w:rPr>
                <w:b/>
                <w:color w:val="1F6FEB"/>
                <w:sz w:val="20"/>
              </w:rPr>
              <w:t>One-line conclusion</w:t>
            </w:r>
          </w:p>
          <w:p>
            <w:pPr>
              <w:spacing w:after="0"/>
            </w:pPr>
            <w:r>
              <w:rPr>
                <w:color w:val="20262F"/>
                <w:sz w:val="19"/>
              </w:rPr>
              <w:t>The project demonstrates that I can convert a data-science fraud task into a practical risk-analytics workflow with explainability, economics, governance, and deployment.</w:t>
            </w:r>
          </w:p>
        </w:tc>
      </w:tr>
    </w:tbl>
    <w:p/>
    <w:p>
      <w:pPr>
        <w:pStyle w:val="Heading1"/>
      </w:pPr>
      <w:r>
        <w:t>4. Improvement Journey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2376"/>
            <w:shd w:fill="0B2348"/>
            <w:tcBorders>
              <w:top w:val="single" w:sz="6" w:space="0" w:color="0B2348"/>
              <w:left w:val="single" w:sz="6" w:space="0" w:color="0B2348"/>
              <w:bottom w:val="single" w:sz="6" w:space="0" w:color="0B2348"/>
              <w:right w:val="single" w:sz="6" w:space="0" w:color="0B2348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8"/>
              </w:rPr>
              <w:t>Build Phase</w:t>
            </w:r>
          </w:p>
        </w:tc>
        <w:tc>
          <w:tcPr>
            <w:tcW w:type="dxa" w:w="3744"/>
            <w:shd w:fill="0B2348"/>
            <w:tcBorders>
              <w:top w:val="single" w:sz="6" w:space="0" w:color="0B2348"/>
              <w:left w:val="single" w:sz="6" w:space="0" w:color="0B2348"/>
              <w:bottom w:val="single" w:sz="6" w:space="0" w:color="0B2348"/>
              <w:right w:val="single" w:sz="6" w:space="0" w:color="0B2348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8"/>
              </w:rPr>
              <w:t>Initial Gap</w:t>
            </w:r>
          </w:p>
        </w:tc>
        <w:tc>
          <w:tcPr>
            <w:tcW w:type="dxa" w:w="3600"/>
            <w:shd w:fill="0B2348"/>
            <w:tcBorders>
              <w:top w:val="single" w:sz="6" w:space="0" w:color="0B2348"/>
              <w:left w:val="single" w:sz="6" w:space="0" w:color="0B2348"/>
              <w:bottom w:val="single" w:sz="6" w:space="0" w:color="0B2348"/>
              <w:right w:val="single" w:sz="6" w:space="0" w:color="0B2348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8"/>
              </w:rPr>
              <w:t>Final Improvement</w:t>
            </w:r>
          </w:p>
        </w:tc>
      </w:tr>
      <w:tr>
        <w:tc>
          <w:tcPr>
            <w:tcW w:type="dxa" w:w="2376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after="0"/>
            </w:pPr>
            <w:r>
              <w:rPr>
                <w:rFonts w:ascii="Aptos" w:hAnsi="Aptos"/>
                <w:color w:val="20262F"/>
                <w:sz w:val="18"/>
              </w:rPr>
              <w:t>First model/dashboard</w:t>
            </w:r>
          </w:p>
        </w:tc>
        <w:tc>
          <w:tcPr>
            <w:tcW w:type="dxa" w:w="3744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after="0"/>
            </w:pPr>
            <w:r>
              <w:rPr>
                <w:rFonts w:ascii="Aptos" w:hAnsi="Aptos"/>
                <w:color w:val="20262F"/>
                <w:sz w:val="18"/>
              </w:rPr>
              <w:t>The early version proved scoring but did not fully explain operational use.</w:t>
            </w:r>
          </w:p>
        </w:tc>
        <w:tc>
          <w:tcPr>
            <w:tcW w:type="dxa" w:w="3600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after="0"/>
            </w:pPr>
            <w:r>
              <w:rPr>
                <w:rFonts w:ascii="Aptos" w:hAnsi="Aptos"/>
                <w:color w:val="20262F"/>
                <w:sz w:val="18"/>
              </w:rPr>
              <w:t>Reframed as an investigator-control workflow with Score, Queue, Metrics, and Governance.</w:t>
            </w:r>
          </w:p>
        </w:tc>
      </w:tr>
      <w:tr>
        <w:tc>
          <w:tcPr>
            <w:tcW w:type="dxa" w:w="2376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after="0"/>
            </w:pPr>
            <w:r>
              <w:rPr>
                <w:rFonts w:ascii="Aptos" w:hAnsi="Aptos"/>
                <w:color w:val="20262F"/>
                <w:sz w:val="18"/>
              </w:rPr>
              <w:t>Reviewer usability</w:t>
            </w:r>
          </w:p>
        </w:tc>
        <w:tc>
          <w:tcPr>
            <w:tcW w:type="dxa" w:w="3744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after="0"/>
            </w:pPr>
            <w:r>
              <w:rPr>
                <w:rFonts w:ascii="Aptos" w:hAnsi="Aptos"/>
                <w:color w:val="20262F"/>
                <w:sz w:val="18"/>
              </w:rPr>
              <w:t>The app needed to be easier to demonstrate live.</w:t>
            </w:r>
          </w:p>
        </w:tc>
        <w:tc>
          <w:tcPr>
            <w:tcW w:type="dxa" w:w="3600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after="0"/>
            </w:pPr>
            <w:r>
              <w:rPr>
                <w:rFonts w:ascii="Aptos" w:hAnsi="Aptos"/>
                <w:color w:val="20262F"/>
                <w:sz w:val="18"/>
              </w:rPr>
              <w:t>Added transaction lookup, case drilldown, clearer reason text, CSV case export, and presenter mode.</w:t>
            </w:r>
          </w:p>
        </w:tc>
      </w:tr>
      <w:tr>
        <w:tc>
          <w:tcPr>
            <w:tcW w:type="dxa" w:w="2376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after="0"/>
            </w:pPr>
            <w:r>
              <w:rPr>
                <w:rFonts w:ascii="Aptos" w:hAnsi="Aptos"/>
                <w:color w:val="20262F"/>
                <w:sz w:val="18"/>
              </w:rPr>
              <w:t>Business case</w:t>
            </w:r>
          </w:p>
        </w:tc>
        <w:tc>
          <w:tcPr>
            <w:tcW w:type="dxa" w:w="3744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after="0"/>
            </w:pPr>
            <w:r>
              <w:rPr>
                <w:rFonts w:ascii="Aptos" w:hAnsi="Aptos"/>
                <w:color w:val="20262F"/>
                <w:sz w:val="18"/>
              </w:rPr>
              <w:t>The model result needed a stronger finance/risk explanation.</w:t>
            </w:r>
          </w:p>
        </w:tc>
        <w:tc>
          <w:tcPr>
            <w:tcW w:type="dxa" w:w="3600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after="0"/>
            </w:pPr>
            <w:r>
              <w:rPr>
                <w:rFonts w:ascii="Aptos" w:hAnsi="Aptos"/>
                <w:color w:val="20262F"/>
                <w:sz w:val="18"/>
              </w:rPr>
              <w:t>Added threshold economics, false-positive awareness, review-cost break-even, and pilot recommendation.</w:t>
            </w:r>
          </w:p>
        </w:tc>
      </w:tr>
      <w:tr>
        <w:tc>
          <w:tcPr>
            <w:tcW w:type="dxa" w:w="2376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after="0"/>
            </w:pPr>
            <w:r>
              <w:rPr>
                <w:rFonts w:ascii="Aptos" w:hAnsi="Aptos"/>
                <w:color w:val="20262F"/>
                <w:sz w:val="18"/>
              </w:rPr>
              <w:t>Submission package</w:t>
            </w:r>
          </w:p>
        </w:tc>
        <w:tc>
          <w:tcPr>
            <w:tcW w:type="dxa" w:w="3744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after="0"/>
            </w:pPr>
            <w:r>
              <w:rPr>
                <w:rFonts w:ascii="Aptos" w:hAnsi="Aptos"/>
                <w:color w:val="20262F"/>
                <w:sz w:val="18"/>
              </w:rPr>
              <w:t>Files needed to be easier for a reviewer to navigate.</w:t>
            </w:r>
          </w:p>
        </w:tc>
        <w:tc>
          <w:tcPr>
            <w:tcW w:type="dxa" w:w="3600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after="0"/>
            </w:pPr>
            <w:r>
              <w:rPr>
                <w:rFonts w:ascii="Aptos" w:hAnsi="Aptos"/>
                <w:color w:val="20262F"/>
                <w:sz w:val="18"/>
              </w:rPr>
              <w:t>Created a clean folder with presentation, report, report card, video script, app, source, and evidence.</w:t>
            </w:r>
          </w:p>
        </w:tc>
      </w:tr>
    </w:tbl>
    <w:p/>
    <w:p>
      <w:pPr>
        <w:pStyle w:val="Heading1"/>
      </w:pPr>
      <w:r>
        <w:t>5. How To Review The Submission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2088"/>
            <w:shd w:fill="0B2348"/>
            <w:tcBorders>
              <w:top w:val="single" w:sz="6" w:space="0" w:color="0B2348"/>
              <w:left w:val="single" w:sz="6" w:space="0" w:color="0B2348"/>
              <w:bottom w:val="single" w:sz="6" w:space="0" w:color="0B2348"/>
              <w:right w:val="single" w:sz="6" w:space="0" w:color="0B2348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8"/>
              </w:rPr>
              <w:t>Reviewer Step</w:t>
            </w:r>
          </w:p>
        </w:tc>
        <w:tc>
          <w:tcPr>
            <w:tcW w:type="dxa" w:w="2880"/>
            <w:shd w:fill="0B2348"/>
            <w:tcBorders>
              <w:top w:val="single" w:sz="6" w:space="0" w:color="0B2348"/>
              <w:left w:val="single" w:sz="6" w:space="0" w:color="0B2348"/>
              <w:bottom w:val="single" w:sz="6" w:space="0" w:color="0B2348"/>
              <w:right w:val="single" w:sz="6" w:space="0" w:color="0B2348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8"/>
              </w:rPr>
              <w:t>File Or Platform</w:t>
            </w:r>
          </w:p>
        </w:tc>
        <w:tc>
          <w:tcPr>
            <w:tcW w:type="dxa" w:w="4752"/>
            <w:shd w:fill="0B2348"/>
            <w:tcBorders>
              <w:top w:val="single" w:sz="6" w:space="0" w:color="0B2348"/>
              <w:left w:val="single" w:sz="6" w:space="0" w:color="0B2348"/>
              <w:bottom w:val="single" w:sz="6" w:space="0" w:color="0B2348"/>
              <w:right w:val="single" w:sz="6" w:space="0" w:color="0B2348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8"/>
              </w:rPr>
              <w:t>What To Check</w:t>
            </w:r>
          </w:p>
        </w:tc>
      </w:tr>
      <w:tr>
        <w:tc>
          <w:tcPr>
            <w:tcW w:type="dxa" w:w="2088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after="0"/>
            </w:pPr>
            <w:r>
              <w:rPr>
                <w:rFonts w:ascii="Aptos" w:hAnsi="Aptos"/>
                <w:color w:val="20262F"/>
                <w:sz w:val="18"/>
              </w:rPr>
              <w:t>Start</w:t>
            </w:r>
          </w:p>
        </w:tc>
        <w:tc>
          <w:tcPr>
            <w:tcW w:type="dxa" w:w="2880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after="0"/>
            </w:pPr>
            <w:r>
              <w:rPr>
                <w:rFonts w:ascii="Aptos" w:hAnsi="Aptos"/>
                <w:color w:val="20262F"/>
                <w:sz w:val="18"/>
              </w:rPr>
              <w:t>Final PPT</w:t>
            </w:r>
          </w:p>
        </w:tc>
        <w:tc>
          <w:tcPr>
            <w:tcW w:type="dxa" w:w="4752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after="0"/>
            </w:pPr>
            <w:r>
              <w:rPr>
                <w:rFonts w:ascii="Aptos" w:hAnsi="Aptos"/>
                <w:color w:val="20262F"/>
                <w:sz w:val="18"/>
              </w:rPr>
              <w:t>Follow the story from business problem to final recommendation.</w:t>
            </w:r>
          </w:p>
        </w:tc>
      </w:tr>
      <w:tr>
        <w:tc>
          <w:tcPr>
            <w:tcW w:type="dxa" w:w="2088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after="0"/>
            </w:pPr>
            <w:r>
              <w:rPr>
                <w:rFonts w:ascii="Aptos" w:hAnsi="Aptos"/>
                <w:color w:val="20262F"/>
                <w:sz w:val="18"/>
              </w:rPr>
              <w:t>Read detail</w:t>
            </w:r>
          </w:p>
        </w:tc>
        <w:tc>
          <w:tcPr>
            <w:tcW w:type="dxa" w:w="2880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after="0"/>
            </w:pPr>
            <w:r>
              <w:rPr>
                <w:rFonts w:ascii="Aptos" w:hAnsi="Aptos"/>
                <w:color w:val="20262F"/>
                <w:sz w:val="18"/>
              </w:rPr>
              <w:t>Professional report</w:t>
            </w:r>
          </w:p>
        </w:tc>
        <w:tc>
          <w:tcPr>
            <w:tcW w:type="dxa" w:w="4752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after="0"/>
            </w:pPr>
            <w:r>
              <w:rPr>
                <w:rFonts w:ascii="Aptos" w:hAnsi="Aptos"/>
                <w:color w:val="20262F"/>
                <w:sz w:val="18"/>
              </w:rPr>
              <w:t>Check methodology, feature logic, evaluation, app workflow, governance, and roadmap.</w:t>
            </w:r>
          </w:p>
        </w:tc>
      </w:tr>
      <w:tr>
        <w:tc>
          <w:tcPr>
            <w:tcW w:type="dxa" w:w="2088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after="0"/>
            </w:pPr>
            <w:r>
              <w:rPr>
                <w:rFonts w:ascii="Aptos" w:hAnsi="Aptos"/>
                <w:color w:val="20262F"/>
                <w:sz w:val="18"/>
              </w:rPr>
              <w:t>Quick assessment</w:t>
            </w:r>
          </w:p>
        </w:tc>
        <w:tc>
          <w:tcPr>
            <w:tcW w:type="dxa" w:w="2880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after="0"/>
            </w:pPr>
            <w:r>
              <w:rPr>
                <w:rFonts w:ascii="Aptos" w:hAnsi="Aptos"/>
                <w:color w:val="20262F"/>
                <w:sz w:val="18"/>
              </w:rPr>
              <w:t>Project report card</w:t>
            </w:r>
          </w:p>
        </w:tc>
        <w:tc>
          <w:tcPr>
            <w:tcW w:type="dxa" w:w="4752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after="0"/>
            </w:pPr>
            <w:r>
              <w:rPr>
                <w:rFonts w:ascii="Aptos" w:hAnsi="Aptos"/>
                <w:color w:val="20262F"/>
                <w:sz w:val="18"/>
              </w:rPr>
              <w:t>Confirm evidence against the main review criteria.</w:t>
            </w:r>
          </w:p>
        </w:tc>
      </w:tr>
      <w:tr>
        <w:tc>
          <w:tcPr>
            <w:tcW w:type="dxa" w:w="2088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after="0"/>
            </w:pPr>
            <w:r>
              <w:rPr>
                <w:rFonts w:ascii="Aptos" w:hAnsi="Aptos"/>
                <w:color w:val="20262F"/>
                <w:sz w:val="18"/>
              </w:rPr>
              <w:t>Test output</w:t>
            </w:r>
          </w:p>
        </w:tc>
        <w:tc>
          <w:tcPr>
            <w:tcW w:type="dxa" w:w="2880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after="0"/>
            </w:pPr>
            <w:r>
              <w:rPr>
                <w:rFonts w:ascii="Aptos" w:hAnsi="Aptos"/>
                <w:color w:val="20262F"/>
                <w:sz w:val="18"/>
              </w:rPr>
              <w:t>Live Vercel app</w:t>
            </w:r>
          </w:p>
        </w:tc>
        <w:tc>
          <w:tcPr>
            <w:tcW w:type="dxa" w:w="4752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after="0"/>
            </w:pPr>
            <w:r>
              <w:rPr>
                <w:rFonts w:ascii="Aptos" w:hAnsi="Aptos"/>
                <w:color w:val="20262F"/>
                <w:sz w:val="18"/>
              </w:rPr>
              <w:t>Search or enter transactions and inspect score, queue, metrics, governance, and CSV export.</w:t>
            </w:r>
          </w:p>
        </w:tc>
      </w:tr>
      <w:tr>
        <w:tc>
          <w:tcPr>
            <w:tcW w:type="dxa" w:w="2088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after="0"/>
            </w:pPr>
            <w:r>
              <w:rPr>
                <w:rFonts w:ascii="Aptos" w:hAnsi="Aptos"/>
                <w:color w:val="20262F"/>
                <w:sz w:val="18"/>
              </w:rPr>
              <w:t>Inspect build</w:t>
            </w:r>
          </w:p>
        </w:tc>
        <w:tc>
          <w:tcPr>
            <w:tcW w:type="dxa" w:w="2880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after="0"/>
            </w:pPr>
            <w:r>
              <w:rPr>
                <w:rFonts w:ascii="Aptos" w:hAnsi="Aptos"/>
                <w:color w:val="20262F"/>
                <w:sz w:val="18"/>
              </w:rPr>
              <w:t>GitHub/source folder</w:t>
            </w:r>
          </w:p>
        </w:tc>
        <w:tc>
          <w:tcPr>
            <w:tcW w:type="dxa" w:w="4752"/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</w:tcBorders>
          </w:tcPr>
          <w:p>
            <w:pPr>
              <w:spacing w:after="0"/>
            </w:pPr>
            <w:r>
              <w:rPr>
                <w:rFonts w:ascii="Aptos" w:hAnsi="Aptos"/>
                <w:color w:val="20262F"/>
                <w:sz w:val="18"/>
              </w:rPr>
              <w:t>Review Python pipeline, SQL feature view, app code, and exported artifacts.</w:t>
            </w:r>
          </w:p>
        </w:tc>
      </w:tr>
    </w:tbl>
    <w:p/>
    <w:sectPr w:rsidR="00FC693F" w:rsidRPr="0006063C" w:rsidSect="00034616">
      <w:pgSz w:w="12240" w:h="15840"/>
      <w:pgMar w:top="1037" w:right="1123" w:bottom="1037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20262F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91837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Aptos" w:hAnsi="Aptos"/>
      <w:b/>
      <w:bCs/>
      <w:color w:val="1F6FEB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20" w:after="100"/>
      <w:outlineLvl w:val="2"/>
    </w:pPr>
    <w:rPr>
      <w:rFonts w:asciiTheme="majorHAnsi" w:eastAsiaTheme="majorEastAsia" w:hAnsiTheme="majorHAnsi" w:cstheme="majorBidi" w:ascii="Aptos" w:hAnsi="Aptos"/>
      <w:b/>
      <w:bCs/>
      <w:color w:val="149187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Fraud Alert Control Tower - Project Report Card</dc:title>
  <dc:subject/>
  <dc:creator>Mirza Saif Baig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