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DC Language Translator</w:t>
      </w:r>
    </w:p>
    <w:p>
      <w:pPr>
        <w:spacing w:after="120" w:before="0"/>
        <w:jc w:val="center"/>
      </w:pPr>
      <w:r>
        <w:rPr>
          <w:rFonts w:ascii="Arial" w:cs="Arial" w:eastAsia="Arial" w:hAnsi="Arial"/>
          <w:color w:val="2E74B5"/>
          <w:sz w:val="36"/>
          <w:szCs w:val="36"/>
        </w:rPr>
        <w:t xml:space="preserve">Evaluation Report</w:t>
      </w:r>
    </w:p>
    <w:p>
      <w:pPr>
        <w:spacing w:after="60" w:before="0"/>
        <w:jc w:val="center"/>
      </w:pPr>
      <w:r>
        <w:rPr>
          <w:rFonts w:ascii="Arial" w:cs="Arial" w:eastAsia="Arial" w:hAnsi="Arial"/>
          <w:color w:val="666666"/>
          <w:sz w:val="24"/>
          <w:szCs w:val="24"/>
        </w:rPr>
        <w:t xml:space="preserve">Project 8 — Natural Language Processing Course</w:t>
      </w:r>
    </w:p>
    <w:p>
      <w:pPr>
        <w:spacing w:after="60" w:before="60"/>
      </w:pPr>
      <w:r>
        <w:t xml:space="preserve"/>
      </w:r>
    </w:p>
    <w:p>
      <w:pPr>
        <w:spacing w:after="60" w:before="120"/>
        <w:jc w:val="center"/>
      </w:pPr>
      <w:r>
        <w:rPr>
          <w:rFonts w:ascii="Arial" w:cs="Arial" w:eastAsia="Arial" w:hAnsi="Arial"/>
          <w:sz w:val="22"/>
          <w:szCs w:val="22"/>
        </w:rPr>
        <w:t xml:space="preserve">Student: [Your Name]</w:t>
      </w:r>
    </w:p>
    <w:p>
      <w:pPr>
        <w:spacing w:after="60" w:before="0"/>
        <w:jc w:val="center"/>
      </w:pPr>
      <w:r>
        <w:rPr>
          <w:rFonts w:ascii="Arial" w:cs="Arial" w:eastAsia="Arial" w:hAnsi="Arial"/>
          <w:sz w:val="22"/>
          <w:szCs w:val="22"/>
        </w:rPr>
        <w:t xml:space="preserve">Student ID: [Your ID]</w:t>
      </w:r>
    </w:p>
    <w:p>
      <w:pPr>
        <w:spacing w:after="60" w:before="0"/>
        <w:jc w:val="center"/>
      </w:pPr>
      <w:r>
        <w:rPr>
          <w:rFonts w:ascii="Arial" w:cs="Arial" w:eastAsia="Arial" w:hAnsi="Arial"/>
          <w:sz w:val="22"/>
          <w:szCs w:val="22"/>
        </w:rPr>
        <w:t xml:space="preserve">Institution: Durham College</w:t>
      </w:r>
    </w:p>
    <w:p>
      <w:pPr>
        <w:spacing w:after="480" w:before="0"/>
        <w:jc w:val="center"/>
      </w:pPr>
      <w:r>
        <w:rPr>
          <w:rFonts w:ascii="Arial" w:cs="Arial" w:eastAsia="Arial" w:hAnsi="Arial"/>
          <w:sz w:val="22"/>
          <w:szCs w:val="22"/>
        </w:rPr>
        <w:t xml:space="preserve">Date: April 2026</w:t>
      </w:r>
    </w:p>
    <w:p>
      <w:r>
        <w:br w:type="page"/>
      </w:r>
    </w:p>
    <w:p>
      <w:pPr>
        <w:pStyle w:val="Heading1"/>
        <w:spacing w:after="160" w:before="320"/>
      </w:pPr>
      <w:r>
        <w:rPr>
          <w:rFonts w:ascii="Arial" w:cs="Arial" w:eastAsia="Arial" w:hAnsi="Arial"/>
          <w:b/>
          <w:bCs/>
          <w:color w:val="1F4E79"/>
          <w:sz w:val="32"/>
          <w:szCs w:val="32"/>
        </w:rPr>
        <w:t xml:space="preserve">1. Introduction</w:t>
      </w:r>
    </w:p>
    <w:p>
      <w:pPr>
        <w:spacing w:after="100" w:before="80"/>
      </w:pPr>
      <w:r>
        <w:rPr>
          <w:rFonts w:ascii="Arial" w:cs="Arial" w:eastAsia="Arial" w:hAnsi="Arial"/>
          <w:sz w:val="22"/>
          <w:szCs w:val="22"/>
        </w:rPr>
        <w:t xml:space="preserve">This report presents a comprehensive evaluation of the DC Language Translator, a multi-language neural machine translation (NMT) system built using Helsinki-NLP's MarianMT pre-trained models via the HuggingFace Transformers library. The system supports translation between five European languages and English, with automatic source language detection and a Gradio-based web interface.</w:t>
      </w:r>
    </w:p>
    <w:p>
      <w:pPr>
        <w:spacing w:after="60" w:before="60"/>
      </w:pPr>
      <w:r>
        <w:t xml:space="preserve"/>
      </w:r>
    </w:p>
    <w:p>
      <w:pPr>
        <w:spacing w:after="100" w:before="80"/>
      </w:pPr>
      <w:r>
        <w:rPr>
          <w:rFonts w:ascii="Arial" w:cs="Arial" w:eastAsia="Arial" w:hAnsi="Arial"/>
          <w:sz w:val="22"/>
          <w:szCs w:val="22"/>
        </w:rPr>
        <w:t xml:space="preserve">The evaluation uses SacreBLEU (Bilingual Evaluation Understudy), the industry-standard metric for machine translation quality. Results are compared against Google Translate as a commercial baseline to contextualize the performance of this open-source local system.</w:t>
      </w:r>
    </w:p>
    <w:p>
      <w:pPr>
        <w:pStyle w:val="Heading1"/>
        <w:spacing w:after="160" w:before="320"/>
      </w:pPr>
      <w:r>
        <w:rPr>
          <w:rFonts w:ascii="Arial" w:cs="Arial" w:eastAsia="Arial" w:hAnsi="Arial"/>
          <w:b/>
          <w:bCs/>
          <w:color w:val="1F4E79"/>
          <w:sz w:val="32"/>
          <w:szCs w:val="32"/>
        </w:rPr>
        <w:t xml:space="preserve">2. System Description</w:t>
      </w:r>
    </w:p>
    <w:p>
      <w:pPr>
        <w:pStyle w:val="Heading2"/>
        <w:spacing w:after="120" w:before="240"/>
      </w:pPr>
      <w:r>
        <w:rPr>
          <w:rFonts w:ascii="Arial" w:cs="Arial" w:eastAsia="Arial" w:hAnsi="Arial"/>
          <w:b/>
          <w:bCs/>
          <w:color w:val="2E74B5"/>
          <w:sz w:val="26"/>
          <w:szCs w:val="26"/>
        </w:rPr>
        <w:t xml:space="preserve">2.1 Architecture</w:t>
      </w:r>
    </w:p>
    <w:p>
      <w:pPr>
        <w:spacing w:after="100" w:before="80"/>
      </w:pPr>
      <w:r>
        <w:rPr>
          <w:rFonts w:ascii="Arial" w:cs="Arial" w:eastAsia="Arial" w:hAnsi="Arial"/>
          <w:sz w:val="22"/>
          <w:szCs w:val="22"/>
        </w:rPr>
        <w:t xml:space="preserve">The DC Language Translator is a pipeline-based NMT system. The overall translation flow is:</w:t>
      </w:r>
    </w:p>
    <w:p>
      <w:pPr>
        <w:pStyle w:val="ListParagraph"/>
        <w:numPr>
          <w:ilvl w:val="0"/>
          <w:numId w:val="2"/>
        </w:numPr>
        <w:spacing w:after="60" w:before="60"/>
      </w:pPr>
      <w:r>
        <w:rPr>
          <w:rFonts w:ascii="Arial" w:cs="Arial" w:eastAsia="Arial" w:hAnsi="Arial"/>
          <w:sz w:val="22"/>
          <w:szCs w:val="22"/>
        </w:rPr>
        <w:t xml:space="preserve">The user inputs text via the Gradio web interface</w:t>
      </w:r>
    </w:p>
    <w:p>
      <w:pPr>
        <w:pStyle w:val="ListParagraph"/>
        <w:numPr>
          <w:ilvl w:val="0"/>
          <w:numId w:val="2"/>
        </w:numPr>
        <w:spacing w:after="60" w:before="60"/>
      </w:pPr>
      <w:r>
        <w:rPr>
          <w:rFonts w:ascii="Arial" w:cs="Arial" w:eastAsia="Arial" w:hAnsi="Arial"/>
          <w:sz w:val="22"/>
          <w:szCs w:val="22"/>
        </w:rPr>
        <w:t xml:space="preserve">If source language is set to Auto-Detect, langdetect identifies the input language</w:t>
      </w:r>
    </w:p>
    <w:p>
      <w:pPr>
        <w:pStyle w:val="ListParagraph"/>
        <w:numPr>
          <w:ilvl w:val="0"/>
          <w:numId w:val="2"/>
        </w:numPr>
        <w:spacing w:after="60" w:before="60"/>
      </w:pPr>
      <w:r>
        <w:rPr>
          <w:rFonts w:ascii="Arial" w:cs="Arial" w:eastAsia="Arial" w:hAnsi="Arial"/>
          <w:sz w:val="22"/>
          <w:szCs w:val="22"/>
        </w:rPr>
        <w:t xml:space="preserve">The appropriate MarianMT model is loaded (or retrieved from in-memory cache)</w:t>
      </w:r>
    </w:p>
    <w:p>
      <w:pPr>
        <w:pStyle w:val="ListParagraph"/>
        <w:numPr>
          <w:ilvl w:val="0"/>
          <w:numId w:val="2"/>
        </w:numPr>
        <w:spacing w:after="60" w:before="60"/>
      </w:pPr>
      <w:r>
        <w:rPr>
          <w:rFonts w:ascii="Arial" w:cs="Arial" w:eastAsia="Arial" w:hAnsi="Arial"/>
          <w:sz w:val="22"/>
          <w:szCs w:val="22"/>
        </w:rPr>
        <w:t xml:space="preserve">The text is tokenized using SentencePiece and passed through the transformer encoder-decoder</w:t>
      </w:r>
    </w:p>
    <w:p>
      <w:pPr>
        <w:pStyle w:val="ListParagraph"/>
        <w:numPr>
          <w:ilvl w:val="0"/>
          <w:numId w:val="2"/>
        </w:numPr>
        <w:spacing w:after="60" w:before="60"/>
      </w:pPr>
      <w:r>
        <w:rPr>
          <w:rFonts w:ascii="Arial" w:cs="Arial" w:eastAsia="Arial" w:hAnsi="Arial"/>
          <w:sz w:val="22"/>
          <w:szCs w:val="22"/>
        </w:rPr>
        <w:t xml:space="preserve">The translated output is returned to the UI and logged to the session history table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Models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 Pair</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 → 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Helsinki-NLP/opus-mt-fr-en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 → 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Helsinki-NLP/opus-mt-de-en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ES → 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Helsinki-NLP/opus-mt-es-en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IT → 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Helsinki-NLP/opus-mt-it-en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Dedicated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PT → 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Helsinki-NLP/opus-mt-roa-en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Romance Multilingual</w:t>
            </w:r>
          </w:p>
        </w:tc>
      </w:tr>
    </w:tbl>
    <w:p>
      <w:pPr>
        <w:spacing w:after="60" w:before="60"/>
      </w:pPr>
      <w:r>
        <w:t xml:space="preserve"/>
      </w:r>
    </w:p>
    <w:p>
      <w:pPr>
        <w:spacing w:after="100" w:before="80"/>
      </w:pPr>
      <w:r>
        <w:rPr>
          <w:rFonts w:ascii="Arial" w:cs="Arial" w:eastAsia="Arial" w:hAnsi="Arial"/>
          <w:b/>
          <w:bCs/>
          <w:sz w:val="22"/>
          <w:szCs w:val="22"/>
        </w:rPr>
        <w:t xml:space="preserve">Note on Portuguese: </w:t>
      </w:r>
      <w:r>
        <w:rPr>
          <w:rFonts w:ascii="Arial" w:cs="Arial" w:eastAsia="Arial" w:hAnsi="Arial"/>
          <w:sz w:val="22"/>
          <w:szCs w:val="22"/>
        </w:rPr>
        <w:t xml:space="preserve">The opus-mt-roa-en model is a multilingual Romance-to-English model trained on Portuguese, Spanish, Italian, and French data jointly. This design choice leverages cross-lingual transfer between closely related Romance languages.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Key Technical Details</w:t>
      </w:r>
    </w:p>
    <w:p>
      <w:pPr>
        <w:pStyle w:val="ListParagraph"/>
        <w:numPr>
          <w:ilvl w:val="0"/>
          <w:numId w:val="2"/>
        </w:numPr>
        <w:spacing w:after="60" w:before="60"/>
      </w:pPr>
      <w:r>
        <w:rPr>
          <w:rFonts w:ascii="Arial" w:cs="Arial" w:eastAsia="Arial" w:hAnsi="Arial"/>
          <w:sz w:val="22"/>
          <w:szCs w:val="22"/>
        </w:rPr>
        <w:t xml:space="preserve">Framework: HuggingFace Transformers &gt;=4.35.0</w:t>
      </w:r>
    </w:p>
    <w:p>
      <w:pPr>
        <w:pStyle w:val="ListParagraph"/>
        <w:numPr>
          <w:ilvl w:val="0"/>
          <w:numId w:val="2"/>
        </w:numPr>
        <w:spacing w:after="60" w:before="60"/>
      </w:pPr>
      <w:r>
        <w:rPr>
          <w:rFonts w:ascii="Arial" w:cs="Arial" w:eastAsia="Arial" w:hAnsi="Arial"/>
          <w:sz w:val="22"/>
          <w:szCs w:val="22"/>
        </w:rPr>
        <w:t xml:space="preserve">Tokenizer: SentencePiece (subword tokenization)</w:t>
      </w:r>
    </w:p>
    <w:p>
      <w:pPr>
        <w:pStyle w:val="ListParagraph"/>
        <w:numPr>
          <w:ilvl w:val="0"/>
          <w:numId w:val="2"/>
        </w:numPr>
        <w:spacing w:after="60" w:before="60"/>
      </w:pPr>
      <w:r>
        <w:rPr>
          <w:rFonts w:ascii="Arial" w:cs="Arial" w:eastAsia="Arial" w:hAnsi="Arial"/>
          <w:sz w:val="22"/>
          <w:szCs w:val="22"/>
        </w:rPr>
        <w:t xml:space="preserve">Language Detection: langdetect library</w:t>
      </w:r>
    </w:p>
    <w:p>
      <w:pPr>
        <w:pStyle w:val="ListParagraph"/>
        <w:numPr>
          <w:ilvl w:val="0"/>
          <w:numId w:val="2"/>
        </w:numPr>
        <w:spacing w:after="60" w:before="60"/>
      </w:pPr>
      <w:r>
        <w:rPr>
          <w:rFonts w:ascii="Arial" w:cs="Arial" w:eastAsia="Arial" w:hAnsi="Arial"/>
          <w:sz w:val="22"/>
          <w:szCs w:val="22"/>
        </w:rPr>
        <w:t xml:space="preserve">Hardware: CPU-only; CUDA auto-detected if available</w:t>
      </w:r>
    </w:p>
    <w:p>
      <w:pPr>
        <w:pStyle w:val="ListParagraph"/>
        <w:numPr>
          <w:ilvl w:val="0"/>
          <w:numId w:val="2"/>
        </w:numPr>
        <w:spacing w:after="60" w:before="60"/>
      </w:pPr>
      <w:r>
        <w:rPr>
          <w:rFonts w:ascii="Arial" w:cs="Arial" w:eastAsia="Arial" w:hAnsi="Arial"/>
          <w:sz w:val="22"/>
          <w:szCs w:val="22"/>
        </w:rPr>
        <w:t xml:space="preserve">Inference: max_length=512 tokens per translation</w:t>
      </w:r>
    </w:p>
    <w:p>
      <w:pPr>
        <w:pStyle w:val="ListParagraph"/>
        <w:numPr>
          <w:ilvl w:val="0"/>
          <w:numId w:val="2"/>
        </w:numPr>
        <w:spacing w:after="60" w:before="60"/>
      </w:pPr>
      <w:r>
        <w:rPr>
          <w:rFonts w:ascii="Arial" w:cs="Arial" w:eastAsia="Arial" w:hAnsi="Arial"/>
          <w:sz w:val="22"/>
          <w:szCs w:val="22"/>
        </w:rPr>
        <w:t xml:space="preserve">Model Caching: Pipeline objects cached in-memory to avoid repeated loading</w:t>
      </w:r>
    </w:p>
    <w:p>
      <w:pPr>
        <w:pStyle w:val="Heading1"/>
        <w:spacing w:after="160" w:before="320"/>
      </w:pPr>
      <w:r>
        <w:rPr>
          <w:rFonts w:ascii="Arial" w:cs="Arial" w:eastAsia="Arial" w:hAnsi="Arial"/>
          <w:b/>
          <w:bCs/>
          <w:color w:val="1F4E79"/>
          <w:sz w:val="32"/>
          <w:szCs w:val="32"/>
        </w:rPr>
        <w:t xml:space="preserve">3. Evaluation Methodology</w:t>
      </w:r>
    </w:p>
    <w:p>
      <w:pPr>
        <w:pStyle w:val="Heading2"/>
        <w:spacing w:after="120" w:before="240"/>
      </w:pPr>
      <w:r>
        <w:rPr>
          <w:rFonts w:ascii="Arial" w:cs="Arial" w:eastAsia="Arial" w:hAnsi="Arial"/>
          <w:b/>
          <w:bCs/>
          <w:color w:val="2E74B5"/>
          <w:sz w:val="26"/>
          <w:szCs w:val="26"/>
        </w:rPr>
        <w:t xml:space="preserve">3.1 Why SacreBLEU?</w:t>
      </w:r>
    </w:p>
    <w:p>
      <w:pPr>
        <w:spacing w:after="100" w:before="80"/>
      </w:pPr>
      <w:r>
        <w:rPr>
          <w:rFonts w:ascii="Arial" w:cs="Arial" w:eastAsia="Arial" w:hAnsi="Arial"/>
          <w:sz w:val="22"/>
          <w:szCs w:val="22"/>
        </w:rPr>
        <w:t xml:space="preserve">SacreBLEU is preferred over raw BLEU because it standardizes tokenization rules for reproducibility, handles multiple references correctly, and is the accepted standard in academic MT research (Post, 2018). BLEU scores range from 0 to 100:</w:t>
      </w:r>
    </w:p>
    <w:p>
      <w:pPr>
        <w:pStyle w:val="ListParagraph"/>
        <w:numPr>
          <w:ilvl w:val="0"/>
          <w:numId w:val="2"/>
        </w:numPr>
        <w:spacing w:after="60" w:before="60"/>
      </w:pPr>
      <w:r>
        <w:rPr>
          <w:rFonts w:ascii="Arial" w:cs="Arial" w:eastAsia="Arial" w:hAnsi="Arial"/>
          <w:sz w:val="22"/>
          <w:szCs w:val="22"/>
        </w:rPr>
        <w:t xml:space="preserve">&lt; 20: Poor quality, only gist understood</w:t>
      </w:r>
    </w:p>
    <w:p>
      <w:pPr>
        <w:pStyle w:val="ListParagraph"/>
        <w:numPr>
          <w:ilvl w:val="0"/>
          <w:numId w:val="2"/>
        </w:numPr>
        <w:spacing w:after="60" w:before="60"/>
      </w:pPr>
      <w:r>
        <w:rPr>
          <w:rFonts w:ascii="Arial" w:cs="Arial" w:eastAsia="Arial" w:hAnsi="Arial"/>
          <w:sz w:val="22"/>
          <w:szCs w:val="22"/>
        </w:rPr>
        <w:t xml:space="preserve">20–40: Understandable but with notable errors</w:t>
      </w:r>
    </w:p>
    <w:p>
      <w:pPr>
        <w:pStyle w:val="ListParagraph"/>
        <w:numPr>
          <w:ilvl w:val="0"/>
          <w:numId w:val="2"/>
        </w:numPr>
        <w:spacing w:after="60" w:before="60"/>
      </w:pPr>
      <w:r>
        <w:rPr>
          <w:rFonts w:ascii="Arial" w:cs="Arial" w:eastAsia="Arial" w:hAnsi="Arial"/>
          <w:sz w:val="22"/>
          <w:szCs w:val="22"/>
        </w:rPr>
        <w:t xml:space="preserve">40–60: Good quality, most meaning preserved</w:t>
      </w:r>
    </w:p>
    <w:p>
      <w:pPr>
        <w:pStyle w:val="ListParagraph"/>
        <w:numPr>
          <w:ilvl w:val="0"/>
          <w:numId w:val="2"/>
        </w:numPr>
        <w:spacing w:after="60" w:before="60"/>
      </w:pPr>
      <w:r>
        <w:rPr>
          <w:rFonts w:ascii="Arial" w:cs="Arial" w:eastAsia="Arial" w:hAnsi="Arial"/>
          <w:sz w:val="22"/>
          <w:szCs w:val="22"/>
        </w:rPr>
        <w:t xml:space="preserve">60–80: High quality, approaching human level in many cases</w:t>
      </w:r>
    </w:p>
    <w:p>
      <w:pPr>
        <w:pStyle w:val="ListParagraph"/>
        <w:numPr>
          <w:ilvl w:val="0"/>
          <w:numId w:val="2"/>
        </w:numPr>
        <w:spacing w:after="60" w:before="60"/>
      </w:pPr>
      <w:r>
        <w:rPr>
          <w:rFonts w:ascii="Arial" w:cs="Arial" w:eastAsia="Arial" w:hAnsi="Arial"/>
          <w:sz w:val="22"/>
          <w:szCs w:val="22"/>
        </w:rPr>
        <w:t xml:space="preserve">&gt; 80: Near human quality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Evaluation Setup</w:t>
      </w:r>
    </w:p>
    <w:p>
      <w:pPr>
        <w:spacing w:after="100" w:before="80"/>
      </w:pPr>
      <w:r>
        <w:rPr>
          <w:rFonts w:ascii="Arial" w:cs="Arial" w:eastAsia="Arial" w:hAnsi="Arial"/>
          <w:sz w:val="22"/>
          <w:szCs w:val="22"/>
        </w:rPr>
        <w:t xml:space="preserve">20 test sentences per language pair were evaluated at both corpus and sentence level, using human-written English reference translations. Google Translate pre-computed scores served as the commercial baseline. Total: 100 sentence pairs across 5 language pairs.</w:t>
      </w:r>
    </w:p>
    <w:p>
      <w:pPr>
        <w:pStyle w:val="Heading1"/>
        <w:spacing w:after="160" w:before="320"/>
      </w:pPr>
      <w:r>
        <w:rPr>
          <w:rFonts w:ascii="Arial" w:cs="Arial" w:eastAsia="Arial" w:hAnsi="Arial"/>
          <w:b/>
          <w:bCs/>
          <w:color w:val="1F4E79"/>
          <w:sz w:val="32"/>
          <w:szCs w:val="32"/>
        </w:rPr>
        <w:t xml:space="preserve">4. Results</w:t>
      </w:r>
    </w:p>
    <w:p>
      <w:pPr>
        <w:pStyle w:val="Heading2"/>
        <w:spacing w:after="120" w:before="240"/>
      </w:pPr>
      <w:r>
        <w:rPr>
          <w:rFonts w:ascii="Arial" w:cs="Arial" w:eastAsia="Arial" w:hAnsi="Arial"/>
          <w:b/>
          <w:bCs/>
          <w:color w:val="2E74B5"/>
          <w:sz w:val="26"/>
          <w:szCs w:val="26"/>
        </w:rPr>
        <w:t xml:space="preserve">4.1 Corpus-Level BLEU Scores</w:t>
      </w:r>
    </w:p>
    <w:p>
      <w:pPr>
        <w:spacing w:after="100" w:before="80"/>
      </w:pPr>
      <w:r>
        <w:rPr>
          <w:rFonts w:ascii="Arial" w:cs="Arial" w:eastAsia="Arial" w:hAnsi="Arial"/>
          <w:sz w:val="22"/>
          <w:szCs w:val="22"/>
        </w:rPr>
        <w:t xml:space="preserve">All five language pairs exceeded the Google Translate baseline on this evaluation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 Pair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DC Translator BLEU</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Translate BLEU</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 →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82.16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+29.46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PT →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ES →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78.87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 →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75.78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IT →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70.32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54.80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Average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77.50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56.88</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+20.62</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Notable Sentence-Level Results</w:t>
      </w:r>
    </w:p>
    <w:p>
      <w:pPr>
        <w:spacing w:after="100" w:before="80"/>
      </w:pPr>
      <w:r>
        <w:rPr>
          <w:rFonts w:ascii="Arial" w:cs="Arial" w:eastAsia="Arial" w:hAnsi="Arial"/>
          <w:sz w:val="22"/>
          <w:szCs w:val="22"/>
        </w:rPr>
        <w:t xml:space="preserve">Perfect translations (100.0 BLEU) were common for short, high-frequency phrases:</w:t>
      </w:r>
    </w:p>
    <w:p>
      <w:pPr>
        <w:pStyle w:val="ListParagraph"/>
        <w:numPr>
          <w:ilvl w:val="0"/>
          <w:numId w:val="2"/>
        </w:numPr>
        <w:spacing w:after="60" w:before="60"/>
      </w:pPr>
      <w:r>
        <w:rPr>
          <w:rFonts w:ascii="Arial" w:cs="Arial" w:eastAsia="Arial" w:hAnsi="Arial"/>
          <w:sz w:val="22"/>
          <w:szCs w:val="22"/>
        </w:rPr>
        <w:t xml:space="preserve">FR→EN: "Bonjour, comment allez-vous?" → "Hello, how are you?" (100.0)</w:t>
      </w:r>
    </w:p>
    <w:p>
      <w:pPr>
        <w:pStyle w:val="ListParagraph"/>
        <w:numPr>
          <w:ilvl w:val="0"/>
          <w:numId w:val="2"/>
        </w:numPr>
        <w:spacing w:after="60" w:before="60"/>
      </w:pPr>
      <w:r>
        <w:rPr>
          <w:rFonts w:ascii="Arial" w:cs="Arial" w:eastAsia="Arial" w:hAnsi="Arial"/>
          <w:sz w:val="22"/>
          <w:szCs w:val="22"/>
        </w:rPr>
        <w:t xml:space="preserve">DE→EN: "Wir brauchen mehr Zeit." → "We need more time." (100.0)</w:t>
      </w:r>
    </w:p>
    <w:p>
      <w:pPr>
        <w:pStyle w:val="ListParagraph"/>
        <w:numPr>
          <w:ilvl w:val="0"/>
          <w:numId w:val="2"/>
        </w:numPr>
        <w:spacing w:after="60" w:before="60"/>
      </w:pPr>
      <w:r>
        <w:rPr>
          <w:rFonts w:ascii="Arial" w:cs="Arial" w:eastAsia="Arial" w:hAnsi="Arial"/>
          <w:sz w:val="22"/>
          <w:szCs w:val="22"/>
        </w:rPr>
        <w:t xml:space="preserve">ES→EN: "Las flores son magníficas en primavera." → "The flowers are magnificent in spring." (100.0)</w:t>
      </w:r>
    </w:p>
    <w:p>
      <w:pPr>
        <w:spacing w:after="60" w:before="60"/>
      </w:pPr>
      <w:r>
        <w:t xml:space="preserve"/>
      </w:r>
    </w:p>
    <w:p>
      <w:pPr>
        <w:spacing w:after="100" w:before="80"/>
      </w:pPr>
      <w:r>
        <w:rPr>
          <w:rFonts w:ascii="Arial" w:cs="Arial" w:eastAsia="Arial" w:hAnsi="Arial"/>
          <w:sz w:val="22"/>
          <w:szCs w:val="22"/>
        </w:rPr>
        <w:t xml:space="preserve">Lower scores were primarily caused by valid synonym choices that did not match the reference:</w:t>
      </w:r>
    </w:p>
    <w:p>
      <w:pPr>
        <w:pStyle w:val="ListParagraph"/>
        <w:numPr>
          <w:ilvl w:val="0"/>
          <w:numId w:val="2"/>
        </w:numPr>
        <w:spacing w:after="60" w:before="60"/>
      </w:pPr>
      <w:r>
        <w:rPr>
          <w:rFonts w:ascii="Arial" w:cs="Arial" w:eastAsia="Arial" w:hAnsi="Arial"/>
          <w:sz w:val="22"/>
          <w:szCs w:val="22"/>
        </w:rPr>
        <w:t xml:space="preserve">FR→EN: "Le chat dort sur le canapé." → "The cat sleeps on the couch." vs reference "sofa" (17.03)</w:t>
      </w:r>
    </w:p>
    <w:p>
      <w:pPr>
        <w:pStyle w:val="ListParagraph"/>
        <w:numPr>
          <w:ilvl w:val="0"/>
          <w:numId w:val="2"/>
        </w:numPr>
        <w:spacing w:after="60" w:before="60"/>
      </w:pPr>
      <w:r>
        <w:rPr>
          <w:rFonts w:ascii="Arial" w:cs="Arial" w:eastAsia="Arial" w:hAnsi="Arial"/>
          <w:sz w:val="22"/>
          <w:szCs w:val="22"/>
        </w:rPr>
        <w:t xml:space="preserve">IT→EN: "Mi piace mangiare la pizza la sera." → "at night" vs reference "in the evening" (13.13)</w:t>
      </w:r>
    </w:p>
    <w:p>
      <w:pPr>
        <w:pStyle w:val="ListParagraph"/>
        <w:numPr>
          <w:ilvl w:val="0"/>
          <w:numId w:val="2"/>
        </w:numPr>
        <w:spacing w:after="60" w:before="60"/>
      </w:pPr>
      <w:r>
        <w:rPr>
          <w:rFonts w:ascii="Arial" w:cs="Arial" w:eastAsia="Arial" w:hAnsi="Arial"/>
          <w:sz w:val="22"/>
          <w:szCs w:val="22"/>
        </w:rPr>
        <w:t xml:space="preserve">DE→EN: "Ich muss jetzt gehen." → "I have to go now." vs reference "leave" (37.99)</w:t>
      </w:r>
    </w:p>
    <w:p>
      <w:pPr>
        <w:pStyle w:val="Heading1"/>
        <w:spacing w:after="160" w:before="320"/>
      </w:pPr>
      <w:r>
        <w:rPr>
          <w:rFonts w:ascii="Arial" w:cs="Arial" w:eastAsia="Arial" w:hAnsi="Arial"/>
          <w:b/>
          <w:bCs/>
          <w:color w:val="1F4E79"/>
          <w:sz w:val="32"/>
          <w:szCs w:val="32"/>
        </w:rPr>
        <w:t xml:space="preserve">5. Analysis</w:t>
      </w:r>
    </w:p>
    <w:p>
      <w:pPr>
        <w:pStyle w:val="Heading2"/>
        <w:spacing w:after="120" w:before="240"/>
      </w:pPr>
      <w:r>
        <w:rPr>
          <w:rFonts w:ascii="Arial" w:cs="Arial" w:eastAsia="Arial" w:hAnsi="Arial"/>
          <w:b/>
          <w:bCs/>
          <w:color w:val="2E74B5"/>
          <w:sz w:val="26"/>
          <w:szCs w:val="26"/>
        </w:rPr>
        <w:t xml:space="preserve">5.1 Best Performing Pair: German → English (82.16 BLEU)</w:t>
      </w:r>
    </w:p>
    <w:p>
      <w:pPr>
        <w:spacing w:after="100" w:before="80"/>
      </w:pPr>
      <w:r>
        <w:rPr>
          <w:rFonts w:ascii="Arial" w:cs="Arial" w:eastAsia="Arial" w:hAnsi="Arial"/>
          <w:sz w:val="22"/>
          <w:szCs w:val="22"/>
        </w:rPr>
        <w:t xml:space="preserve">German achieved the highest score, outperforming Google Translate by nearly 30 BLEU points. The opus-mt-de-en model was trained on a very large and high-quality German-English parallel corpus (Europarl, OpenSubtitles, CCAligned). Most of the test sentences use high-frequency everyday vocabulary that appears frequently in training data. Common failure case: "gehen" (go) vs reference "leave" — both correct, but BLEU penalizes the lexical mismatch.</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5.2 Lowest Performing Pair: Italian → English (70.32 BLEU)</w:t>
      </w:r>
    </w:p>
    <w:p>
      <w:pPr>
        <w:spacing w:after="100" w:before="80"/>
      </w:pPr>
      <w:r>
        <w:rPr>
          <w:rFonts w:ascii="Arial" w:cs="Arial" w:eastAsia="Arial" w:hAnsi="Arial"/>
          <w:sz w:val="22"/>
          <w:szCs w:val="22"/>
        </w:rPr>
        <w:t xml:space="preserve">Italian scored lowest primarily due to pronoun ambiguity. The Italian pronoun "Lei" can mean both "she" (third person) and formal "you" (second person). The model chose the "you" interpretation for sentence 11, while the reference expected "she." Additionally, furniture synonyms ("couch" vs "sofa") and time-of-day expressions ("at night" vs "in the evening") caused consistent BLEU deductions despite semantically correct translations.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5.3 Portuguese — Multilingual Model (80.35 BLEU)</w:t>
      </w:r>
    </w:p>
    <w:p>
      <w:pPr>
        <w:spacing w:after="100" w:before="80"/>
      </w:pPr>
      <w:r>
        <w:rPr>
          <w:rFonts w:ascii="Arial" w:cs="Arial" w:eastAsia="Arial" w:hAnsi="Arial"/>
          <w:sz w:val="22"/>
          <w:szCs w:val="22"/>
        </w:rPr>
        <w:t xml:space="preserve">Despite sharing model parameters across four Romance languages, opus-mt-roa-en achieved the second-highest score of 80.35 BLEU. This validates the multilingual model choice: shared Romance language structure allows effective cross-lingual transfer. The main failure was a weather phrase where word order differed from the reference.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5.4 Context for Outperforming Google Translate</w:t>
      </w:r>
    </w:p>
    <w:p>
      <w:pPr>
        <w:spacing w:after="100" w:before="80"/>
      </w:pPr>
      <w:r>
        <w:rPr>
          <w:rFonts w:ascii="Arial" w:cs="Arial" w:eastAsia="Arial" w:hAnsi="Arial"/>
          <w:sz w:val="22"/>
          <w:szCs w:val="22"/>
        </w:rPr>
        <w:t xml:space="preserve">All five pairs outperformed Google Translate's reference baseline (+20.62 average). This requires important context: the Google Translate baseline figures are general academic benchmark scores from large-scale WMT test sets. High MarianMT scores on this specific 20-sentence set reflect strong performance on common everyday sentences that appear frequently in training data. On more diverse, domain-specific, or out-of-domain text, results would likely be closer to or below the Google baseline.</w:t>
      </w:r>
    </w:p>
    <w:p>
      <w:pPr>
        <w:pStyle w:val="Heading1"/>
        <w:spacing w:after="160" w:before="320"/>
      </w:pPr>
      <w:r>
        <w:rPr>
          <w:rFonts w:ascii="Arial" w:cs="Arial" w:eastAsia="Arial" w:hAnsi="Arial"/>
          <w:b/>
          <w:bCs/>
          <w:color w:val="1F4E79"/>
          <w:sz w:val="32"/>
          <w:szCs w:val="32"/>
        </w:rPr>
        <w:t xml:space="preserve">6. Language Detection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Spanish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19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Occasional IT confusion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Italian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Confused with ES/PT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Portuguese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19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Confused with 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Overall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96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60" w:before="60"/>
      </w:pPr>
      <w:r>
        <w:t xml:space="preserve"/>
      </w:r>
    </w:p>
    <w:p>
      <w:pPr>
        <w:spacing w:after="100" w:before="80"/>
      </w:pPr>
      <w:r>
        <w:rPr>
          <w:rFonts w:ascii="Arial" w:cs="Arial" w:eastAsia="Arial" w:hAnsi="Arial"/>
          <w:sz w:val="22"/>
          <w:szCs w:val="22"/>
        </w:rPr>
        <w:t xml:space="preserve">Spanish and Italian share significant vocabulary and are the most commonly confused pair. Portuguese and Spanish confusion occurs on short phrases with common Romance root words.</w:t>
      </w:r>
    </w:p>
    <w:p>
      <w:pPr>
        <w:pStyle w:val="Heading1"/>
        <w:spacing w:after="160" w:before="320"/>
      </w:pPr>
      <w:r>
        <w:rPr>
          <w:rFonts w:ascii="Arial" w:cs="Arial" w:eastAsia="Arial" w:hAnsi="Arial"/>
          <w:b/>
          <w:bCs/>
          <w:color w:val="1F4E79"/>
          <w:sz w:val="32"/>
          <w:szCs w:val="32"/>
        </w:rPr>
        <w:t xml:space="preserve">7. Limitations</w:t>
      </w:r>
    </w:p>
    <w:p>
      <w:pPr>
        <w:pStyle w:val="ListParagraph"/>
        <w:numPr>
          <w:ilvl w:val="0"/>
          <w:numId w:val="2"/>
        </w:numPr>
        <w:spacing w:after="60" w:before="60"/>
      </w:pPr>
      <w:r>
        <w:rPr>
          <w:rFonts w:ascii="Arial" w:cs="Arial" w:eastAsia="Arial" w:hAnsi="Arial"/>
          <w:sz w:val="22"/>
          <w:szCs w:val="22"/>
        </w:rPr>
        <w:t xml:space="preserve">BLEU metric limitations: Does not assess semantic equivalence or fluency. Multiple valid translations receive low scores if they differ lexically from the single reference.</w:t>
      </w:r>
    </w:p>
    <w:p>
      <w:pPr>
        <w:pStyle w:val="ListParagraph"/>
        <w:numPr>
          <w:ilvl w:val="0"/>
          <w:numId w:val="2"/>
        </w:numPr>
        <w:spacing w:after="60" w:before="60"/>
      </w:pPr>
      <w:r>
        <w:rPr>
          <w:rFonts w:ascii="Arial" w:cs="Arial" w:eastAsia="Arial" w:hAnsi="Arial"/>
          <w:sz w:val="22"/>
          <w:szCs w:val="22"/>
        </w:rPr>
        <w:t xml:space="preserve">Small test set: 20 sentences per pair is limited. Larger benchmarks (WMT, FLORES-101) would be more generalizable.</w:t>
      </w:r>
    </w:p>
    <w:p>
      <w:pPr>
        <w:pStyle w:val="ListParagraph"/>
        <w:numPr>
          <w:ilvl w:val="0"/>
          <w:numId w:val="2"/>
        </w:numPr>
        <w:spacing w:after="60" w:before="60"/>
      </w:pPr>
      <w:r>
        <w:rPr>
          <w:rFonts w:ascii="Arial" w:cs="Arial" w:eastAsia="Arial" w:hAnsi="Arial"/>
          <w:sz w:val="22"/>
          <w:szCs w:val="22"/>
        </w:rPr>
        <w:t xml:space="preserve">Single reference translations: Using only one reference per sentence inflates penalties for valid alternative phrasings.</w:t>
      </w:r>
    </w:p>
    <w:p>
      <w:pPr>
        <w:pStyle w:val="ListParagraph"/>
        <w:numPr>
          <w:ilvl w:val="0"/>
          <w:numId w:val="2"/>
        </w:numPr>
        <w:spacing w:after="60" w:before="60"/>
      </w:pPr>
      <w:r>
        <w:rPr>
          <w:rFonts w:ascii="Arial" w:cs="Arial" w:eastAsia="Arial" w:hAnsi="Arial"/>
          <w:sz w:val="22"/>
          <w:szCs w:val="22"/>
        </w:rPr>
        <w:t xml:space="preserve">Domain specificity: Performance on medical, legal, or technical text would likely be lower.</w:t>
      </w:r>
    </w:p>
    <w:p>
      <w:pPr>
        <w:pStyle w:val="ListParagraph"/>
        <w:numPr>
          <w:ilvl w:val="0"/>
          <w:numId w:val="2"/>
        </w:numPr>
        <w:spacing w:after="60" w:before="60"/>
      </w:pPr>
      <w:r>
        <w:rPr>
          <w:rFonts w:ascii="Arial" w:cs="Arial" w:eastAsia="Arial" w:hAnsi="Arial"/>
          <w:sz w:val="22"/>
          <w:szCs w:val="22"/>
        </w:rPr>
        <w:t xml:space="preserve">No discourse context: MarianMT translates sentence-by-sentence without cross-sentence memory.</w:t>
      </w:r>
    </w:p>
    <w:p>
      <w:pPr>
        <w:pStyle w:val="ListParagraph"/>
        <w:numPr>
          <w:ilvl w:val="0"/>
          <w:numId w:val="2"/>
        </w:numPr>
        <w:spacing w:after="60" w:before="60"/>
      </w:pPr>
      <w:r>
        <w:rPr>
          <w:rFonts w:ascii="Arial" w:cs="Arial" w:eastAsia="Arial" w:hAnsi="Arial"/>
          <w:sz w:val="22"/>
          <w:szCs w:val="22"/>
        </w:rPr>
        <w:t xml:space="preserve">Informal text: Models trained on formal corpora may underperform on slang or social media language.</w:t>
      </w:r>
    </w:p>
    <w:p>
      <w:pPr>
        <w:pStyle w:val="ListParagraph"/>
        <w:numPr>
          <w:ilvl w:val="0"/>
          <w:numId w:val="2"/>
        </w:numPr>
        <w:spacing w:after="60" w:before="60"/>
      </w:pPr>
      <w:r>
        <w:rPr>
          <w:rFonts w:ascii="Arial" w:cs="Arial" w:eastAsia="Arial" w:hAnsi="Arial"/>
          <w:sz w:val="22"/>
          <w:szCs w:val="22"/>
        </w:rPr>
        <w:t xml:space="preserve">Romance model trade-offs: On highly idiomatic Portuguese text, a dedicated pt-en model might outperform the multilingual roa-en model.</w:t>
      </w:r>
    </w:p>
    <w:p>
      <w:pPr>
        <w:pStyle w:val="Heading1"/>
        <w:spacing w:after="160" w:before="320"/>
      </w:pPr>
      <w:r>
        <w:rPr>
          <w:rFonts w:ascii="Arial" w:cs="Arial" w:eastAsia="Arial" w:hAnsi="Arial"/>
          <w:b/>
          <w:bCs/>
          <w:color w:val="1F4E79"/>
          <w:sz w:val="32"/>
          <w:szCs w:val="32"/>
        </w:rPr>
        <w:t xml:space="preserve">8. Conclusion</w:t>
      </w:r>
    </w:p>
    <w:p>
      <w:pPr>
        <w:spacing w:after="100" w:before="80"/>
      </w:pPr>
      <w:r>
        <w:rPr>
          <w:rFonts w:ascii="Arial" w:cs="Arial" w:eastAsia="Arial" w:hAnsi="Arial"/>
          <w:sz w:val="22"/>
          <w:szCs w:val="22"/>
        </w:rPr>
        <w:t xml:space="preserve">The DC Language Translator successfully fulfills all project requirements and demonstrates strong translation quality:</w:t>
      </w:r>
    </w:p>
    <w:p>
      <w:pPr>
        <w:pStyle w:val="ListParagraph"/>
        <w:numPr>
          <w:ilvl w:val="0"/>
          <w:numId w:val="2"/>
        </w:numPr>
        <w:spacing w:after="60" w:before="60"/>
      </w:pPr>
      <w:r>
        <w:rPr>
          <w:rFonts w:ascii="Arial" w:cs="Arial" w:eastAsia="Arial" w:hAnsi="Arial"/>
          <w:sz w:val="22"/>
          <w:szCs w:val="22"/>
        </w:rPr>
        <w:t xml:space="preserve">Supports all 5 required language pairs (FR, DE, ES, IT, PT → EN) plus 3 bonus pairs (NL, RU, ZH)</w:t>
      </w:r>
    </w:p>
    <w:p>
      <w:pPr>
        <w:pStyle w:val="ListParagraph"/>
        <w:numPr>
          <w:ilvl w:val="0"/>
          <w:numId w:val="2"/>
        </w:numPr>
        <w:spacing w:after="60" w:before="60"/>
      </w:pPr>
      <w:r>
        <w:rPr>
          <w:rFonts w:ascii="Arial" w:cs="Arial" w:eastAsia="Arial" w:hAnsi="Arial"/>
          <w:sz w:val="22"/>
          <w:szCs w:val="22"/>
        </w:rPr>
        <w:t xml:space="preserve">Runs fully locally with no API key required after initial model download</w:t>
      </w:r>
    </w:p>
    <w:p>
      <w:pPr>
        <w:pStyle w:val="ListParagraph"/>
        <w:numPr>
          <w:ilvl w:val="0"/>
          <w:numId w:val="2"/>
        </w:numPr>
        <w:spacing w:after="60" w:before="60"/>
      </w:pPr>
      <w:r>
        <w:rPr>
          <w:rFonts w:ascii="Arial" w:cs="Arial" w:eastAsia="Arial" w:hAnsi="Arial"/>
          <w:sz w:val="22"/>
          <w:szCs w:val="22"/>
        </w:rPr>
        <w:t xml:space="preserve">Corpus-level BLEU scores range from 70.32 (IT→EN) to 82.16 (DE→EN)</w:t>
      </w:r>
    </w:p>
    <w:p>
      <w:pPr>
        <w:pStyle w:val="ListParagraph"/>
        <w:numPr>
          <w:ilvl w:val="0"/>
          <w:numId w:val="2"/>
        </w:numPr>
        <w:spacing w:after="60" w:before="60"/>
      </w:pPr>
      <w:r>
        <w:rPr>
          <w:rFonts w:ascii="Arial" w:cs="Arial" w:eastAsia="Arial" w:hAnsi="Arial"/>
          <w:sz w:val="22"/>
          <w:szCs w:val="22"/>
        </w:rPr>
        <w:t xml:space="preserve">Average BLEU of 77.50 across all pairs — in the high quality range</w:t>
      </w:r>
    </w:p>
    <w:p>
      <w:pPr>
        <w:pStyle w:val="ListParagraph"/>
        <w:numPr>
          <w:ilvl w:val="0"/>
          <w:numId w:val="2"/>
        </w:numPr>
        <w:spacing w:after="60" w:before="60"/>
      </w:pPr>
      <w:r>
        <w:rPr>
          <w:rFonts w:ascii="Arial" w:cs="Arial" w:eastAsia="Arial" w:hAnsi="Arial"/>
          <w:sz w:val="22"/>
          <w:szCs w:val="22"/>
        </w:rPr>
        <w:t xml:space="preserve">Language auto-detection achieves 96% accuracy (96/100 sentences)</w:t>
      </w:r>
    </w:p>
    <w:p>
      <w:pPr>
        <w:pStyle w:val="ListParagraph"/>
        <w:numPr>
          <w:ilvl w:val="0"/>
          <w:numId w:val="2"/>
        </w:numPr>
        <w:spacing w:after="60" w:before="60"/>
      </w:pPr>
      <w:r>
        <w:rPr>
          <w:rFonts w:ascii="Arial" w:cs="Arial" w:eastAsia="Arial" w:hAnsi="Arial"/>
          <w:sz w:val="22"/>
          <w:szCs w:val="22"/>
        </w:rPr>
        <w:t xml:space="preserve">All pairs outperformed the Google Translate academic baseline on this test set</w:t>
      </w:r>
    </w:p>
    <w:p>
      <w:pPr>
        <w:spacing w:after="60" w:before="60"/>
      </w:pPr>
      <w:r>
        <w:t xml:space="preserve"/>
      </w:r>
    </w:p>
    <w:p>
      <w:pPr>
        <w:spacing w:after="100" w:before="80"/>
      </w:pPr>
      <w:r>
        <w:rPr>
          <w:rFonts w:ascii="Arial" w:cs="Arial" w:eastAsia="Arial" w:hAnsi="Arial"/>
          <w:sz w:val="22"/>
          <w:szCs w:val="22"/>
        </w:rPr>
        <w:t xml:space="preserve">Future improvements could include fine-tuning on domain-specific data, evaluation on FLORES-101 benchmarks, multi-reference BLEU scoring, document-level context windows, and additional language pairs (Arabic, Japanese).</w:t>
      </w:r>
    </w:p>
    <w:p>
      <w:pPr>
        <w:pStyle w:val="Heading1"/>
        <w:spacing w:after="160" w:before="320"/>
      </w:pPr>
      <w:r>
        <w:rPr>
          <w:rFonts w:ascii="Arial" w:cs="Arial" w:eastAsia="Arial" w:hAnsi="Arial"/>
          <w:b/>
          <w:bCs/>
          <w:color w:val="1F4E79"/>
          <w:sz w:val="32"/>
          <w:szCs w:val="32"/>
        </w:rPr>
        <w:t xml:space="preserve">9. References</w:t>
      </w:r>
    </w:p>
    <w:p>
      <w:pPr>
        <w:spacing w:after="100" w:before="80"/>
      </w:pPr>
      <w:r>
        <w:rPr>
          <w:rFonts w:ascii="Arial" w:cs="Arial" w:eastAsia="Arial" w:hAnsi="Arial"/>
          <w:sz w:val="22"/>
          <w:szCs w:val="22"/>
        </w:rPr>
        <w:t xml:space="preserve">1. Junczys-Dowmunt, M., et al. (2018). Marian: Fast Neural Machine Translation in C++. ACL 2018.</w:t>
      </w:r>
    </w:p>
    <w:p>
      <w:pPr>
        <w:spacing w:after="100" w:before="80"/>
      </w:pPr>
      <w:r>
        <w:rPr>
          <w:rFonts w:ascii="Arial" w:cs="Arial" w:eastAsia="Arial" w:hAnsi="Arial"/>
          <w:sz w:val="22"/>
          <w:szCs w:val="22"/>
        </w:rPr>
        <w:t xml:space="preserve">2. Post, M. (2018). A Call for Clarity in Reporting BLEU Scores. WMT 2018.</w:t>
      </w:r>
    </w:p>
    <w:p>
      <w:pPr>
        <w:spacing w:after="100" w:before="80"/>
      </w:pPr>
      <w:r>
        <w:rPr>
          <w:rFonts w:ascii="Arial" w:cs="Arial" w:eastAsia="Arial" w:hAnsi="Arial"/>
          <w:sz w:val="22"/>
          <w:szCs w:val="22"/>
        </w:rPr>
        <w:t xml:space="preserve">3. Wolf, T., et al. (2020). Transformers: State-of-the-Art Natural Language Processing. EMNLP 2020.</w:t>
      </w:r>
    </w:p>
    <w:p>
      <w:pPr>
        <w:spacing w:after="100" w:before="80"/>
      </w:pPr>
      <w:r>
        <w:rPr>
          <w:rFonts w:ascii="Arial" w:cs="Arial" w:eastAsia="Arial" w:hAnsi="Arial"/>
          <w:sz w:val="22"/>
          <w:szCs w:val="22"/>
        </w:rPr>
        <w:t xml:space="preserve">4. Tiedemann, J. (2012). Parallel Data, Tools and Interfaces in OPUS. LREC 2012.</w:t>
      </w:r>
    </w:p>
    <w:p>
      <w:pPr>
        <w:spacing w:after="100" w:before="80"/>
      </w:pPr>
      <w:r>
        <w:rPr>
          <w:rFonts w:ascii="Arial" w:cs="Arial" w:eastAsia="Arial" w:hAnsi="Arial"/>
          <w:sz w:val="22"/>
          <w:szCs w:val="22"/>
        </w:rPr>
        <w:t xml:space="preserve">5. HuggingFace. (2024). Helsinki-NLP/opus-mt model collection. https://huggingface.co/Helsinki-NLP</w:t>
      </w:r>
    </w:p>
    <w:p>
      <w:pPr>
        <w:spacing w:after="100" w:before="80"/>
      </w:pPr>
      <w:r>
        <w:rPr>
          <w:rFonts w:ascii="Arial" w:cs="Arial" w:eastAsia="Arial" w:hAnsi="Arial"/>
          <w:sz w:val="22"/>
          <w:szCs w:val="22"/>
        </w:rPr>
        <w:t xml:space="preserve">6. Gradio. (2024). Gradio Documentation. https://www.gradio.app/docs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spacing w:before="120"/>
    </w:pPr>
    <w:r>
      <w:rPr>
        <w:rFonts w:ascii="Arial" w:cs="Arial" w:eastAsia="Arial" w:hAnsi="Arial"/>
        <w:color w:val="666666"/>
        <w:sz w:val="18"/>
        <w:szCs w:val="18"/>
      </w:rPr>
      <w:t xml:space="preserve">Durham College | April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20"/>
    </w:pPr>
    <w:r>
      <w:rPr>
        <w:rFonts w:ascii="Arial" w:cs="Arial" w:eastAsia="Arial" w:hAnsi="Arial"/>
        <w:color w:val="666666"/>
        <w:sz w:val="18"/>
        <w:szCs w:val="18"/>
      </w:rPr>
      <w:t xml:space="preserve">DC Language Translator — Evaluation Report | NLP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2026-04-21T17:00:37.251Z</dcterms:created>
  <dcterms:modified xsi:type="dcterms:W3CDTF">2026-04-21T17:00:37.252Z</dcterms:modified>
</cp:coreProperties>
</file>

<file path=docProps/custom.xml><?xml version="1.0" encoding="utf-8"?>
<Properties xmlns="http://schemas.openxmlformats.org/officeDocument/2006/custom-properties" xmlns:vt="http://schemas.openxmlformats.org/officeDocument/2006/docPropsVTypes"/>
</file>