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400"/>
        <w:jc w:val="center"/>
      </w:pPr>
      <w:r>
        <w:rPr>
          <w:rFonts w:ascii="Aptos" w:hAnsi="Aptos"/>
          <w:b/>
          <w:i w:val="0"/>
          <w:color w:val="181818"/>
          <w:sz w:val="48"/>
        </w:rPr>
        <w:t>PHASE 1 CLOSURE REPORT</w:t>
      </w:r>
    </w:p>
    <w:p>
      <w:pPr>
        <w:widowControl/>
        <w:jc w:val="center"/>
      </w:pPr>
      <w:r>
        <w:rPr>
          <w:rFonts w:ascii="Aptos" w:hAnsi="Aptos"/>
          <w:b/>
          <w:i w:val="0"/>
          <w:sz w:val="32"/>
        </w:rPr>
        <w:t>Data Reconstruction and Canonical Investment Events</w:t>
      </w:r>
    </w:p>
    <w:p>
      <w:pPr>
        <w:widowControl/>
        <w:spacing w:before="280"/>
        <w:jc w:val="center"/>
      </w:pPr>
      <w:r>
        <w:rPr>
          <w:rFonts w:ascii="Aptos" w:hAnsi="Aptos"/>
          <w:b w:val="0"/>
          <w:i/>
          <w:color w:val="505050"/>
          <w:sz w:val="25"/>
        </w:rPr>
        <w:t>ITRS Reproduction using Crunchbase</w:t>
      </w:r>
    </w:p>
    <w:p>
      <w:pPr>
        <w:widowControl/>
        <w:spacing w:before="880"/>
        <w:jc w:val="center"/>
      </w:pPr>
      <w:r>
        <w:rPr>
          <w:rFonts w:ascii="Aptos" w:hAnsi="Aptos"/>
          <w:b/>
          <w:i w:val="0"/>
          <w:sz w:val="21"/>
        </w:rPr>
        <w:t>Final Phase-1 output: data/processed/interactions.parquet</w:t>
      </w:r>
    </w:p>
    <w:p>
      <w:pPr>
        <w:widowControl/>
        <w:jc w:val="center"/>
      </w:pPr>
      <w:r>
        <w:rPr>
          <w:rFonts w:ascii="Aptos" w:hAnsi="Aptos"/>
          <w:b w:val="0"/>
          <w:i w:val="0"/>
          <w:color w:val="5A5A5A"/>
          <w:sz w:val="19"/>
        </w:rPr>
        <w:t>Report date: 16 August 2026</w:t>
      </w:r>
    </w:p>
    <w:p>
      <w:pPr>
        <w:widowControl/>
      </w:pPr>
      <w:r>
        <w:br w:type="page"/>
      </w:r>
    </w:p>
    <w:p>
      <w:pPr>
        <w:pStyle w:val="Heading1"/>
        <w:keepNext/>
        <w:spacing w:before="180" w:after="80"/>
      </w:pPr>
      <w:r>
        <w:rPr>
          <w:rFonts w:ascii="Aptos" w:hAnsi="Aptos"/>
          <w:b/>
          <w:i w:val="0"/>
          <w:color w:val="1F1F1F"/>
          <w:sz w:val="28"/>
        </w:rPr>
        <w:t>Executive Summary</w:t>
      </w:r>
    </w:p>
    <w:p>
      <w:pPr>
        <w:widowControl/>
        <w:spacing w:after="100" w:line="252" w:lineRule="auto"/>
      </w:pPr>
      <w:r>
        <w:rPr>
          <w:rFonts w:ascii="Aptos" w:hAnsi="Aptos"/>
          <w:b w:val="0"/>
          <w:i w:val="0"/>
          <w:sz w:val="21"/>
        </w:rPr>
        <w:t>Phase 1 transformed the raw Crunchbase funding export into a high-confidence investor-organization interaction dataset suitable for the interaction component of the ITRS reproduction. The raw funding file did not directly provide a clean investor ID for each investor mention or a clean company ID for each funded organization, so the central task became conservative entity resolution and event reconstruction rather than simple CSV processing.</w:t>
      </w:r>
    </w:p>
    <w:p>
      <w:pPr>
        <w:widowControl/>
        <w:spacing w:after="100" w:line="252" w:lineRule="auto"/>
      </w:pPr>
      <w:r>
        <w:rPr>
          <w:rFonts w:ascii="Aptos" w:hAnsi="Aptos"/>
          <w:b w:val="0"/>
          <w:i w:val="0"/>
          <w:sz w:val="21"/>
        </w:rPr>
        <w:t>The final canonical dataset contains 1,208,051 investment events involving 165,975 investors, 311,589 funded organizations, and 560,270 funding rounds. It preserves 991,291 unique investor-startup pairs, including 153,310 pairs with repeated investment events. The final event range is 1945-01-01 to 2026-06-01. No exact duplicate interaction groups were detected.</w:t>
      </w: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Core methodological principle: </w:t>
            </w:r>
            <w:r>
              <w:rPr>
                <w:rFonts w:ascii="Aptos" w:hAnsi="Aptos"/>
                <w:b w:val="0"/>
                <w:i w:val="0"/>
                <w:sz w:val="19"/>
              </w:rPr>
              <w:t>Phase 1 reconstructs identities and source events with minimal modeling assumptions. Temporal segmentation, startup-focused filtering, implicit-feedback aggregation, negative sampling, and train/validation/test design belong to later model-preparation phases.</w:t>
            </w:r>
          </w:p>
        </w:tc>
      </w:tr>
    </w:tbl>
    <w:p>
      <w:pPr>
        <w:widowControl/>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472"/>
            <w:shd w:fill="E7E6E6"/>
            <w:tcMar>
              <w:top w:w="80" w:type="dxa"/>
              <w:start w:w="90" w:type="dxa"/>
              <w:bottom w:w="80" w:type="dxa"/>
              <w:end w:w="90" w:type="dxa"/>
            </w:tcMar>
            <w:vAlign w:val="center"/>
          </w:tcPr>
          <w:p>
            <w:pPr>
              <w:jc w:val="left"/>
            </w:pPr>
            <w:r>
              <w:rPr>
                <w:rFonts w:ascii="Aptos" w:hAnsi="Aptos"/>
                <w:b/>
                <w:i w:val="0"/>
                <w:sz w:val="18"/>
              </w:rPr>
              <w:t>Metric</w:t>
            </w:r>
          </w:p>
        </w:tc>
        <w:tc>
          <w:tcPr>
            <w:tcW w:type="dxa" w:w="3168"/>
            <w:shd w:fill="E7E6E6"/>
            <w:tcMar>
              <w:top w:w="80" w:type="dxa"/>
              <w:start w:w="90" w:type="dxa"/>
              <w:bottom w:w="80" w:type="dxa"/>
              <w:end w:w="90" w:type="dxa"/>
            </w:tcMar>
            <w:vAlign w:val="center"/>
          </w:tcPr>
          <w:p>
            <w:pPr>
              <w:jc w:val="left"/>
            </w:pPr>
            <w:r>
              <w:rPr>
                <w:rFonts w:ascii="Aptos" w:hAnsi="Aptos"/>
                <w:b/>
                <w:i w:val="0"/>
                <w:sz w:val="18"/>
              </w:rPr>
              <w:t>Final value</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Canonical interactions</w:t>
            </w:r>
          </w:p>
        </w:tc>
        <w:tc>
          <w:tcPr>
            <w:tcW w:type="dxa" w:w="3168"/>
            <w:tcMar>
              <w:top w:w="80" w:type="dxa"/>
              <w:start w:w="90" w:type="dxa"/>
              <w:bottom w:w="80" w:type="dxa"/>
              <w:end w:w="90" w:type="dxa"/>
            </w:tcMar>
            <w:vAlign w:val="top"/>
          </w:tcPr>
          <w:p>
            <w:pPr>
              <w:spacing w:after="0"/>
            </w:pPr>
            <w:r>
              <w:rPr>
                <w:rFonts w:ascii="Aptos" w:hAnsi="Aptos"/>
                <w:b w:val="0"/>
                <w:i w:val="0"/>
                <w:sz w:val="18"/>
              </w:rPr>
              <w:t>1,208,051</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Unique investors</w:t>
            </w:r>
          </w:p>
        </w:tc>
        <w:tc>
          <w:tcPr>
            <w:tcW w:type="dxa" w:w="3168"/>
            <w:tcMar>
              <w:top w:w="80" w:type="dxa"/>
              <w:start w:w="90" w:type="dxa"/>
              <w:bottom w:w="80" w:type="dxa"/>
              <w:end w:w="90" w:type="dxa"/>
            </w:tcMar>
            <w:vAlign w:val="top"/>
          </w:tcPr>
          <w:p>
            <w:pPr>
              <w:spacing w:after="0"/>
            </w:pPr>
            <w:r>
              <w:rPr>
                <w:rFonts w:ascii="Aptos" w:hAnsi="Aptos"/>
                <w:b w:val="0"/>
                <w:i w:val="0"/>
                <w:sz w:val="18"/>
              </w:rPr>
              <w:t>165,975</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Unique startups / funded organizations</w:t>
            </w:r>
          </w:p>
        </w:tc>
        <w:tc>
          <w:tcPr>
            <w:tcW w:type="dxa" w:w="3168"/>
            <w:tcMar>
              <w:top w:w="80" w:type="dxa"/>
              <w:start w:w="90" w:type="dxa"/>
              <w:bottom w:w="80" w:type="dxa"/>
              <w:end w:w="90" w:type="dxa"/>
            </w:tcMar>
            <w:vAlign w:val="top"/>
          </w:tcPr>
          <w:p>
            <w:pPr>
              <w:spacing w:after="0"/>
            </w:pPr>
            <w:r>
              <w:rPr>
                <w:rFonts w:ascii="Aptos" w:hAnsi="Aptos"/>
                <w:b w:val="0"/>
                <w:i w:val="0"/>
                <w:sz w:val="18"/>
              </w:rPr>
              <w:t>311,589</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Unique funding rounds</w:t>
            </w:r>
          </w:p>
        </w:tc>
        <w:tc>
          <w:tcPr>
            <w:tcW w:type="dxa" w:w="3168"/>
            <w:tcMar>
              <w:top w:w="80" w:type="dxa"/>
              <w:start w:w="90" w:type="dxa"/>
              <w:bottom w:w="80" w:type="dxa"/>
              <w:end w:w="90" w:type="dxa"/>
            </w:tcMar>
            <w:vAlign w:val="top"/>
          </w:tcPr>
          <w:p>
            <w:pPr>
              <w:spacing w:after="0"/>
            </w:pPr>
            <w:r>
              <w:rPr>
                <w:rFonts w:ascii="Aptos" w:hAnsi="Aptos"/>
                <w:b w:val="0"/>
                <w:i w:val="0"/>
                <w:sz w:val="18"/>
              </w:rPr>
              <w:t>560,270</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Unique investor-startup pairs</w:t>
            </w:r>
          </w:p>
        </w:tc>
        <w:tc>
          <w:tcPr>
            <w:tcW w:type="dxa" w:w="3168"/>
            <w:tcMar>
              <w:top w:w="80" w:type="dxa"/>
              <w:start w:w="90" w:type="dxa"/>
              <w:bottom w:w="80" w:type="dxa"/>
              <w:end w:w="90" w:type="dxa"/>
            </w:tcMar>
            <w:vAlign w:val="top"/>
          </w:tcPr>
          <w:p>
            <w:pPr>
              <w:spacing w:after="0"/>
            </w:pPr>
            <w:r>
              <w:rPr>
                <w:rFonts w:ascii="Aptos" w:hAnsi="Aptos"/>
                <w:b w:val="0"/>
                <w:i w:val="0"/>
                <w:sz w:val="18"/>
              </w:rPr>
              <w:t>991,291</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Pairs with &gt;1 investment event</w:t>
            </w:r>
          </w:p>
        </w:tc>
        <w:tc>
          <w:tcPr>
            <w:tcW w:type="dxa" w:w="3168"/>
            <w:tcMar>
              <w:top w:w="80" w:type="dxa"/>
              <w:start w:w="90" w:type="dxa"/>
              <w:bottom w:w="80" w:type="dxa"/>
              <w:end w:w="90" w:type="dxa"/>
            </w:tcMar>
            <w:vAlign w:val="top"/>
          </w:tcPr>
          <w:p>
            <w:pPr>
              <w:spacing w:after="0"/>
            </w:pPr>
            <w:r>
              <w:rPr>
                <w:rFonts w:ascii="Aptos" w:hAnsi="Aptos"/>
                <w:b w:val="0"/>
                <w:i w:val="0"/>
                <w:sz w:val="18"/>
              </w:rPr>
              <w:t>153,310</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Maximum events for one pair</w:t>
            </w:r>
          </w:p>
        </w:tc>
        <w:tc>
          <w:tcPr>
            <w:tcW w:type="dxa" w:w="3168"/>
            <w:tcMar>
              <w:top w:w="80" w:type="dxa"/>
              <w:start w:w="90" w:type="dxa"/>
              <w:bottom w:w="80" w:type="dxa"/>
              <w:end w:w="90" w:type="dxa"/>
            </w:tcMar>
            <w:vAlign w:val="top"/>
          </w:tcPr>
          <w:p>
            <w:pPr>
              <w:spacing w:after="0"/>
            </w:pPr>
            <w:r>
              <w:rPr>
                <w:rFonts w:ascii="Aptos" w:hAnsi="Aptos"/>
                <w:b w:val="0"/>
                <w:i w:val="0"/>
                <w:sz w:val="18"/>
              </w:rPr>
              <w:t>45</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Same-day repeated investor-startup groups</w:t>
            </w:r>
          </w:p>
        </w:tc>
        <w:tc>
          <w:tcPr>
            <w:tcW w:type="dxa" w:w="3168"/>
            <w:tcMar>
              <w:top w:w="80" w:type="dxa"/>
              <w:start w:w="90" w:type="dxa"/>
              <w:bottom w:w="80" w:type="dxa"/>
              <w:end w:w="90" w:type="dxa"/>
            </w:tcMar>
            <w:vAlign w:val="top"/>
          </w:tcPr>
          <w:p>
            <w:pPr>
              <w:spacing w:after="0"/>
            </w:pPr>
            <w:r>
              <w:rPr>
                <w:rFonts w:ascii="Aptos" w:hAnsi="Aptos"/>
                <w:b w:val="0"/>
                <w:i w:val="0"/>
                <w:sz w:val="18"/>
              </w:rPr>
              <w:t>2,570</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Same-day groups with multiple round types</w:t>
            </w:r>
          </w:p>
        </w:tc>
        <w:tc>
          <w:tcPr>
            <w:tcW w:type="dxa" w:w="3168"/>
            <w:tcMar>
              <w:top w:w="80" w:type="dxa"/>
              <w:start w:w="90" w:type="dxa"/>
              <w:bottom w:w="80" w:type="dxa"/>
              <w:end w:w="90" w:type="dxa"/>
            </w:tcMar>
            <w:vAlign w:val="top"/>
          </w:tcPr>
          <w:p>
            <w:pPr>
              <w:spacing w:after="0"/>
            </w:pPr>
            <w:r>
              <w:rPr>
                <w:rFonts w:ascii="Aptos" w:hAnsi="Aptos"/>
                <w:b w:val="0"/>
                <w:i w:val="0"/>
                <w:sz w:val="18"/>
              </w:rPr>
              <w:t>2,501</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Same-day groups with one round type</w:t>
            </w:r>
          </w:p>
        </w:tc>
        <w:tc>
          <w:tcPr>
            <w:tcW w:type="dxa" w:w="3168"/>
            <w:tcMar>
              <w:top w:w="80" w:type="dxa"/>
              <w:start w:w="90" w:type="dxa"/>
              <w:bottom w:w="80" w:type="dxa"/>
              <w:end w:w="90" w:type="dxa"/>
            </w:tcMar>
            <w:vAlign w:val="top"/>
          </w:tcPr>
          <w:p>
            <w:pPr>
              <w:spacing w:after="0"/>
            </w:pPr>
            <w:r>
              <w:rPr>
                <w:rFonts w:ascii="Aptos" w:hAnsi="Aptos"/>
                <w:b w:val="0"/>
                <w:i w:val="0"/>
                <w:sz w:val="18"/>
              </w:rPr>
              <w:t>69</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Exact duplicate interaction groups</w:t>
            </w:r>
          </w:p>
        </w:tc>
        <w:tc>
          <w:tcPr>
            <w:tcW w:type="dxa" w:w="3168"/>
            <w:tcMar>
              <w:top w:w="80" w:type="dxa"/>
              <w:start w:w="90" w:type="dxa"/>
              <w:bottom w:w="80" w:type="dxa"/>
              <w:end w:w="90" w:type="dxa"/>
            </w:tcMar>
            <w:vAlign w:val="top"/>
          </w:tcPr>
          <w:p>
            <w:pPr>
              <w:spacing w:after="0"/>
            </w:pPr>
            <w:r>
              <w:rPr>
                <w:rFonts w:ascii="Aptos" w:hAnsi="Aptos"/>
                <w:b w:val="0"/>
                <w:i w:val="0"/>
                <w:sz w:val="18"/>
              </w:rPr>
              <w:t>0</w:t>
            </w:r>
          </w:p>
        </w:tc>
      </w:tr>
      <w:tr>
        <w:trPr>
          <w:cantSplit/>
        </w:trPr>
        <w:tc>
          <w:tcPr>
            <w:tcW w:type="dxa" w:w="5472"/>
            <w:tcMar>
              <w:top w:w="80" w:type="dxa"/>
              <w:start w:w="90" w:type="dxa"/>
              <w:bottom w:w="80" w:type="dxa"/>
              <w:end w:w="90" w:type="dxa"/>
            </w:tcMar>
            <w:vAlign w:val="top"/>
          </w:tcPr>
          <w:p>
            <w:pPr>
              <w:spacing w:after="0"/>
            </w:pPr>
            <w:r>
              <w:rPr>
                <w:rFonts w:ascii="Aptos" w:hAnsi="Aptos"/>
                <w:b w:val="0"/>
                <w:i w:val="0"/>
                <w:sz w:val="18"/>
              </w:rPr>
              <w:t>Date range</w:t>
            </w:r>
          </w:p>
        </w:tc>
        <w:tc>
          <w:tcPr>
            <w:tcW w:type="dxa" w:w="3168"/>
            <w:tcMar>
              <w:top w:w="80" w:type="dxa"/>
              <w:start w:w="90" w:type="dxa"/>
              <w:bottom w:w="80" w:type="dxa"/>
              <w:end w:w="90" w:type="dxa"/>
            </w:tcMar>
            <w:vAlign w:val="top"/>
          </w:tcPr>
          <w:p>
            <w:pPr>
              <w:spacing w:after="0"/>
            </w:pPr>
            <w:r>
              <w:rPr>
                <w:rFonts w:ascii="Aptos" w:hAnsi="Aptos"/>
                <w:b w:val="0"/>
                <w:i w:val="0"/>
                <w:sz w:val="18"/>
              </w:rPr>
              <w:t>1945-01-01 to 2026-06-01</w:t>
            </w:r>
          </w:p>
        </w:tc>
      </w:tr>
    </w:tbl>
    <w:p>
      <w:pPr>
        <w:widowControl/>
        <w:spacing w:after="20"/>
      </w:pPr>
    </w:p>
    <w:p>
      <w:pPr>
        <w:pStyle w:val="Heading1"/>
        <w:keepNext/>
        <w:spacing w:before="180" w:after="80"/>
      </w:pPr>
      <w:r>
        <w:rPr>
          <w:rFonts w:ascii="Aptos" w:hAnsi="Aptos"/>
          <w:b/>
          <w:i w:val="0"/>
          <w:color w:val="1F1F1F"/>
          <w:sz w:val="28"/>
        </w:rPr>
        <w:t>1. Phase Objective and Canonical Event Definition</w:t>
      </w:r>
    </w:p>
    <w:p>
      <w:pPr>
        <w:widowControl/>
        <w:spacing w:after="100" w:line="252" w:lineRule="auto"/>
      </w:pPr>
      <w:r>
        <w:rPr>
          <w:rFonts w:ascii="Aptos" w:hAnsi="Aptos"/>
          <w:b w:val="0"/>
          <w:i w:val="0"/>
          <w:sz w:val="21"/>
        </w:rPr>
        <w:t>The objective of Phase 1 was to reconstruct high-confidence investment interactions from Crunchbase so that each usable observation contains a resolved investor, a resolved funded organization, and a valid event date. Conceptually, the target event is e(i,j,k) = (investor_i, startup_j, time_k).</w:t>
      </w:r>
    </w:p>
    <w:p>
      <w:pPr>
        <w:widowControl/>
        <w:spacing w:after="100" w:line="252" w:lineRule="auto"/>
      </w:pPr>
      <w:r>
        <w:rPr>
          <w:rFonts w:ascii="Aptos" w:hAnsi="Aptos"/>
          <w:b w:val="0"/>
          <w:i w:val="0"/>
          <w:sz w:val="21"/>
        </w:rPr>
        <w:t>For the canonical source layer, one raw investment event is defined as one uniquely resolved investor participating in one uniquely identified Crunchbase funding round for one resolved organization. The canonical interaction key is funding_round_id + investor_id, implemented as interaction_id = funding_round_id::investor_id. This key was verified to be unique in the final dataset.</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Canonical source event</w:t>
            </w:r>
            <w:r>
              <w:br/>
            </w:r>
            <w:r>
              <w:rPr>
                <w:rFonts w:ascii="Menlo" w:hAnsi="Menlo"/>
                <w:b w:val="0"/>
                <w:i w:val="0"/>
                <w:sz w:val="17"/>
              </w:rPr>
              <w:t xml:space="preserve">  funding_round_id</w:t>
            </w:r>
            <w:r>
              <w:br/>
            </w:r>
            <w:r>
              <w:rPr>
                <w:rFonts w:ascii="Menlo" w:hAnsi="Menlo"/>
                <w:b w:val="0"/>
                <w:i w:val="0"/>
                <w:sz w:val="17"/>
              </w:rPr>
              <w:t xml:space="preserve">  + investor_id</w:t>
            </w:r>
            <w:r>
              <w:br/>
            </w:r>
            <w:r>
              <w:rPr>
                <w:rFonts w:ascii="Menlo" w:hAnsi="Menlo"/>
                <w:b w:val="0"/>
                <w:i w:val="0"/>
                <w:sz w:val="17"/>
              </w:rPr>
              <w:t xml:space="preserve">  + startup_id</w:t>
            </w:r>
            <w:r>
              <w:br/>
            </w:r>
            <w:r>
              <w:rPr>
                <w:rFonts w:ascii="Menlo" w:hAnsi="Menlo"/>
                <w:b w:val="0"/>
                <w:i w:val="0"/>
                <w:sz w:val="17"/>
              </w:rPr>
              <w:t xml:space="preserve">  + announced_on</w:t>
            </w:r>
            <w:r>
              <w:br/>
            </w:r>
            <w:r>
              <w:rPr>
                <w:rFonts w:ascii="Menlo" w:hAnsi="Menlo"/>
                <w:b w:val="0"/>
                <w:i w:val="0"/>
                <w:sz w:val="17"/>
              </w:rPr>
              <w:t xml:space="preserve">  + investment_type</w:t>
            </w:r>
            <w:r>
              <w:br/>
            </w:r>
            <w:r>
              <w:rPr>
                <w:rFonts w:ascii="Menlo" w:hAnsi="Menlo"/>
                <w:b w:val="0"/>
                <w:i w:val="0"/>
                <w:sz w:val="17"/>
              </w:rPr>
            </w:r>
            <w:r>
              <w:br/>
            </w:r>
            <w:r>
              <w:rPr>
                <w:rFonts w:ascii="Menlo" w:hAnsi="Menlo"/>
                <w:b w:val="0"/>
                <w:i w:val="0"/>
                <w:sz w:val="17"/>
              </w:rPr>
              <w:t>interaction_id = funding_round_id::investor_id</w:t>
            </w:r>
          </w:p>
        </w:tc>
      </w:tr>
    </w:tbl>
    <w:p>
      <w:pPr>
        <w:widowControl/>
        <w:spacing w:after="0"/>
      </w:pPr>
    </w:p>
    <w:p>
      <w:pPr>
        <w:pStyle w:val="Heading1"/>
        <w:keepNext/>
        <w:spacing w:before="180" w:after="80"/>
      </w:pPr>
      <w:r>
        <w:rPr>
          <w:rFonts w:ascii="Aptos" w:hAnsi="Aptos"/>
          <w:b/>
          <w:i w:val="0"/>
          <w:color w:val="1F1F1F"/>
          <w:sz w:val="28"/>
        </w:rPr>
        <w:t>2. Source Data and Initial Audits</w:t>
      </w:r>
    </w:p>
    <w:p>
      <w:pPr>
        <w:pStyle w:val="Heading2"/>
        <w:keepNext/>
        <w:spacing w:before="120" w:after="80"/>
      </w:pPr>
      <w:r>
        <w:rPr>
          <w:rFonts w:ascii="Aptos" w:hAnsi="Aptos"/>
          <w:b/>
          <w:i w:val="0"/>
          <w:color w:val="1F1F1F"/>
          <w:sz w:val="23"/>
        </w:rPr>
        <w:t>2.1 Funding rounds</w:t>
      </w:r>
    </w:p>
    <w:p>
      <w:pPr>
        <w:widowControl/>
        <w:spacing w:after="100" w:line="252" w:lineRule="auto"/>
      </w:pPr>
      <w:r>
        <w:rPr>
          <w:rFonts w:ascii="Aptos" w:hAnsi="Aptos"/>
          <w:b w:val="0"/>
          <w:i w:val="0"/>
          <w:sz w:val="21"/>
        </w:rPr>
        <w:t>Primary funding source: data/raw/CRUNCHBASE_funding_20260531_797177.csv. The initial audit established the volume of usable funding records, validated dates, and revealed that the export filename could not be treated as a reliable temporal cutoff.</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328"/>
            <w:shd w:fill="E7E6E6"/>
            <w:tcMar>
              <w:top w:w="80" w:type="dxa"/>
              <w:start w:w="90" w:type="dxa"/>
              <w:bottom w:w="80" w:type="dxa"/>
              <w:end w:w="90" w:type="dxa"/>
            </w:tcMar>
            <w:vAlign w:val="center"/>
          </w:tcPr>
          <w:p>
            <w:pPr>
              <w:jc w:val="left"/>
            </w:pPr>
            <w:r>
              <w:rPr>
                <w:rFonts w:ascii="Aptos" w:hAnsi="Aptos"/>
                <w:b/>
                <w:i w:val="0"/>
                <w:sz w:val="17"/>
              </w:rPr>
              <w:t>Funding audit metric</w:t>
            </w:r>
          </w:p>
        </w:tc>
        <w:tc>
          <w:tcPr>
            <w:tcW w:type="dxa" w:w="3312"/>
            <w:shd w:fill="E7E6E6"/>
            <w:tcMar>
              <w:top w:w="80" w:type="dxa"/>
              <w:start w:w="90" w:type="dxa"/>
              <w:bottom w:w="80" w:type="dxa"/>
              <w:end w:w="90" w:type="dxa"/>
            </w:tcMar>
            <w:vAlign w:val="center"/>
          </w:tcPr>
          <w:p>
            <w:pPr>
              <w:jc w:val="left"/>
            </w:pPr>
            <w:r>
              <w:rPr>
                <w:rFonts w:ascii="Aptos" w:hAnsi="Aptos"/>
                <w:b/>
                <w:i w:val="0"/>
                <w:sz w:val="17"/>
              </w:rPr>
              <w:t>Result</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Funding-round rows</w:t>
            </w:r>
          </w:p>
        </w:tc>
        <w:tc>
          <w:tcPr>
            <w:tcW w:type="dxa" w:w="3312"/>
            <w:tcMar>
              <w:top w:w="80" w:type="dxa"/>
              <w:start w:w="90" w:type="dxa"/>
              <w:bottom w:w="80" w:type="dxa"/>
              <w:end w:w="90" w:type="dxa"/>
            </w:tcMar>
            <w:vAlign w:val="top"/>
          </w:tcPr>
          <w:p>
            <w:pPr>
              <w:spacing w:after="0"/>
            </w:pPr>
            <w:r>
              <w:rPr>
                <w:rFonts w:ascii="Aptos" w:hAnsi="Aptos"/>
                <w:b w:val="0"/>
                <w:i w:val="0"/>
                <w:sz w:val="17"/>
              </w:rPr>
              <w:t>797,177</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Rows with investor information</w:t>
            </w:r>
          </w:p>
        </w:tc>
        <w:tc>
          <w:tcPr>
            <w:tcW w:type="dxa" w:w="3312"/>
            <w:tcMar>
              <w:top w:w="80" w:type="dxa"/>
              <w:start w:w="90" w:type="dxa"/>
              <w:bottom w:w="80" w:type="dxa"/>
              <w:end w:w="90" w:type="dxa"/>
            </w:tcMar>
            <w:vAlign w:val="top"/>
          </w:tcPr>
          <w:p>
            <w:pPr>
              <w:spacing w:after="0"/>
            </w:pPr>
            <w:r>
              <w:rPr>
                <w:rFonts w:ascii="Aptos" w:hAnsi="Aptos"/>
                <w:b w:val="0"/>
                <w:i w:val="0"/>
                <w:sz w:val="17"/>
              </w:rPr>
              <w:t>602,867</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Rows without investor information</w:t>
            </w:r>
          </w:p>
        </w:tc>
        <w:tc>
          <w:tcPr>
            <w:tcW w:type="dxa" w:w="3312"/>
            <w:tcMar>
              <w:top w:w="80" w:type="dxa"/>
              <w:start w:w="90" w:type="dxa"/>
              <w:bottom w:w="80" w:type="dxa"/>
              <w:end w:w="90" w:type="dxa"/>
            </w:tcMar>
            <w:vAlign w:val="top"/>
          </w:tcPr>
          <w:p>
            <w:pPr>
              <w:spacing w:after="0"/>
            </w:pPr>
            <w:r>
              <w:rPr>
                <w:rFonts w:ascii="Aptos" w:hAnsi="Aptos"/>
                <w:b w:val="0"/>
                <w:i w:val="0"/>
                <w:sz w:val="17"/>
              </w:rPr>
              <w:t>194,310</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Missing funding-round IDs</w:t>
            </w:r>
          </w:p>
        </w:tc>
        <w:tc>
          <w:tcPr>
            <w:tcW w:type="dxa" w:w="3312"/>
            <w:tcMar>
              <w:top w:w="80" w:type="dxa"/>
              <w:start w:w="90" w:type="dxa"/>
              <w:bottom w:w="80" w:type="dxa"/>
              <w:end w:w="90" w:type="dxa"/>
            </w:tcMar>
            <w:vAlign w:val="top"/>
          </w:tcPr>
          <w:p>
            <w:pPr>
              <w:spacing w:after="0"/>
            </w:pPr>
            <w:r>
              <w:rPr>
                <w:rFonts w:ascii="Aptos" w:hAnsi="Aptos"/>
                <w:b w:val="0"/>
                <w:i w:val="0"/>
                <w:sz w:val="17"/>
              </w:rPr>
              <w:t>0</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Missing announced_on</w:t>
            </w:r>
          </w:p>
        </w:tc>
        <w:tc>
          <w:tcPr>
            <w:tcW w:type="dxa" w:w="3312"/>
            <w:tcMar>
              <w:top w:w="80" w:type="dxa"/>
              <w:start w:w="90" w:type="dxa"/>
              <w:bottom w:w="80" w:type="dxa"/>
              <w:end w:w="90" w:type="dxa"/>
            </w:tcMar>
            <w:vAlign w:val="top"/>
          </w:tcPr>
          <w:p>
            <w:pPr>
              <w:spacing w:after="0"/>
            </w:pPr>
            <w:r>
              <w:rPr>
                <w:rFonts w:ascii="Aptos" w:hAnsi="Aptos"/>
                <w:b w:val="0"/>
                <w:i w:val="0"/>
                <w:sz w:val="17"/>
              </w:rPr>
              <w:t>0</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Missing org_name</w:t>
            </w:r>
          </w:p>
        </w:tc>
        <w:tc>
          <w:tcPr>
            <w:tcW w:type="dxa" w:w="3312"/>
            <w:tcMar>
              <w:top w:w="80" w:type="dxa"/>
              <w:start w:w="90" w:type="dxa"/>
              <w:bottom w:w="80" w:type="dxa"/>
              <w:end w:w="90" w:type="dxa"/>
            </w:tcMar>
            <w:vAlign w:val="top"/>
          </w:tcPr>
          <w:p>
            <w:pPr>
              <w:spacing w:after="0"/>
            </w:pPr>
            <w:r>
              <w:rPr>
                <w:rFonts w:ascii="Aptos" w:hAnsi="Aptos"/>
                <w:b w:val="0"/>
                <w:i w:val="0"/>
                <w:sz w:val="17"/>
              </w:rPr>
              <w:t>1</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Unique organization names</w:t>
            </w:r>
          </w:p>
        </w:tc>
        <w:tc>
          <w:tcPr>
            <w:tcW w:type="dxa" w:w="3312"/>
            <w:tcMar>
              <w:top w:w="80" w:type="dxa"/>
              <w:start w:w="90" w:type="dxa"/>
              <w:bottom w:w="80" w:type="dxa"/>
              <w:end w:w="90" w:type="dxa"/>
            </w:tcMar>
            <w:vAlign w:val="top"/>
          </w:tcPr>
          <w:p>
            <w:pPr>
              <w:spacing w:after="0"/>
            </w:pPr>
            <w:r>
              <w:rPr>
                <w:rFonts w:ascii="Aptos" w:hAnsi="Aptos"/>
                <w:b w:val="0"/>
                <w:i w:val="0"/>
                <w:sz w:val="17"/>
              </w:rPr>
              <w:t>393,206</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Unparseable dates</w:t>
            </w:r>
          </w:p>
        </w:tc>
        <w:tc>
          <w:tcPr>
            <w:tcW w:type="dxa" w:w="3312"/>
            <w:tcMar>
              <w:top w:w="80" w:type="dxa"/>
              <w:start w:w="90" w:type="dxa"/>
              <w:bottom w:w="80" w:type="dxa"/>
              <w:end w:w="90" w:type="dxa"/>
            </w:tcMar>
            <w:vAlign w:val="top"/>
          </w:tcPr>
          <w:p>
            <w:pPr>
              <w:spacing w:after="0"/>
            </w:pPr>
            <w:r>
              <w:rPr>
                <w:rFonts w:ascii="Aptos" w:hAnsi="Aptos"/>
                <w:b w:val="0"/>
                <w:i w:val="0"/>
                <w:sz w:val="17"/>
              </w:rPr>
              <w:t>0</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Earliest raw date</w:t>
            </w:r>
          </w:p>
        </w:tc>
        <w:tc>
          <w:tcPr>
            <w:tcW w:type="dxa" w:w="3312"/>
            <w:tcMar>
              <w:top w:w="80" w:type="dxa"/>
              <w:start w:w="90" w:type="dxa"/>
              <w:bottom w:w="80" w:type="dxa"/>
              <w:end w:w="90" w:type="dxa"/>
            </w:tcMar>
            <w:vAlign w:val="top"/>
          </w:tcPr>
          <w:p>
            <w:pPr>
              <w:spacing w:after="0"/>
            </w:pPr>
            <w:r>
              <w:rPr>
                <w:rFonts w:ascii="Aptos" w:hAnsi="Aptos"/>
                <w:b w:val="0"/>
                <w:i w:val="0"/>
                <w:sz w:val="17"/>
              </w:rPr>
              <w:t>1900-01-01</w:t>
            </w:r>
          </w:p>
        </w:tc>
      </w:tr>
      <w:tr>
        <w:trPr>
          <w:cantSplit/>
        </w:trPr>
        <w:tc>
          <w:tcPr>
            <w:tcW w:type="dxa" w:w="5328"/>
            <w:tcMar>
              <w:top w:w="80" w:type="dxa"/>
              <w:start w:w="90" w:type="dxa"/>
              <w:bottom w:w="80" w:type="dxa"/>
              <w:end w:w="90" w:type="dxa"/>
            </w:tcMar>
            <w:vAlign w:val="top"/>
          </w:tcPr>
          <w:p>
            <w:pPr>
              <w:spacing w:after="0"/>
            </w:pPr>
            <w:r>
              <w:rPr>
                <w:rFonts w:ascii="Aptos" w:hAnsi="Aptos"/>
                <w:b w:val="0"/>
                <w:i w:val="0"/>
                <w:sz w:val="17"/>
              </w:rPr>
              <w:t>Latest raw date</w:t>
            </w:r>
          </w:p>
        </w:tc>
        <w:tc>
          <w:tcPr>
            <w:tcW w:type="dxa" w:w="3312"/>
            <w:tcMar>
              <w:top w:w="80" w:type="dxa"/>
              <w:start w:w="90" w:type="dxa"/>
              <w:bottom w:w="80" w:type="dxa"/>
              <w:end w:w="90" w:type="dxa"/>
            </w:tcMar>
            <w:vAlign w:val="top"/>
          </w:tcPr>
          <w:p>
            <w:pPr>
              <w:spacing w:after="0"/>
            </w:pPr>
            <w:r>
              <w:rPr>
                <w:rFonts w:ascii="Aptos" w:hAnsi="Aptos"/>
                <w:b w:val="0"/>
                <w:i w:val="0"/>
                <w:sz w:val="17"/>
              </w:rPr>
              <w:t>2026-06-20</w:t>
            </w:r>
          </w:p>
        </w:tc>
      </w:tr>
    </w:tbl>
    <w:p>
      <w:pPr>
        <w:widowControl/>
        <w:spacing w:after="20"/>
      </w:pP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Temporal provenance issue: </w:t>
            </w:r>
            <w:r>
              <w:rPr>
                <w:rFonts w:ascii="Aptos" w:hAnsi="Aptos"/>
                <w:b w:val="0"/>
                <w:i w:val="0"/>
                <w:sz w:val="19"/>
              </w:rPr>
              <w:t>Although the filename contains 20260531, the actual funding data extends through 2026-06-20. All later temporal boundaries must therefore be derived from the contents of announced_on rather than from the export filename.</w:t>
            </w:r>
          </w:p>
        </w:tc>
      </w:tr>
    </w:tbl>
    <w:p>
      <w:pPr>
        <w:widowControl/>
        <w:spacing w:after="20"/>
      </w:pPr>
    </w:p>
    <w:p>
      <w:pPr>
        <w:pStyle w:val="Heading2"/>
        <w:keepNext/>
        <w:spacing w:before="120" w:after="80"/>
      </w:pPr>
      <w:r>
        <w:rPr>
          <w:rFonts w:ascii="Aptos" w:hAnsi="Aptos"/>
          <w:b/>
          <w:i w:val="0"/>
          <w:color w:val="1F1F1F"/>
          <w:sz w:val="23"/>
        </w:rPr>
        <w:t>2.2 Investor master</w:t>
      </w:r>
    </w:p>
    <w:p>
      <w:pPr>
        <w:widowControl/>
        <w:spacing w:after="100" w:line="252" w:lineRule="auto"/>
      </w:pPr>
      <w:r>
        <w:rPr>
          <w:rFonts w:ascii="Aptos" w:hAnsi="Aptos"/>
          <w:b w:val="0"/>
          <w:i w:val="0"/>
          <w:sz w:val="21"/>
        </w:rPr>
        <w:t>Investor source: data/raw/CRUNCHBASE_investor_20260531_333726.csv. The investor master showed that investor names are not unique identifiers and that canonical names themselves can contain delimiter characters.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Investor master metric</w:t>
            </w:r>
          </w:p>
        </w:tc>
        <w:tc>
          <w:tcPr>
            <w:tcW w:type="dxa" w:w="2880"/>
            <w:shd w:fill="E7E6E6"/>
            <w:tcMar>
              <w:top w:w="80" w:type="dxa"/>
              <w:start w:w="90" w:type="dxa"/>
              <w:bottom w:w="80" w:type="dxa"/>
              <w:end w:w="90" w:type="dxa"/>
            </w:tcMar>
            <w:vAlign w:val="center"/>
          </w:tcPr>
          <w:p>
            <w:pPr>
              <w:jc w:val="left"/>
            </w:pPr>
            <w:r>
              <w:rPr>
                <w:rFonts w:ascii="Aptos" w:hAnsi="Aptos"/>
                <w:b/>
                <w:i w:val="0"/>
                <w:sz w:val="17"/>
              </w:rPr>
              <w:t>Result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Investor rows</w:t>
            </w:r>
          </w:p>
        </w:tc>
        <w:tc>
          <w:tcPr>
            <w:tcW w:type="dxa" w:w="2880"/>
            <w:tcMar>
              <w:top w:w="80" w:type="dxa"/>
              <w:start w:w="90" w:type="dxa"/>
              <w:bottom w:w="80" w:type="dxa"/>
              <w:end w:w="90" w:type="dxa"/>
            </w:tcMar>
            <w:vAlign w:val="top"/>
          </w:tcPr>
          <w:p>
            <w:pPr>
              <w:spacing w:after="0"/>
            </w:pPr>
            <w:r>
              <w:rPr>
                <w:rFonts w:ascii="Aptos" w:hAnsi="Aptos"/>
                <w:b w:val="0"/>
                <w:i w:val="0"/>
                <w:sz w:val="17"/>
              </w:rPr>
              <w:t>333,726</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Unique investor IDs</w:t>
            </w:r>
          </w:p>
        </w:tc>
        <w:tc>
          <w:tcPr>
            <w:tcW w:type="dxa" w:w="2880"/>
            <w:tcMar>
              <w:top w:w="80" w:type="dxa"/>
              <w:start w:w="90" w:type="dxa"/>
              <w:bottom w:w="80" w:type="dxa"/>
              <w:end w:w="90" w:type="dxa"/>
            </w:tcMar>
            <w:vAlign w:val="top"/>
          </w:tcPr>
          <w:p>
            <w:pPr>
              <w:spacing w:after="0"/>
            </w:pPr>
            <w:r>
              <w:rPr>
                <w:rFonts w:ascii="Aptos" w:hAnsi="Aptos"/>
                <w:b w:val="0"/>
                <w:i w:val="0"/>
                <w:sz w:val="17"/>
              </w:rPr>
              <w:t>333,726</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Missing investor names</w:t>
            </w:r>
          </w:p>
        </w:tc>
        <w:tc>
          <w:tcPr>
            <w:tcW w:type="dxa" w:w="2880"/>
            <w:tcMar>
              <w:top w:w="80" w:type="dxa"/>
              <w:start w:w="90" w:type="dxa"/>
              <w:bottom w:w="80" w:type="dxa"/>
              <w:end w:w="90" w:type="dxa"/>
            </w:tcMar>
            <w:vAlign w:val="top"/>
          </w:tcPr>
          <w:p>
            <w:pPr>
              <w:spacing w:after="0"/>
            </w:pPr>
            <w:r>
              <w:rPr>
                <w:rFonts w:ascii="Aptos" w:hAnsi="Aptos"/>
                <w:b w:val="0"/>
                <w:i w:val="0"/>
                <w:sz w:val="17"/>
              </w:rPr>
              <w:t>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normalized names</w:t>
            </w:r>
          </w:p>
        </w:tc>
        <w:tc>
          <w:tcPr>
            <w:tcW w:type="dxa" w:w="2880"/>
            <w:tcMar>
              <w:top w:w="80" w:type="dxa"/>
              <w:start w:w="90" w:type="dxa"/>
              <w:bottom w:w="80" w:type="dxa"/>
              <w:end w:w="90" w:type="dxa"/>
            </w:tcMar>
            <w:vAlign w:val="top"/>
          </w:tcPr>
          <w:p>
            <w:pPr>
              <w:spacing w:after="0"/>
            </w:pPr>
            <w:r>
              <w:rPr>
                <w:rFonts w:ascii="Aptos" w:hAnsi="Aptos"/>
                <w:b w:val="0"/>
                <w:i w:val="0"/>
                <w:sz w:val="17"/>
              </w:rPr>
              <w:t>320,990</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Duplicate-name groups</w:t>
            </w:r>
          </w:p>
        </w:tc>
        <w:tc>
          <w:tcPr>
            <w:tcW w:type="dxa" w:w="2880"/>
            <w:tcMar>
              <w:top w:w="80" w:type="dxa"/>
              <w:start w:w="90" w:type="dxa"/>
              <w:bottom w:w="80" w:type="dxa"/>
              <w:end w:w="90" w:type="dxa"/>
            </w:tcMar>
            <w:vAlign w:val="top"/>
          </w:tcPr>
          <w:p>
            <w:pPr>
              <w:spacing w:after="0"/>
            </w:pPr>
            <w:r>
              <w:rPr>
                <w:rFonts w:ascii="Aptos" w:hAnsi="Aptos"/>
                <w:b w:val="0"/>
                <w:i w:val="0"/>
                <w:sz w:val="17"/>
              </w:rPr>
              <w:t>9,591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Entities in duplicate-name groups</w:t>
            </w:r>
          </w:p>
        </w:tc>
        <w:tc>
          <w:tcPr>
            <w:tcW w:type="dxa" w:w="2880"/>
            <w:tcMar>
              <w:top w:w="80" w:type="dxa"/>
              <w:start w:w="90" w:type="dxa"/>
              <w:bottom w:w="80" w:type="dxa"/>
              <w:end w:w="90" w:type="dxa"/>
            </w:tcMar>
            <w:vAlign w:val="top"/>
          </w:tcPr>
          <w:p>
            <w:pPr>
              <w:spacing w:after="0"/>
            </w:pPr>
            <w:r>
              <w:rPr>
                <w:rFonts w:ascii="Aptos" w:hAnsi="Aptos"/>
                <w:b w:val="0"/>
                <w:i w:val="0"/>
                <w:sz w:val="17"/>
              </w:rPr>
              <w:t>22,326</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names containing comma</w:t>
            </w:r>
          </w:p>
        </w:tc>
        <w:tc>
          <w:tcPr>
            <w:tcW w:type="dxa" w:w="2880"/>
            <w:tcMar>
              <w:top w:w="80" w:type="dxa"/>
              <w:start w:w="90" w:type="dxa"/>
              <w:bottom w:w="80" w:type="dxa"/>
              <w:end w:w="90" w:type="dxa"/>
            </w:tcMar>
            <w:vAlign w:val="top"/>
          </w:tcPr>
          <w:p>
            <w:pPr>
              <w:spacing w:after="0"/>
            </w:pPr>
            <w:r>
              <w:rPr>
                <w:rFonts w:ascii="Aptos" w:hAnsi="Aptos"/>
                <w:b w:val="0"/>
                <w:i w:val="0"/>
                <w:sz w:val="17"/>
              </w:rPr>
              <w:t>1,491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names containing semicolon</w:t>
            </w:r>
          </w:p>
        </w:tc>
        <w:tc>
          <w:tcPr>
            <w:tcW w:type="dxa" w:w="2880"/>
            <w:tcMar>
              <w:top w:w="80" w:type="dxa"/>
              <w:start w:w="90" w:type="dxa"/>
              <w:bottom w:w="80" w:type="dxa"/>
              <w:end w:w="90" w:type="dxa"/>
            </w:tcMar>
            <w:vAlign w:val="top"/>
          </w:tcPr>
          <w:p>
            <w:pPr>
              <w:spacing w:after="0"/>
            </w:pPr>
            <w:r>
              <w:rPr>
                <w:rFonts w:ascii="Aptos" w:hAnsi="Aptos"/>
                <w:b w:val="0"/>
                <w:i w:val="0"/>
                <w:sz w:val="17"/>
              </w:rPr>
              <w:t>3</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names containing pipe</w:t>
            </w:r>
          </w:p>
        </w:tc>
        <w:tc>
          <w:tcPr>
            <w:tcW w:type="dxa" w:w="2880"/>
            <w:tcMar>
              <w:top w:w="80" w:type="dxa"/>
              <w:start w:w="90" w:type="dxa"/>
              <w:bottom w:w="80" w:type="dxa"/>
              <w:end w:w="90" w:type="dxa"/>
            </w:tcMar>
            <w:vAlign w:val="top"/>
          </w:tcPr>
          <w:p>
            <w:pPr>
              <w:spacing w:after="0"/>
            </w:pPr>
            <w:r>
              <w:rPr>
                <w:rFonts w:ascii="Aptos" w:hAnsi="Aptos"/>
                <w:b w:val="0"/>
                <w:i w:val="0"/>
                <w:sz w:val="17"/>
              </w:rPr>
              <w:t>45</w:t>
            </w:r>
          </w:p>
        </w:tc>
      </w:tr>
    </w:tbl>
    <w:p>
      <w:pPr>
        <w:widowControl/>
        <w:spacing w:after="20"/>
      </w:pPr>
    </w:p>
    <w:p>
      <w:pPr>
        <w:pStyle w:val="Heading2"/>
        <w:keepNext/>
        <w:spacing w:before="120" w:after="80"/>
      </w:pPr>
      <w:r>
        <w:rPr>
          <w:rFonts w:ascii="Aptos" w:hAnsi="Aptos"/>
          <w:b/>
          <w:i w:val="0"/>
          <w:color w:val="1F1F1F"/>
          <w:sz w:val="23"/>
        </w:rPr>
        <w:t>2.3 Company master</w:t>
      </w:r>
    </w:p>
    <w:p>
      <w:pPr>
        <w:widowControl/>
        <w:spacing w:after="100" w:line="252" w:lineRule="auto"/>
      </w:pPr>
      <w:r>
        <w:rPr>
          <w:rFonts w:ascii="Aptos" w:hAnsi="Aptos"/>
          <w:b w:val="0"/>
          <w:i w:val="0"/>
          <w:sz w:val="21"/>
        </w:rPr>
        <w:t>Company identity data was read from all data/raw/companies*.csv shards. The company master is much larger than the interaction universe and contains both duplicate names and overlapping shard rows.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Company identity metric</w:t>
            </w:r>
          </w:p>
        </w:tc>
        <w:tc>
          <w:tcPr>
            <w:tcW w:type="dxa" w:w="2880"/>
            <w:shd w:fill="E7E6E6"/>
            <w:tcMar>
              <w:top w:w="80" w:type="dxa"/>
              <w:start w:w="90" w:type="dxa"/>
              <w:bottom w:w="80" w:type="dxa"/>
              <w:end w:w="90" w:type="dxa"/>
            </w:tcMar>
            <w:vAlign w:val="center"/>
          </w:tcPr>
          <w:p>
            <w:pPr>
              <w:jc w:val="left"/>
            </w:pPr>
            <w:r>
              <w:rPr>
                <w:rFonts w:ascii="Aptos" w:hAnsi="Aptos"/>
                <w:b/>
                <w:i w:val="0"/>
                <w:sz w:val="17"/>
              </w:rPr>
              <w:t>Result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Raw identity rows</w:t>
            </w:r>
          </w:p>
        </w:tc>
        <w:tc>
          <w:tcPr>
            <w:tcW w:type="dxa" w:w="2880"/>
            <w:tcMar>
              <w:top w:w="80" w:type="dxa"/>
              <w:start w:w="90" w:type="dxa"/>
              <w:bottom w:w="80" w:type="dxa"/>
              <w:end w:w="90" w:type="dxa"/>
            </w:tcMar>
            <w:vAlign w:val="top"/>
          </w:tcPr>
          <w:p>
            <w:pPr>
              <w:spacing w:after="0"/>
            </w:pPr>
            <w:r>
              <w:rPr>
                <w:rFonts w:ascii="Aptos" w:hAnsi="Aptos"/>
                <w:b w:val="0"/>
                <w:i w:val="0"/>
                <w:sz w:val="17"/>
              </w:rPr>
              <w:t>4,689,624</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Unique company IDs</w:t>
            </w:r>
          </w:p>
        </w:tc>
        <w:tc>
          <w:tcPr>
            <w:tcW w:type="dxa" w:w="2880"/>
            <w:tcMar>
              <w:top w:w="80" w:type="dxa"/>
              <w:start w:w="90" w:type="dxa"/>
              <w:bottom w:w="80" w:type="dxa"/>
              <w:end w:w="90" w:type="dxa"/>
            </w:tcMar>
            <w:vAlign w:val="top"/>
          </w:tcPr>
          <w:p>
            <w:pPr>
              <w:spacing w:after="0"/>
            </w:pPr>
            <w:r>
              <w:rPr>
                <w:rFonts w:ascii="Aptos" w:hAnsi="Aptos"/>
                <w:b w:val="0"/>
                <w:i w:val="0"/>
                <w:sz w:val="17"/>
              </w:rPr>
              <w:t>4,675,397</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Missing company IDs</w:t>
            </w:r>
          </w:p>
        </w:tc>
        <w:tc>
          <w:tcPr>
            <w:tcW w:type="dxa" w:w="2880"/>
            <w:tcMar>
              <w:top w:w="80" w:type="dxa"/>
              <w:start w:w="90" w:type="dxa"/>
              <w:bottom w:w="80" w:type="dxa"/>
              <w:end w:w="90" w:type="dxa"/>
            </w:tcMar>
            <w:vAlign w:val="top"/>
          </w:tcPr>
          <w:p>
            <w:pPr>
              <w:spacing w:after="0"/>
            </w:pPr>
            <w:r>
              <w:rPr>
                <w:rFonts w:ascii="Aptos" w:hAnsi="Aptos"/>
                <w:b w:val="0"/>
                <w:i w:val="0"/>
                <w:sz w:val="17"/>
              </w:rPr>
              <w:t>0</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Missing company names</w:t>
            </w:r>
          </w:p>
        </w:tc>
        <w:tc>
          <w:tcPr>
            <w:tcW w:type="dxa" w:w="2880"/>
            <w:tcMar>
              <w:top w:w="80" w:type="dxa"/>
              <w:start w:w="90" w:type="dxa"/>
              <w:bottom w:w="80" w:type="dxa"/>
              <w:end w:w="90" w:type="dxa"/>
            </w:tcMar>
            <w:vAlign w:val="top"/>
          </w:tcPr>
          <w:p>
            <w:pPr>
              <w:spacing w:after="0"/>
            </w:pPr>
            <w:r>
              <w:rPr>
                <w:rFonts w:ascii="Aptos" w:hAnsi="Aptos"/>
                <w:b w:val="0"/>
                <w:i w:val="0"/>
                <w:sz w:val="17"/>
              </w:rPr>
              <w:t>5</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Rows with website</w:t>
            </w:r>
          </w:p>
        </w:tc>
        <w:tc>
          <w:tcPr>
            <w:tcW w:type="dxa" w:w="2880"/>
            <w:tcMar>
              <w:top w:w="80" w:type="dxa"/>
              <w:start w:w="90" w:type="dxa"/>
              <w:bottom w:w="80" w:type="dxa"/>
              <w:end w:w="90" w:type="dxa"/>
            </w:tcMar>
            <w:vAlign w:val="top"/>
          </w:tcPr>
          <w:p>
            <w:pPr>
              <w:spacing w:after="0"/>
            </w:pPr>
            <w:r>
              <w:rPr>
                <w:rFonts w:ascii="Aptos" w:hAnsi="Aptos"/>
                <w:b w:val="0"/>
                <w:i w:val="0"/>
                <w:sz w:val="17"/>
              </w:rPr>
              <w:t>4,600,253</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Unique exact websites</w:t>
            </w:r>
          </w:p>
        </w:tc>
        <w:tc>
          <w:tcPr>
            <w:tcW w:type="dxa" w:w="2880"/>
            <w:tcMar>
              <w:top w:w="80" w:type="dxa"/>
              <w:start w:w="90" w:type="dxa"/>
              <w:bottom w:w="80" w:type="dxa"/>
              <w:end w:w="90" w:type="dxa"/>
            </w:tcMar>
            <w:vAlign w:val="top"/>
          </w:tcPr>
          <w:p>
            <w:pPr>
              <w:spacing w:after="0"/>
            </w:pPr>
            <w:r>
              <w:rPr>
                <w:rFonts w:ascii="Aptos" w:hAnsi="Aptos"/>
                <w:b w:val="0"/>
                <w:i w:val="0"/>
                <w:sz w:val="17"/>
              </w:rPr>
              <w:t>4,575,861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Company IDs appearing more than once</w:t>
            </w:r>
          </w:p>
        </w:tc>
        <w:tc>
          <w:tcPr>
            <w:tcW w:type="dxa" w:w="2880"/>
            <w:tcMar>
              <w:top w:w="80" w:type="dxa"/>
              <w:start w:w="90" w:type="dxa"/>
              <w:bottom w:w="80" w:type="dxa"/>
              <w:end w:w="90" w:type="dxa"/>
            </w:tcMar>
            <w:vAlign w:val="top"/>
          </w:tcPr>
          <w:p>
            <w:pPr>
              <w:spacing w:after="0"/>
            </w:pPr>
            <w:r>
              <w:rPr>
                <w:rFonts w:ascii="Aptos" w:hAnsi="Aptos"/>
                <w:b w:val="0"/>
                <w:i w:val="0"/>
                <w:sz w:val="17"/>
              </w:rPr>
              <w:t>14,227</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Repeated IDs with conflicting names</w:t>
            </w:r>
          </w:p>
        </w:tc>
        <w:tc>
          <w:tcPr>
            <w:tcW w:type="dxa" w:w="2880"/>
            <w:tcMar>
              <w:top w:w="80" w:type="dxa"/>
              <w:start w:w="90" w:type="dxa"/>
              <w:bottom w:w="80" w:type="dxa"/>
              <w:end w:w="90" w:type="dxa"/>
            </w:tcMar>
            <w:vAlign w:val="top"/>
          </w:tcPr>
          <w:p>
            <w:pPr>
              <w:spacing w:after="0"/>
            </w:pPr>
            <w:r>
              <w:rPr>
                <w:rFonts w:ascii="Aptos" w:hAnsi="Aptos"/>
                <w:b w:val="0"/>
                <w:i w:val="0"/>
                <w:sz w:val="17"/>
              </w:rPr>
              <w:t>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Repeated IDs with conflicting websites</w:t>
            </w:r>
          </w:p>
        </w:tc>
        <w:tc>
          <w:tcPr>
            <w:tcW w:type="dxa" w:w="2880"/>
            <w:tcMar>
              <w:top w:w="80" w:type="dxa"/>
              <w:start w:w="90" w:type="dxa"/>
              <w:bottom w:w="80" w:type="dxa"/>
              <w:end w:w="90" w:type="dxa"/>
            </w:tcMar>
            <w:vAlign w:val="top"/>
          </w:tcPr>
          <w:p>
            <w:pPr>
              <w:spacing w:after="0"/>
            </w:pPr>
            <w:r>
              <w:rPr>
                <w:rFonts w:ascii="Aptos" w:hAnsi="Aptos"/>
                <w:b w:val="0"/>
                <w:i w:val="0"/>
                <w:sz w:val="17"/>
              </w:rPr>
              <w:t>0</w:t>
            </w:r>
          </w:p>
        </w:tc>
      </w:tr>
    </w:tbl>
    <w:p>
      <w:pPr>
        <w:widowControl/>
        <w:spacing w:after="20"/>
      </w:pPr>
    </w:p>
    <w:p>
      <w:pPr>
        <w:widowControl/>
        <w:spacing w:after="100" w:line="252" w:lineRule="auto"/>
      </w:pPr>
      <w:r>
        <w:rPr>
          <w:rFonts w:ascii="Aptos" w:hAnsi="Aptos"/>
          <w:b w:val="0"/>
          <w:i w:val="0"/>
          <w:sz w:val="21"/>
        </w:rPr>
        <w:t>The one repeated company ID with conflicting names appeared as “Loyalte” and “Loialte”; both records shared the same company ID and exact website. For identity purposes this was treated as a spelling inconsistency rather than a conflict between distinct entities.</w:t>
      </w:r>
    </w:p>
    <w:p>
      <w:pPr>
        <w:pStyle w:val="Heading1"/>
        <w:keepNext/>
        <w:spacing w:before="180" w:after="80"/>
      </w:pPr>
      <w:r>
        <w:rPr>
          <w:rFonts w:ascii="Aptos" w:hAnsi="Aptos"/>
          <w:b/>
          <w:i w:val="0"/>
          <w:color w:val="1F1F1F"/>
          <w:sz w:val="28"/>
        </w:rPr>
        <w:t>3. End-to-End Phase 1 Pipeline</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RAW CRUNCHBASE FUNDING DATA</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Funding and date audit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Investor-field syntax audit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Canonical investor dictionary segmentation</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Investor ID resolution</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investor_mentions.parquet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Company exact-name resolution</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Company identity + website audit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Website-assisted company disambiguation</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startup_resolution_by_round.parquet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Join investor + startup identities</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candidate_interactions.parquet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Duplicate / same-day event audit</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data/processed/interactions.parquet</w:t>
            </w:r>
          </w:p>
        </w:tc>
      </w:tr>
    </w:tbl>
    <w:p>
      <w:pPr>
        <w:widowControl/>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E7E6E6"/>
            <w:tcMar>
              <w:top w:w="80" w:type="dxa"/>
              <w:start w:w="90" w:type="dxa"/>
              <w:bottom w:w="80" w:type="dxa"/>
              <w:end w:w="90" w:type="dxa"/>
            </w:tcMar>
            <w:vAlign w:val="center"/>
          </w:tcPr>
          <w:p>
            <w:pPr>
              <w:jc w:val="left"/>
            </w:pPr>
            <w:r>
              <w:rPr>
                <w:rFonts w:ascii="Aptos" w:hAnsi="Aptos"/>
                <w:b/>
                <w:i w:val="0"/>
                <w:sz w:val="15"/>
              </w:rPr>
              <w:t>Subphase</w:t>
            </w:r>
          </w:p>
        </w:tc>
        <w:tc>
          <w:tcPr>
            <w:tcW w:type="dxa" w:w="2880"/>
            <w:shd w:fill="E7E6E6"/>
            <w:tcMar>
              <w:top w:w="80" w:type="dxa"/>
              <w:start w:w="90" w:type="dxa"/>
              <w:bottom w:w="80" w:type="dxa"/>
              <w:end w:w="90" w:type="dxa"/>
            </w:tcMar>
            <w:vAlign w:val="center"/>
          </w:tcPr>
          <w:p>
            <w:pPr>
              <w:jc w:val="left"/>
            </w:pPr>
            <w:r>
              <w:rPr>
                <w:rFonts w:ascii="Aptos" w:hAnsi="Aptos"/>
                <w:b/>
                <w:i w:val="0"/>
                <w:sz w:val="15"/>
              </w:rPr>
              <w:t>Purpose</w:t>
            </w:r>
          </w:p>
        </w:tc>
        <w:tc>
          <w:tcPr>
            <w:tcW w:type="dxa" w:w="4608"/>
            <w:shd w:fill="E7E6E6"/>
            <w:tcMar>
              <w:top w:w="80" w:type="dxa"/>
              <w:start w:w="90" w:type="dxa"/>
              <w:bottom w:w="80" w:type="dxa"/>
              <w:end w:w="90" w:type="dxa"/>
            </w:tcMar>
            <w:vAlign w:val="center"/>
          </w:tcPr>
          <w:p>
            <w:pPr>
              <w:jc w:val="left"/>
            </w:pPr>
            <w:r>
              <w:rPr>
                <w:rFonts w:ascii="Aptos" w:hAnsi="Aptos"/>
                <w:b/>
                <w:i w:val="0"/>
                <w:sz w:val="15"/>
              </w:rPr>
              <w:t>Main result</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1.1-1.3</w:t>
            </w:r>
          </w:p>
        </w:tc>
        <w:tc>
          <w:tcPr>
            <w:tcW w:type="dxa" w:w="2880"/>
            <w:tcMar>
              <w:top w:w="80" w:type="dxa"/>
              <w:start w:w="90" w:type="dxa"/>
              <w:bottom w:w="80" w:type="dxa"/>
              <w:end w:w="90" w:type="dxa"/>
            </w:tcMar>
            <w:vAlign w:val="top"/>
          </w:tcPr>
          <w:p>
            <w:pPr>
              <w:spacing w:after="0"/>
            </w:pPr>
            <w:r>
              <w:rPr>
                <w:rFonts w:ascii="Aptos" w:hAnsi="Aptos"/>
                <w:b w:val="0"/>
                <w:i w:val="0"/>
                <w:sz w:val="15"/>
              </w:rPr>
              <w:t>Environment and raw-data setup</w:t>
            </w:r>
          </w:p>
        </w:tc>
        <w:tc>
          <w:tcPr>
            <w:tcW w:type="dxa" w:w="4608"/>
            <w:tcMar>
              <w:top w:w="80" w:type="dxa"/>
              <w:start w:w="90" w:type="dxa"/>
              <w:bottom w:w="80" w:type="dxa"/>
              <w:end w:w="90" w:type="dxa"/>
            </w:tcMar>
            <w:vAlign w:val="top"/>
          </w:tcPr>
          <w:p>
            <w:pPr>
              <w:spacing w:after="0"/>
            </w:pPr>
            <w:r>
              <w:rPr>
                <w:rFonts w:ascii="Aptos" w:hAnsi="Aptos"/>
                <w:b w:val="0"/>
                <w:i w:val="0"/>
                <w:sz w:val="15"/>
              </w:rPr>
              <w:t>Conda project, repository structure, and raw-data placement established</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1.4</w:t>
            </w:r>
          </w:p>
        </w:tc>
        <w:tc>
          <w:tcPr>
            <w:tcW w:type="dxa" w:w="2880"/>
            <w:tcMar>
              <w:top w:w="80" w:type="dxa"/>
              <w:start w:w="90" w:type="dxa"/>
              <w:bottom w:w="80" w:type="dxa"/>
              <w:end w:w="90" w:type="dxa"/>
            </w:tcMar>
            <w:vAlign w:val="top"/>
          </w:tcPr>
          <w:p>
            <w:pPr>
              <w:spacing w:after="0"/>
            </w:pPr>
            <w:r>
              <w:rPr>
                <w:rFonts w:ascii="Aptos" w:hAnsi="Aptos"/>
                <w:b w:val="0"/>
                <w:i w:val="0"/>
                <w:sz w:val="15"/>
              </w:rPr>
              <w:t>Funding audit</w:t>
            </w:r>
          </w:p>
        </w:tc>
        <w:tc>
          <w:tcPr>
            <w:tcW w:type="dxa" w:w="4608"/>
            <w:tcMar>
              <w:top w:w="80" w:type="dxa"/>
              <w:start w:w="90" w:type="dxa"/>
              <w:bottom w:w="80" w:type="dxa"/>
              <w:end w:w="90" w:type="dxa"/>
            </w:tcMar>
            <w:vAlign w:val="top"/>
          </w:tcPr>
          <w:p>
            <w:pPr>
              <w:spacing w:after="0"/>
            </w:pPr>
            <w:r>
              <w:rPr>
                <w:rFonts w:ascii="Aptos" w:hAnsi="Aptos"/>
                <w:b w:val="0"/>
                <w:i w:val="0"/>
                <w:sz w:val="15"/>
              </w:rPr>
              <w:t>797,177 rounds; 602,867 with investor data</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1.5</w:t>
            </w:r>
          </w:p>
        </w:tc>
        <w:tc>
          <w:tcPr>
            <w:tcW w:type="dxa" w:w="2880"/>
            <w:tcMar>
              <w:top w:w="80" w:type="dxa"/>
              <w:start w:w="90" w:type="dxa"/>
              <w:bottom w:w="80" w:type="dxa"/>
              <w:end w:w="90" w:type="dxa"/>
            </w:tcMar>
            <w:vAlign w:val="top"/>
          </w:tcPr>
          <w:p>
            <w:pPr>
              <w:spacing w:after="0"/>
            </w:pPr>
            <w:r>
              <w:rPr>
                <w:rFonts w:ascii="Aptos" w:hAnsi="Aptos"/>
                <w:b w:val="0"/>
                <w:i w:val="0"/>
                <w:sz w:val="15"/>
              </w:rPr>
              <w:t>Date audit</w:t>
            </w:r>
          </w:p>
        </w:tc>
        <w:tc>
          <w:tcPr>
            <w:tcW w:type="dxa" w:w="4608"/>
            <w:tcMar>
              <w:top w:w="80" w:type="dxa"/>
              <w:start w:w="90" w:type="dxa"/>
              <w:bottom w:w="80" w:type="dxa"/>
              <w:end w:w="90" w:type="dxa"/>
            </w:tcMar>
            <w:vAlign w:val="top"/>
          </w:tcPr>
          <w:p>
            <w:pPr>
              <w:spacing w:after="0"/>
            </w:pPr>
            <w:r>
              <w:rPr>
                <w:rFonts w:ascii="Aptos" w:hAnsi="Aptos"/>
                <w:b w:val="0"/>
                <w:i w:val="0"/>
                <w:sz w:val="15"/>
              </w:rPr>
              <w:t>No malformed dates; actual data extends beyond filename date</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1.6</w:t>
            </w:r>
          </w:p>
        </w:tc>
        <w:tc>
          <w:tcPr>
            <w:tcW w:type="dxa" w:w="2880"/>
            <w:tcMar>
              <w:top w:w="80" w:type="dxa"/>
              <w:start w:w="90" w:type="dxa"/>
              <w:bottom w:w="80" w:type="dxa"/>
              <w:end w:w="90" w:type="dxa"/>
            </w:tcMar>
            <w:vAlign w:val="top"/>
          </w:tcPr>
          <w:p>
            <w:pPr>
              <w:spacing w:after="0"/>
            </w:pPr>
            <w:r>
              <w:rPr>
                <w:rFonts w:ascii="Aptos" w:hAnsi="Aptos"/>
                <w:b w:val="0"/>
                <w:i w:val="0"/>
                <w:sz w:val="15"/>
              </w:rPr>
              <w:t>Investor-field audit</w:t>
            </w:r>
          </w:p>
        </w:tc>
        <w:tc>
          <w:tcPr>
            <w:tcW w:type="dxa" w:w="4608"/>
            <w:tcMar>
              <w:top w:w="80" w:type="dxa"/>
              <w:start w:w="90" w:type="dxa"/>
              <w:bottom w:w="80" w:type="dxa"/>
              <w:end w:w="90" w:type="dxa"/>
            </w:tcMar>
            <w:vAlign w:val="top"/>
          </w:tcPr>
          <w:p>
            <w:pPr>
              <w:spacing w:after="0"/>
            </w:pPr>
            <w:r>
              <w:rPr>
                <w:rFonts w:ascii="Aptos" w:hAnsi="Aptos"/>
                <w:b w:val="0"/>
                <w:i w:val="0"/>
                <w:sz w:val="15"/>
              </w:rPr>
              <w:t>Investor list is a complex text field, not a safely delimited list</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1.7-1.8</w:t>
            </w:r>
          </w:p>
        </w:tc>
        <w:tc>
          <w:tcPr>
            <w:tcW w:type="dxa" w:w="2880"/>
            <w:tcMar>
              <w:top w:w="80" w:type="dxa"/>
              <w:start w:w="90" w:type="dxa"/>
              <w:bottom w:w="80" w:type="dxa"/>
              <w:end w:w="90" w:type="dxa"/>
            </w:tcMar>
            <w:vAlign w:val="top"/>
          </w:tcPr>
          <w:p>
            <w:pPr>
              <w:spacing w:after="0"/>
            </w:pPr>
            <w:r>
              <w:rPr>
                <w:rFonts w:ascii="Aptos" w:hAnsi="Aptos"/>
                <w:b w:val="0"/>
                <w:i w:val="0"/>
                <w:sz w:val="15"/>
              </w:rPr>
              <w:t>Safety checkpoint</w:t>
            </w:r>
          </w:p>
        </w:tc>
        <w:tc>
          <w:tcPr>
            <w:tcW w:type="dxa" w:w="4608"/>
            <w:tcMar>
              <w:top w:w="80" w:type="dxa"/>
              <w:start w:w="90" w:type="dxa"/>
              <w:bottom w:w="80" w:type="dxa"/>
              <w:end w:w="90" w:type="dxa"/>
            </w:tcMar>
            <w:vAlign w:val="top"/>
          </w:tcPr>
          <w:p>
            <w:pPr>
              <w:spacing w:after="0"/>
            </w:pPr>
            <w:r>
              <w:rPr>
                <w:rFonts w:ascii="Aptos" w:hAnsi="Aptos"/>
                <w:b w:val="0"/>
                <w:i w:val="0"/>
                <w:sz w:val="15"/>
              </w:rPr>
              <w:t>Decision not to use naive delimiter parsing</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1.9</w:t>
            </w:r>
          </w:p>
        </w:tc>
        <w:tc>
          <w:tcPr>
            <w:tcW w:type="dxa" w:w="2880"/>
            <w:tcMar>
              <w:top w:w="80" w:type="dxa"/>
              <w:start w:w="90" w:type="dxa"/>
              <w:bottom w:w="80" w:type="dxa"/>
              <w:end w:w="90" w:type="dxa"/>
            </w:tcMar>
            <w:vAlign w:val="top"/>
          </w:tcPr>
          <w:p>
            <w:pPr>
              <w:spacing w:after="0"/>
            </w:pPr>
            <w:r>
              <w:rPr>
                <w:rFonts w:ascii="Aptos" w:hAnsi="Aptos"/>
                <w:b w:val="0"/>
                <w:i w:val="0"/>
                <w:sz w:val="15"/>
              </w:rPr>
              <w:t>Naive parsing audit</w:t>
            </w:r>
          </w:p>
        </w:tc>
        <w:tc>
          <w:tcPr>
            <w:tcW w:type="dxa" w:w="4608"/>
            <w:tcMar>
              <w:top w:w="80" w:type="dxa"/>
              <w:start w:w="90" w:type="dxa"/>
              <w:bottom w:w="80" w:type="dxa"/>
              <w:end w:w="90" w:type="dxa"/>
            </w:tcMar>
            <w:vAlign w:val="top"/>
          </w:tcPr>
          <w:p>
            <w:pPr>
              <w:spacing w:after="0"/>
            </w:pPr>
            <w:r>
              <w:rPr>
                <w:rFonts w:ascii="Aptos" w:hAnsi="Aptos"/>
                <w:b w:val="0"/>
                <w:i w:val="0"/>
                <w:sz w:val="15"/>
              </w:rPr>
              <w:t>Comma splitting breaks legitimate canonical investor names</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1.10</w:t>
            </w:r>
          </w:p>
        </w:tc>
        <w:tc>
          <w:tcPr>
            <w:tcW w:type="dxa" w:w="2880"/>
            <w:tcMar>
              <w:top w:w="80" w:type="dxa"/>
              <w:start w:w="90" w:type="dxa"/>
              <w:bottom w:w="80" w:type="dxa"/>
              <w:end w:w="90" w:type="dxa"/>
            </w:tcMar>
            <w:vAlign w:val="top"/>
          </w:tcPr>
          <w:p>
            <w:pPr>
              <w:spacing w:after="0"/>
            </w:pPr>
            <w:r>
              <w:rPr>
                <w:rFonts w:ascii="Aptos" w:hAnsi="Aptos"/>
                <w:b w:val="0"/>
                <w:i w:val="0"/>
                <w:sz w:val="15"/>
              </w:rPr>
              <w:t>Canonical segmentation</w:t>
            </w:r>
          </w:p>
        </w:tc>
        <w:tc>
          <w:tcPr>
            <w:tcW w:type="dxa" w:w="4608"/>
            <w:tcMar>
              <w:top w:w="80" w:type="dxa"/>
              <w:start w:w="90" w:type="dxa"/>
              <w:bottom w:w="80" w:type="dxa"/>
              <w:end w:w="90" w:type="dxa"/>
            </w:tcMar>
            <w:vAlign w:val="top"/>
          </w:tcPr>
          <w:p>
            <w:pPr>
              <w:spacing w:after="0"/>
            </w:pPr>
            <w:r>
              <w:rPr>
                <w:rFonts w:ascii="Aptos" w:hAnsi="Aptos"/>
                <w:b w:val="0"/>
                <w:i w:val="0"/>
                <w:sz w:val="15"/>
              </w:rPr>
              <w:t>Exact dictionary segmentation solved almost all rows</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1.11</w:t>
            </w:r>
          </w:p>
        </w:tc>
        <w:tc>
          <w:tcPr>
            <w:tcW w:type="dxa" w:w="2880"/>
            <w:tcMar>
              <w:top w:w="80" w:type="dxa"/>
              <w:start w:w="90" w:type="dxa"/>
              <w:bottom w:w="80" w:type="dxa"/>
              <w:end w:w="90" w:type="dxa"/>
            </w:tcMar>
            <w:vAlign w:val="top"/>
          </w:tcPr>
          <w:p>
            <w:pPr>
              <w:spacing w:after="0"/>
            </w:pPr>
            <w:r>
              <w:rPr>
                <w:rFonts w:ascii="Aptos" w:hAnsi="Aptos"/>
                <w:b w:val="0"/>
                <w:i w:val="0"/>
                <w:sz w:val="15"/>
              </w:rPr>
              <w:t>Edge-case validation</w:t>
            </w:r>
          </w:p>
        </w:tc>
        <w:tc>
          <w:tcPr>
            <w:tcW w:type="dxa" w:w="4608"/>
            <w:tcMar>
              <w:top w:w="80" w:type="dxa"/>
              <w:start w:w="90" w:type="dxa"/>
              <w:bottom w:w="80" w:type="dxa"/>
              <w:end w:w="90" w:type="dxa"/>
            </w:tcMar>
            <w:vAlign w:val="top"/>
          </w:tcPr>
          <w:p>
            <w:pPr>
              <w:spacing w:after="0"/>
            </w:pPr>
            <w:r>
              <w:rPr>
                <w:rFonts w:ascii="Aptos" w:hAnsi="Aptos"/>
                <w:b w:val="0"/>
                <w:i w:val="0"/>
                <w:sz w:val="15"/>
              </w:rPr>
              <w:t>Malformed commas and HALA Ventures isolated</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1.12</w:t>
            </w:r>
          </w:p>
        </w:tc>
        <w:tc>
          <w:tcPr>
            <w:tcW w:type="dxa" w:w="2880"/>
            <w:tcMar>
              <w:top w:w="80" w:type="dxa"/>
              <w:start w:w="90" w:type="dxa"/>
              <w:bottom w:w="80" w:type="dxa"/>
              <w:end w:w="90" w:type="dxa"/>
            </w:tcMar>
            <w:vAlign w:val="top"/>
          </w:tcPr>
          <w:p>
            <w:pPr>
              <w:spacing w:after="0"/>
            </w:pPr>
            <w:r>
              <w:rPr>
                <w:rFonts w:ascii="Aptos" w:hAnsi="Aptos"/>
                <w:b w:val="0"/>
                <w:i w:val="0"/>
                <w:sz w:val="15"/>
              </w:rPr>
              <w:t>Investor mention table</w:t>
            </w:r>
          </w:p>
        </w:tc>
        <w:tc>
          <w:tcPr>
            <w:tcW w:type="dxa" w:w="4608"/>
            <w:tcMar>
              <w:top w:w="80" w:type="dxa"/>
              <w:start w:w="90" w:type="dxa"/>
              <w:bottom w:w="80" w:type="dxa"/>
              <w:end w:w="90" w:type="dxa"/>
            </w:tcMar>
            <w:vAlign w:val="top"/>
          </w:tcPr>
          <w:p>
            <w:pPr>
              <w:spacing w:after="0"/>
            </w:pPr>
            <w:r>
              <w:rPr>
                <w:rFonts w:ascii="Aptos" w:hAnsi="Aptos"/>
                <w:b w:val="0"/>
                <w:i w:val="0"/>
                <w:sz w:val="15"/>
              </w:rPr>
              <w:t>1,335,550 normalized investor mentions</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1.13</w:t>
            </w:r>
          </w:p>
        </w:tc>
        <w:tc>
          <w:tcPr>
            <w:tcW w:type="dxa" w:w="2880"/>
            <w:tcMar>
              <w:top w:w="80" w:type="dxa"/>
              <w:start w:w="90" w:type="dxa"/>
              <w:bottom w:w="80" w:type="dxa"/>
              <w:end w:w="90" w:type="dxa"/>
            </w:tcMar>
            <w:vAlign w:val="top"/>
          </w:tcPr>
          <w:p>
            <w:pPr>
              <w:spacing w:after="0"/>
            </w:pPr>
            <w:r>
              <w:rPr>
                <w:rFonts w:ascii="Aptos" w:hAnsi="Aptos"/>
                <w:b w:val="0"/>
                <w:i w:val="0"/>
                <w:sz w:val="15"/>
              </w:rPr>
              <w:t>Startup exact-name audit</w:t>
            </w:r>
          </w:p>
        </w:tc>
        <w:tc>
          <w:tcPr>
            <w:tcW w:type="dxa" w:w="4608"/>
            <w:tcMar>
              <w:top w:w="80" w:type="dxa"/>
              <w:start w:w="90" w:type="dxa"/>
              <w:bottom w:w="80" w:type="dxa"/>
              <w:end w:w="90" w:type="dxa"/>
            </w:tcMar>
            <w:vAlign w:val="top"/>
          </w:tcPr>
          <w:p>
            <w:pPr>
              <w:spacing w:after="0"/>
            </w:pPr>
            <w:r>
              <w:rPr>
                <w:rFonts w:ascii="Aptos" w:hAnsi="Aptos"/>
                <w:b w:val="0"/>
                <w:i w:val="0"/>
                <w:sz w:val="15"/>
              </w:rPr>
              <w:t>Exact names alone resolve 81.6% of mentions</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1.14</w:t>
            </w:r>
          </w:p>
        </w:tc>
        <w:tc>
          <w:tcPr>
            <w:tcW w:type="dxa" w:w="2880"/>
            <w:tcMar>
              <w:top w:w="80" w:type="dxa"/>
              <w:start w:w="90" w:type="dxa"/>
              <w:bottom w:w="80" w:type="dxa"/>
              <w:end w:w="90" w:type="dxa"/>
            </w:tcMar>
            <w:vAlign w:val="top"/>
          </w:tcPr>
          <w:p>
            <w:pPr>
              <w:spacing w:after="0"/>
            </w:pPr>
            <w:r>
              <w:rPr>
                <w:rFonts w:ascii="Aptos" w:hAnsi="Aptos"/>
                <w:b w:val="0"/>
                <w:i w:val="0"/>
                <w:sz w:val="15"/>
              </w:rPr>
              <w:t>Company identity audit</w:t>
            </w:r>
          </w:p>
        </w:tc>
        <w:tc>
          <w:tcPr>
            <w:tcW w:type="dxa" w:w="4608"/>
            <w:tcMar>
              <w:top w:w="80" w:type="dxa"/>
              <w:start w:w="90" w:type="dxa"/>
              <w:bottom w:w="80" w:type="dxa"/>
              <w:end w:w="90" w:type="dxa"/>
            </w:tcMar>
            <w:vAlign w:val="top"/>
          </w:tcPr>
          <w:p>
            <w:pPr>
              <w:spacing w:after="0"/>
            </w:pPr>
            <w:r>
              <w:rPr>
                <w:rFonts w:ascii="Aptos" w:hAnsi="Aptos"/>
                <w:b w:val="0"/>
                <w:i w:val="0"/>
                <w:sz w:val="15"/>
              </w:rPr>
              <w:t>Website identified as promising secondary evidence</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1.15</w:t>
            </w:r>
          </w:p>
        </w:tc>
        <w:tc>
          <w:tcPr>
            <w:tcW w:type="dxa" w:w="2880"/>
            <w:tcMar>
              <w:top w:w="80" w:type="dxa"/>
              <w:start w:w="90" w:type="dxa"/>
              <w:bottom w:w="80" w:type="dxa"/>
              <w:end w:w="90" w:type="dxa"/>
            </w:tcMar>
            <w:vAlign w:val="top"/>
          </w:tcPr>
          <w:p>
            <w:pPr>
              <w:spacing w:after="0"/>
            </w:pPr>
            <w:r>
              <w:rPr>
                <w:rFonts w:ascii="Aptos" w:hAnsi="Aptos"/>
                <w:b w:val="0"/>
                <w:i w:val="0"/>
                <w:sz w:val="15"/>
              </w:rPr>
              <w:t>Website validation</w:t>
            </w:r>
          </w:p>
        </w:tc>
        <w:tc>
          <w:tcPr>
            <w:tcW w:type="dxa" w:w="4608"/>
            <w:tcMar>
              <w:top w:w="80" w:type="dxa"/>
              <w:start w:w="90" w:type="dxa"/>
              <w:bottom w:w="80" w:type="dxa"/>
              <w:end w:w="90" w:type="dxa"/>
            </w:tcMar>
            <w:vAlign w:val="top"/>
          </w:tcPr>
          <w:p>
            <w:pPr>
              <w:spacing w:after="0"/>
            </w:pPr>
            <w:r>
              <w:rPr>
                <w:rFonts w:ascii="Aptos" w:hAnsi="Aptos"/>
                <w:b w:val="0"/>
                <w:i w:val="0"/>
                <w:sz w:val="15"/>
              </w:rPr>
              <w:t>495,869 control agreements; 0 conflicts</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1.16</w:t>
            </w:r>
          </w:p>
        </w:tc>
        <w:tc>
          <w:tcPr>
            <w:tcW w:type="dxa" w:w="2880"/>
            <w:tcMar>
              <w:top w:w="80" w:type="dxa"/>
              <w:start w:w="90" w:type="dxa"/>
              <w:bottom w:w="80" w:type="dxa"/>
              <w:end w:w="90" w:type="dxa"/>
            </w:tcMar>
            <w:vAlign w:val="top"/>
          </w:tcPr>
          <w:p>
            <w:pPr>
              <w:spacing w:after="0"/>
            </w:pPr>
            <w:r>
              <w:rPr>
                <w:rFonts w:ascii="Aptos" w:hAnsi="Aptos"/>
                <w:b w:val="0"/>
                <w:i w:val="0"/>
                <w:sz w:val="15"/>
              </w:rPr>
              <w:t>Startup resolution table</w:t>
            </w:r>
          </w:p>
        </w:tc>
        <w:tc>
          <w:tcPr>
            <w:tcW w:type="dxa" w:w="4608"/>
            <w:tcMar>
              <w:top w:w="80" w:type="dxa"/>
              <w:start w:w="90" w:type="dxa"/>
              <w:bottom w:w="80" w:type="dxa"/>
              <w:end w:w="90" w:type="dxa"/>
            </w:tcMar>
            <w:vAlign w:val="top"/>
          </w:tcPr>
          <w:p>
            <w:pPr>
              <w:spacing w:after="0"/>
            </w:pPr>
            <w:r>
              <w:rPr>
                <w:rFonts w:ascii="Aptos" w:hAnsi="Aptos"/>
                <w:b w:val="0"/>
                <w:i w:val="0"/>
                <w:sz w:val="15"/>
              </w:rPr>
              <w:t>594,181 of 602,867 funding rounds resolved</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1.17</w:t>
            </w:r>
          </w:p>
        </w:tc>
        <w:tc>
          <w:tcPr>
            <w:tcW w:type="dxa" w:w="2880"/>
            <w:tcMar>
              <w:top w:w="80" w:type="dxa"/>
              <w:start w:w="90" w:type="dxa"/>
              <w:bottom w:w="80" w:type="dxa"/>
              <w:end w:w="90" w:type="dxa"/>
            </w:tcMar>
            <w:vAlign w:val="top"/>
          </w:tcPr>
          <w:p>
            <w:pPr>
              <w:spacing w:after="0"/>
            </w:pPr>
            <w:r>
              <w:rPr>
                <w:rFonts w:ascii="Aptos" w:hAnsi="Aptos"/>
                <w:b w:val="0"/>
                <w:i w:val="0"/>
                <w:sz w:val="15"/>
              </w:rPr>
              <w:t>Candidate interactions</w:t>
            </w:r>
          </w:p>
        </w:tc>
        <w:tc>
          <w:tcPr>
            <w:tcW w:type="dxa" w:w="4608"/>
            <w:tcMar>
              <w:top w:w="80" w:type="dxa"/>
              <w:start w:w="90" w:type="dxa"/>
              <w:bottom w:w="80" w:type="dxa"/>
              <w:end w:w="90" w:type="dxa"/>
            </w:tcMar>
            <w:vAlign w:val="top"/>
          </w:tcPr>
          <w:p>
            <w:pPr>
              <w:spacing w:after="0"/>
            </w:pPr>
            <w:r>
              <w:rPr>
                <w:rFonts w:ascii="Aptos" w:hAnsi="Aptos"/>
                <w:b w:val="0"/>
                <w:i w:val="0"/>
                <w:sz w:val="15"/>
              </w:rPr>
              <w:t>1,208,051 high-confidence interaction candidates</w:t>
            </w:r>
          </w:p>
        </w:tc>
      </w:tr>
      <w:tr>
        <w:trPr>
          <w:cantSplit/>
        </w:trPr>
        <w:tc>
          <w:tcPr>
            <w:tcW w:type="dxa" w:w="1152"/>
            <w:tcMar>
              <w:top w:w="80" w:type="dxa"/>
              <w:start w:w="90" w:type="dxa"/>
              <w:bottom w:w="80" w:type="dxa"/>
              <w:end w:w="90" w:type="dxa"/>
            </w:tcMar>
            <w:vAlign w:val="top"/>
          </w:tcPr>
          <w:p>
            <w:pPr>
              <w:spacing w:after="0"/>
            </w:pPr>
            <w:r>
              <w:rPr>
                <w:rFonts w:ascii="Aptos" w:hAnsi="Aptos"/>
                <w:b w:val="0"/>
                <w:i w:val="0"/>
                <w:sz w:val="15"/>
              </w:rPr>
              <w:t>1.18</w:t>
            </w:r>
          </w:p>
        </w:tc>
        <w:tc>
          <w:tcPr>
            <w:tcW w:type="dxa" w:w="2880"/>
            <w:tcMar>
              <w:top w:w="80" w:type="dxa"/>
              <w:start w:w="90" w:type="dxa"/>
              <w:bottom w:w="80" w:type="dxa"/>
              <w:end w:w="90" w:type="dxa"/>
            </w:tcMar>
            <w:vAlign w:val="top"/>
          </w:tcPr>
          <w:p>
            <w:pPr>
              <w:spacing w:after="0"/>
            </w:pPr>
            <w:r>
              <w:rPr>
                <w:rFonts w:ascii="Aptos" w:hAnsi="Aptos"/>
                <w:b w:val="0"/>
                <w:i w:val="0"/>
                <w:sz w:val="15"/>
              </w:rPr>
              <w:t>Final duplicate audit</w:t>
            </w:r>
          </w:p>
        </w:tc>
        <w:tc>
          <w:tcPr>
            <w:tcW w:type="dxa" w:w="4608"/>
            <w:tcMar>
              <w:top w:w="80" w:type="dxa"/>
              <w:start w:w="90" w:type="dxa"/>
              <w:bottom w:w="80" w:type="dxa"/>
              <w:end w:w="90" w:type="dxa"/>
            </w:tcMar>
            <w:vAlign w:val="top"/>
          </w:tcPr>
          <w:p>
            <w:pPr>
              <w:spacing w:after="0"/>
            </w:pPr>
            <w:r>
              <w:rPr>
                <w:rFonts w:ascii="Aptos" w:hAnsi="Aptos"/>
                <w:b w:val="0"/>
                <w:i w:val="0"/>
                <w:sz w:val="15"/>
              </w:rPr>
              <w:t>0 exact duplicates; canonical dataset frozen</w:t>
            </w:r>
          </w:p>
        </w:tc>
      </w:tr>
    </w:tbl>
    <w:p>
      <w:pPr>
        <w:widowControl/>
        <w:spacing w:after="20"/>
      </w:pPr>
    </w:p>
    <w:p>
      <w:pPr>
        <w:pStyle w:val="Heading1"/>
        <w:keepNext/>
        <w:spacing w:before="180" w:after="80"/>
      </w:pPr>
      <w:r>
        <w:rPr>
          <w:rFonts w:ascii="Aptos" w:hAnsi="Aptos"/>
          <w:b/>
          <w:i w:val="0"/>
          <w:color w:val="1F1F1F"/>
          <w:sz w:val="28"/>
        </w:rPr>
        <w:t>4. Investor Parsing and Resolution</w:t>
      </w:r>
    </w:p>
    <w:p>
      <w:pPr>
        <w:pStyle w:val="Heading2"/>
        <w:keepNext/>
        <w:spacing w:before="120" w:after="80"/>
      </w:pPr>
      <w:r>
        <w:rPr>
          <w:rFonts w:ascii="Aptos" w:hAnsi="Aptos"/>
          <w:b/>
          <w:i w:val="0"/>
          <w:color w:val="1F1F1F"/>
          <w:sz w:val="23"/>
        </w:rPr>
        <w:t>4.1 Why naive delimiter splitting was rejected</w:t>
      </w:r>
    </w:p>
    <w:p>
      <w:pPr>
        <w:widowControl/>
        <w:spacing w:after="100" w:line="252" w:lineRule="auto"/>
      </w:pPr>
      <w:r>
        <w:rPr>
          <w:rFonts w:ascii="Aptos" w:hAnsi="Aptos"/>
          <w:b w:val="0"/>
          <w:i w:val="0"/>
          <w:sz w:val="21"/>
        </w:rPr>
        <w:t>The funding file represents investors as text that visually resembles a comma-separated list. A naive .split(",") approach was tested and rejected because canonical Crunchbase investor names can themselves contain commas, semicolons, and pipes. Examples include names such as “Founders, Inc.” and “The R-Group Holdings, LLC”.</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Naive parsing audit</w:t>
            </w:r>
          </w:p>
        </w:tc>
        <w:tc>
          <w:tcPr>
            <w:tcW w:type="dxa" w:w="2880"/>
            <w:shd w:fill="E7E6E6"/>
            <w:tcMar>
              <w:top w:w="80" w:type="dxa"/>
              <w:start w:w="90" w:type="dxa"/>
              <w:bottom w:w="80" w:type="dxa"/>
              <w:end w:w="90" w:type="dxa"/>
            </w:tcMar>
            <w:vAlign w:val="center"/>
          </w:tcPr>
          <w:p>
            <w:pPr>
              <w:jc w:val="left"/>
            </w:pPr>
            <w:r>
              <w:rPr>
                <w:rFonts w:ascii="Aptos" w:hAnsi="Aptos"/>
                <w:b/>
                <w:i w:val="0"/>
                <w:sz w:val="17"/>
              </w:rPr>
              <w:t>Result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Candidate tokens after comma splitting</w:t>
            </w:r>
          </w:p>
        </w:tc>
        <w:tc>
          <w:tcPr>
            <w:tcW w:type="dxa" w:w="2880"/>
            <w:tcMar>
              <w:top w:w="80" w:type="dxa"/>
              <w:start w:w="90" w:type="dxa"/>
              <w:bottom w:w="80" w:type="dxa"/>
              <w:end w:w="90" w:type="dxa"/>
            </w:tcMar>
            <w:vAlign w:val="top"/>
          </w:tcPr>
          <w:p>
            <w:pPr>
              <w:spacing w:after="0"/>
            </w:pPr>
            <w:r>
              <w:rPr>
                <w:rFonts w:ascii="Aptos" w:hAnsi="Aptos"/>
                <w:b w:val="0"/>
                <w:i w:val="0"/>
                <w:sz w:val="17"/>
              </w:rPr>
              <w:t>1,339,156</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Exact master matches</w:t>
            </w:r>
          </w:p>
        </w:tc>
        <w:tc>
          <w:tcPr>
            <w:tcW w:type="dxa" w:w="2880"/>
            <w:tcMar>
              <w:top w:w="80" w:type="dxa"/>
              <w:start w:w="90" w:type="dxa"/>
              <w:bottom w:w="80" w:type="dxa"/>
              <w:end w:w="90" w:type="dxa"/>
            </w:tcMar>
            <w:vAlign w:val="top"/>
          </w:tcPr>
          <w:p>
            <w:pPr>
              <w:spacing w:after="0"/>
            </w:pPr>
            <w:r>
              <w:rPr>
                <w:rFonts w:ascii="Aptos" w:hAnsi="Aptos"/>
                <w:b w:val="0"/>
                <w:i w:val="0"/>
                <w:sz w:val="17"/>
              </w:rPr>
              <w:t>1,332,255</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Unmatched fragments</w:t>
            </w:r>
          </w:p>
        </w:tc>
        <w:tc>
          <w:tcPr>
            <w:tcW w:type="dxa" w:w="2880"/>
            <w:tcMar>
              <w:top w:w="80" w:type="dxa"/>
              <w:start w:w="90" w:type="dxa"/>
              <w:bottom w:w="80" w:type="dxa"/>
              <w:end w:w="90" w:type="dxa"/>
            </w:tcMar>
            <w:vAlign w:val="top"/>
          </w:tcPr>
          <w:p>
            <w:pPr>
              <w:spacing w:after="0"/>
            </w:pPr>
            <w:r>
              <w:rPr>
                <w:rFonts w:ascii="Aptos" w:hAnsi="Aptos"/>
                <w:b w:val="0"/>
                <w:i w:val="0"/>
                <w:sz w:val="17"/>
              </w:rPr>
              <w:t>6,901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Unique candidate names</w:t>
            </w:r>
          </w:p>
        </w:tc>
        <w:tc>
          <w:tcPr>
            <w:tcW w:type="dxa" w:w="2880"/>
            <w:tcMar>
              <w:top w:w="80" w:type="dxa"/>
              <w:start w:w="90" w:type="dxa"/>
              <w:bottom w:w="80" w:type="dxa"/>
              <w:end w:w="90" w:type="dxa"/>
            </w:tcMar>
            <w:vAlign w:val="top"/>
          </w:tcPr>
          <w:p>
            <w:pPr>
              <w:spacing w:after="0"/>
            </w:pPr>
            <w:r>
              <w:rPr>
                <w:rFonts w:ascii="Aptos" w:hAnsi="Aptos"/>
                <w:b w:val="0"/>
                <w:i w:val="0"/>
                <w:sz w:val="17"/>
              </w:rPr>
              <w:t>173,827</w:t>
            </w:r>
          </w:p>
        </w:tc>
      </w:tr>
    </w:tbl>
    <w:p>
      <w:pPr>
        <w:widowControl/>
        <w:spacing w:after="20"/>
      </w:pPr>
    </w:p>
    <w:p>
      <w:pPr>
        <w:widowControl/>
        <w:spacing w:after="100" w:line="252" w:lineRule="auto"/>
      </w:pPr>
      <w:r>
        <w:rPr>
          <w:rFonts w:ascii="Aptos" w:hAnsi="Aptos"/>
          <w:b w:val="0"/>
          <w:i w:val="0"/>
          <w:sz w:val="21"/>
        </w:rPr>
        <w:t>Frequent unmatched fragments included corporate suffixes such as LLC, Inc., and Ltd., demonstrating that naive splitting was breaking valid canonical names rather than merely exposing missing investors.</w:t>
      </w:r>
    </w:p>
    <w:p>
      <w:pPr>
        <w:pStyle w:val="Heading2"/>
        <w:keepNext/>
        <w:spacing w:before="120" w:after="80"/>
      </w:pPr>
      <w:r>
        <w:rPr>
          <w:rFonts w:ascii="Aptos" w:hAnsi="Aptos"/>
          <w:b/>
          <w:i w:val="0"/>
          <w:color w:val="1F1F1F"/>
          <w:sz w:val="23"/>
        </w:rPr>
        <w:t>4.2 Exact dictionary segmentation</w:t>
      </w:r>
    </w:p>
    <w:p>
      <w:pPr>
        <w:widowControl/>
        <w:spacing w:after="100" w:line="252" w:lineRule="auto"/>
      </w:pPr>
      <w:r>
        <w:rPr>
          <w:rFonts w:ascii="Aptos" w:hAnsi="Aptos"/>
          <w:b w:val="0"/>
          <w:i w:val="0"/>
          <w:sz w:val="21"/>
        </w:rPr>
        <w:t>Investor parsing was reframed as an exact dictionary-segmentation problem. The raw investor string is split into comma chunks, and the parser searches for a segmentation in which each reconstructed segment exactly matches a canonical investor name. This method avoids guessing delimiter semantics and preserves names that legitimately contain commas.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Row-level segmentation result</w:t>
            </w:r>
          </w:p>
        </w:tc>
        <w:tc>
          <w:tcPr>
            <w:tcW w:type="dxa" w:w="2880"/>
            <w:shd w:fill="E7E6E6"/>
            <w:tcMar>
              <w:top w:w="80" w:type="dxa"/>
              <w:start w:w="90" w:type="dxa"/>
              <w:bottom w:w="80" w:type="dxa"/>
              <w:end w:w="90" w:type="dxa"/>
            </w:tcMar>
            <w:vAlign w:val="center"/>
          </w:tcPr>
          <w:p>
            <w:pPr>
              <w:jc w:val="left"/>
            </w:pPr>
            <w:r>
              <w:rPr>
                <w:rFonts w:ascii="Aptos" w:hAnsi="Aptos"/>
                <w:b/>
                <w:i w:val="0"/>
                <w:sz w:val="17"/>
              </w:rPr>
              <w:t>Count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Funding rows with investor data</w:t>
            </w:r>
          </w:p>
        </w:tc>
        <w:tc>
          <w:tcPr>
            <w:tcW w:type="dxa" w:w="2880"/>
            <w:tcMar>
              <w:top w:w="80" w:type="dxa"/>
              <w:start w:w="90" w:type="dxa"/>
              <w:bottom w:w="80" w:type="dxa"/>
              <w:end w:w="90" w:type="dxa"/>
            </w:tcMar>
            <w:vAlign w:val="top"/>
          </w:tcPr>
          <w:p>
            <w:pPr>
              <w:spacing w:after="0"/>
            </w:pPr>
            <w:r>
              <w:rPr>
                <w:rFonts w:ascii="Aptos" w:hAnsi="Aptos"/>
                <w:b w:val="0"/>
                <w:i w:val="0"/>
                <w:sz w:val="17"/>
              </w:rPr>
              <w:t>602,867</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Exactly one valid segmentation</w:t>
            </w:r>
          </w:p>
        </w:tc>
        <w:tc>
          <w:tcPr>
            <w:tcW w:type="dxa" w:w="2880"/>
            <w:tcMar>
              <w:top w:w="80" w:type="dxa"/>
              <w:start w:w="90" w:type="dxa"/>
              <w:bottom w:w="80" w:type="dxa"/>
              <w:end w:w="90" w:type="dxa"/>
            </w:tcMar>
            <w:vAlign w:val="top"/>
          </w:tcPr>
          <w:p>
            <w:pPr>
              <w:spacing w:after="0"/>
            </w:pPr>
            <w:r>
              <w:rPr>
                <w:rFonts w:ascii="Aptos" w:hAnsi="Aptos"/>
                <w:b w:val="0"/>
                <w:i w:val="0"/>
                <w:sz w:val="17"/>
              </w:rPr>
              <w:t>602,850</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Multiple valid segmentations</w:t>
            </w:r>
          </w:p>
        </w:tc>
        <w:tc>
          <w:tcPr>
            <w:tcW w:type="dxa" w:w="2880"/>
            <w:tcMar>
              <w:top w:w="80" w:type="dxa"/>
              <w:start w:w="90" w:type="dxa"/>
              <w:bottom w:w="80" w:type="dxa"/>
              <w:end w:w="90" w:type="dxa"/>
            </w:tcMar>
            <w:vAlign w:val="top"/>
          </w:tcPr>
          <w:p>
            <w:pPr>
              <w:spacing w:after="0"/>
            </w:pPr>
            <w:r>
              <w:rPr>
                <w:rFonts w:ascii="Aptos" w:hAnsi="Aptos"/>
                <w:b w:val="0"/>
                <w:i w:val="0"/>
                <w:sz w:val="17"/>
              </w:rPr>
              <w:t>0</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No valid segmentation</w:t>
            </w:r>
          </w:p>
        </w:tc>
        <w:tc>
          <w:tcPr>
            <w:tcW w:type="dxa" w:w="2880"/>
            <w:tcMar>
              <w:top w:w="80" w:type="dxa"/>
              <w:start w:w="90" w:type="dxa"/>
              <w:bottom w:w="80" w:type="dxa"/>
              <w:end w:w="90" w:type="dxa"/>
            </w:tcMar>
            <w:vAlign w:val="top"/>
          </w:tcPr>
          <w:p>
            <w:pPr>
              <w:spacing w:after="0"/>
            </w:pPr>
            <w:r>
              <w:rPr>
                <w:rFonts w:ascii="Aptos" w:hAnsi="Aptos"/>
                <w:b w:val="0"/>
                <w:i w:val="0"/>
                <w:sz w:val="17"/>
              </w:rPr>
              <w:t>17</w:t>
            </w:r>
          </w:p>
        </w:tc>
      </w:tr>
    </w:tbl>
    <w:p>
      <w:pPr>
        <w:widowControl/>
        <w:spacing w:after="20"/>
      </w:pPr>
    </w:p>
    <w:p>
      <w:pPr>
        <w:widowControl/>
        <w:spacing w:after="100" w:line="252" w:lineRule="auto"/>
      </w:pPr>
      <w:r>
        <w:rPr>
          <w:rFonts w:ascii="Aptos" w:hAnsi="Aptos"/>
          <w:b w:val="0"/>
          <w:i w:val="0"/>
          <w:sz w:val="21"/>
        </w:rPr>
        <w:t>The absence of ambiguous segmentations was a strong validation result: the canonical name dictionary was sufficient to uniquely reconstruct nearly every investor list.</w:t>
      </w:r>
    </w:p>
    <w:p>
      <w:pPr>
        <w:pStyle w:val="Heading2"/>
        <w:keepNext/>
        <w:spacing w:before="120" w:after="80"/>
      </w:pPr>
      <w:r>
        <w:rPr>
          <w:rFonts w:ascii="Aptos" w:hAnsi="Aptos"/>
          <w:b/>
          <w:i w:val="0"/>
          <w:color w:val="1F1F1F"/>
          <w:sz w:val="23"/>
        </w:rPr>
        <w:t>4.3 HALA Ventures and unmatched-source preservation</w:t>
      </w:r>
    </w:p>
    <w:p>
      <w:pPr>
        <w:widowControl/>
        <w:spacing w:after="100" w:line="252" w:lineRule="auto"/>
      </w:pPr>
      <w:r>
        <w:rPr>
          <w:rFonts w:ascii="Aptos" w:hAnsi="Aptos"/>
          <w:b w:val="0"/>
          <w:i w:val="0"/>
          <w:sz w:val="21"/>
        </w:rPr>
        <w:t>All 17 rows with no complete canonical segmentation were blocked by the same text: HALA Ventures. HALA Ventures appears in funding records but was not found in the investor master. The pipeline therefore preserved the source mention without inventing an investor ID. The known investors before and after HALA Ventures were still recovered conservatively.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Partial-recovery result</w:t>
            </w:r>
          </w:p>
        </w:tc>
        <w:tc>
          <w:tcPr>
            <w:tcW w:type="dxa" w:w="2880"/>
            <w:shd w:fill="E7E6E6"/>
            <w:tcMar>
              <w:top w:w="80" w:type="dxa"/>
              <w:start w:w="90" w:type="dxa"/>
              <w:bottom w:w="80" w:type="dxa"/>
              <w:end w:w="90" w:type="dxa"/>
            </w:tcMar>
            <w:vAlign w:val="center"/>
          </w:tcPr>
          <w:p>
            <w:pPr>
              <w:jc w:val="left"/>
            </w:pPr>
            <w:r>
              <w:rPr>
                <w:rFonts w:ascii="Aptos" w:hAnsi="Aptos"/>
                <w:b/>
                <w:i w:val="0"/>
                <w:sz w:val="17"/>
              </w:rPr>
              <w:t>Count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Known investor mentions recovered</w:t>
            </w:r>
          </w:p>
        </w:tc>
        <w:tc>
          <w:tcPr>
            <w:tcW w:type="dxa" w:w="2880"/>
            <w:tcMar>
              <w:top w:w="80" w:type="dxa"/>
              <w:start w:w="90" w:type="dxa"/>
              <w:bottom w:w="80" w:type="dxa"/>
              <w:end w:w="90" w:type="dxa"/>
            </w:tcMar>
            <w:vAlign w:val="top"/>
          </w:tcPr>
          <w:p>
            <w:pPr>
              <w:spacing w:after="0"/>
            </w:pPr>
            <w:r>
              <w:rPr>
                <w:rFonts w:ascii="Aptos" w:hAnsi="Aptos"/>
                <w:b w:val="0"/>
                <w:i w:val="0"/>
                <w:sz w:val="17"/>
              </w:rPr>
              <w:t>85</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HALA Ventures unmatched mentions</w:t>
            </w:r>
          </w:p>
        </w:tc>
        <w:tc>
          <w:tcPr>
            <w:tcW w:type="dxa" w:w="2880"/>
            <w:tcMar>
              <w:top w:w="80" w:type="dxa"/>
              <w:start w:w="90" w:type="dxa"/>
              <w:bottom w:w="80" w:type="dxa"/>
              <w:end w:w="90" w:type="dxa"/>
            </w:tcMar>
            <w:vAlign w:val="top"/>
          </w:tcPr>
          <w:p>
            <w:pPr>
              <w:spacing w:after="0"/>
            </w:pPr>
            <w:r>
              <w:rPr>
                <w:rFonts w:ascii="Aptos" w:hAnsi="Aptos"/>
                <w:b w:val="0"/>
                <w:i w:val="0"/>
                <w:sz w:val="17"/>
              </w:rPr>
              <w:t>17</w:t>
            </w:r>
          </w:p>
        </w:tc>
      </w:tr>
    </w:tbl>
    <w:p>
      <w:pPr>
        <w:widowControl/>
        <w:spacing w:after="20"/>
      </w:pP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HALA Ventures</w:t>
            </w:r>
            <w:r>
              <w:br/>
            </w:r>
            <w:r>
              <w:rPr>
                <w:rFonts w:ascii="Menlo" w:hAnsi="Menlo"/>
                <w:b w:val="0"/>
                <w:i w:val="0"/>
                <w:sz w:val="17"/>
              </w:rPr>
              <w:t>investor_id = NULL</w:t>
            </w:r>
            <w:r>
              <w:br/>
            </w:r>
            <w:r>
              <w:rPr>
                <w:rFonts w:ascii="Menlo" w:hAnsi="Menlo"/>
                <w:b w:val="0"/>
                <w:i w:val="0"/>
                <w:sz w:val="17"/>
              </w:rPr>
              <w:t>candidate_investor_ids = []</w:t>
            </w:r>
            <w:r>
              <w:br/>
            </w:r>
            <w:r>
              <w:rPr>
                <w:rFonts w:ascii="Menlo" w:hAnsi="Menlo"/>
                <w:b w:val="0"/>
                <w:i w:val="0"/>
                <w:sz w:val="17"/>
              </w:rPr>
              <w:t>id_resolution_status = unmatched_master</w:t>
            </w:r>
          </w:p>
        </w:tc>
      </w:tr>
    </w:tbl>
    <w:p>
      <w:pPr>
        <w:widowControl/>
        <w:spacing w:after="0"/>
      </w:pPr>
    </w:p>
    <w:p>
      <w:pPr>
        <w:pStyle w:val="Heading2"/>
        <w:keepNext/>
        <w:spacing w:before="120" w:after="80"/>
      </w:pPr>
      <w:r>
        <w:rPr>
          <w:rFonts w:ascii="Aptos" w:hAnsi="Aptos"/>
          <w:b/>
          <w:i w:val="0"/>
          <w:color w:val="1F1F1F"/>
          <w:sz w:val="23"/>
        </w:rPr>
        <w:t>4.4 Malformed-looking canonical investor names</w:t>
      </w:r>
    </w:p>
    <w:p>
      <w:pPr>
        <w:widowControl/>
        <w:spacing w:after="100" w:line="252" w:lineRule="auto"/>
      </w:pPr>
      <w:r>
        <w:rPr>
          <w:rFonts w:ascii="Aptos" w:hAnsi="Aptos"/>
          <w:b w:val="0"/>
          <w:i w:val="0"/>
          <w:sz w:val="21"/>
        </w:rPr>
        <w:t>The investor master itself contains malformed-looking names. Rather than silently cleaning the master, the pipeline preserves the source spelling and attaches quality flags so that source anomalies remain distinguishable from preprocessing errors.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Observed malformed pattern</w:t>
            </w:r>
          </w:p>
        </w:tc>
        <w:tc>
          <w:tcPr>
            <w:tcW w:type="dxa" w:w="2880"/>
            <w:shd w:fill="E7E6E6"/>
            <w:tcMar>
              <w:top w:w="80" w:type="dxa"/>
              <w:start w:w="90" w:type="dxa"/>
              <w:bottom w:w="80" w:type="dxa"/>
              <w:end w:w="90" w:type="dxa"/>
            </w:tcMar>
            <w:vAlign w:val="center"/>
          </w:tcPr>
          <w:p>
            <w:pPr>
              <w:jc w:val="left"/>
            </w:pPr>
            <w:r>
              <w:rPr>
                <w:rFonts w:ascii="Aptos" w:hAnsi="Aptos"/>
                <w:b/>
                <w:i w:val="0"/>
                <w:sz w:val="17"/>
              </w:rPr>
              <w:t>Count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names beginning with comma</w:t>
            </w:r>
          </w:p>
        </w:tc>
        <w:tc>
          <w:tcPr>
            <w:tcW w:type="dxa" w:w="2880"/>
            <w:tcMar>
              <w:top w:w="80" w:type="dxa"/>
              <w:start w:w="90" w:type="dxa"/>
              <w:bottom w:w="80" w:type="dxa"/>
              <w:end w:w="90" w:type="dxa"/>
            </w:tcMar>
            <w:vAlign w:val="top"/>
          </w:tcPr>
          <w:p>
            <w:pPr>
              <w:spacing w:after="0"/>
            </w:pPr>
            <w:r>
              <w:rPr>
                <w:rFonts w:ascii="Aptos" w:hAnsi="Aptos"/>
                <w:b w:val="0"/>
                <w:i w:val="0"/>
                <w:sz w:val="17"/>
              </w:rPr>
              <w:t>0</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names ending with comma</w:t>
            </w:r>
          </w:p>
        </w:tc>
        <w:tc>
          <w:tcPr>
            <w:tcW w:type="dxa" w:w="2880"/>
            <w:tcMar>
              <w:top w:w="80" w:type="dxa"/>
              <w:start w:w="90" w:type="dxa"/>
              <w:bottom w:w="80" w:type="dxa"/>
              <w:end w:w="90" w:type="dxa"/>
            </w:tcMar>
            <w:vAlign w:val="top"/>
          </w:tcPr>
          <w:p>
            <w:pPr>
              <w:spacing w:after="0"/>
            </w:pPr>
            <w:r>
              <w:rPr>
                <w:rFonts w:ascii="Aptos" w:hAnsi="Aptos"/>
                <w:b w:val="0"/>
                <w:i w:val="0"/>
                <w:sz w:val="17"/>
              </w:rPr>
              <w:t>92</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Canonical names containing consecutive commas</w:t>
            </w:r>
          </w:p>
        </w:tc>
        <w:tc>
          <w:tcPr>
            <w:tcW w:type="dxa" w:w="2880"/>
            <w:tcMar>
              <w:top w:w="80" w:type="dxa"/>
              <w:start w:w="90" w:type="dxa"/>
              <w:bottom w:w="80" w:type="dxa"/>
              <w:end w:w="90" w:type="dxa"/>
            </w:tcMar>
            <w:vAlign w:val="top"/>
          </w:tcPr>
          <w:p>
            <w:pPr>
              <w:spacing w:after="0"/>
            </w:pPr>
            <w:r>
              <w:rPr>
                <w:rFonts w:ascii="Aptos" w:hAnsi="Aptos"/>
                <w:b w:val="0"/>
                <w:i w:val="0"/>
                <w:sz w:val="17"/>
              </w:rPr>
              <w:t>2</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Funding rows containing empty comma chunks</w:t>
            </w:r>
          </w:p>
        </w:tc>
        <w:tc>
          <w:tcPr>
            <w:tcW w:type="dxa" w:w="2880"/>
            <w:tcMar>
              <w:top w:w="80" w:type="dxa"/>
              <w:start w:w="90" w:type="dxa"/>
              <w:bottom w:w="80" w:type="dxa"/>
              <w:end w:w="90" w:type="dxa"/>
            </w:tcMar>
            <w:vAlign w:val="top"/>
          </w:tcPr>
          <w:p>
            <w:pPr>
              <w:spacing w:after="0"/>
            </w:pPr>
            <w:r>
              <w:rPr>
                <w:rFonts w:ascii="Aptos" w:hAnsi="Aptos"/>
                <w:b w:val="0"/>
                <w:i w:val="0"/>
                <w:sz w:val="17"/>
              </w:rPr>
              <w:t>103</w:t>
            </w:r>
          </w:p>
        </w:tc>
      </w:tr>
    </w:tbl>
    <w:p>
      <w:pPr>
        <w:widowControl/>
        <w:spacing w:after="20"/>
      </w:pPr>
    </w:p>
    <w:p>
      <w:pPr>
        <w:widowControl/>
        <w:spacing w:after="100" w:line="252" w:lineRule="auto"/>
      </w:pPr>
      <w:r>
        <w:rPr>
          <w:rFonts w:ascii="Aptos" w:hAnsi="Aptos"/>
          <w:b w:val="0"/>
          <w:i w:val="0"/>
          <w:sz w:val="21"/>
        </w:rPr>
        <w:t>For four empty-chunk cases, both the strict canonical interpretation and a repaired interpretation after removing the empty chunk were possible. The strict source-supported result was retained while the alternative was stored in alternate_repair_solution rather than silently chosen.</w:t>
      </w:r>
    </w:p>
    <w:p>
      <w:pPr>
        <w:pStyle w:val="Heading2"/>
        <w:keepNext/>
        <w:spacing w:before="120" w:after="80"/>
      </w:pPr>
      <w:r>
        <w:rPr>
          <w:rFonts w:ascii="Aptos" w:hAnsi="Aptos"/>
          <w:b/>
          <w:i w:val="0"/>
          <w:color w:val="1F1F1F"/>
          <w:sz w:val="23"/>
        </w:rPr>
        <w:t>4.5 Investor ID resolution policy and outcome</w:t>
      </w:r>
    </w:p>
    <w:p>
      <w:pPr>
        <w:widowControl/>
        <w:spacing w:after="100" w:line="252" w:lineRule="auto"/>
      </w:pPr>
      <w:r>
        <w:rPr>
          <w:rFonts w:ascii="Aptos" w:hAnsi="Aptos"/>
          <w:b w:val="0"/>
          <w:i w:val="0"/>
          <w:sz w:val="21"/>
        </w:rPr>
        <w:t>Investor names were never treated as IDs. A canonical name mapping to exactly one Crunchbase ID was accepted. A name mapping to multiple IDs remained unresolved and retained all candidate IDs. A name absent from the master remained unmatched.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032"/>
            <w:shd w:fill="E7E6E6"/>
            <w:tcMar>
              <w:top w:w="80" w:type="dxa"/>
              <w:start w:w="90" w:type="dxa"/>
              <w:bottom w:w="80" w:type="dxa"/>
              <w:end w:w="90" w:type="dxa"/>
            </w:tcMar>
            <w:vAlign w:val="center"/>
          </w:tcPr>
          <w:p>
            <w:pPr>
              <w:jc w:val="left"/>
            </w:pPr>
            <w:r>
              <w:rPr>
                <w:rFonts w:ascii="Aptos" w:hAnsi="Aptos"/>
                <w:b/>
                <w:i w:val="0"/>
                <w:sz w:val="17"/>
              </w:rPr>
              <w:t>Investor resolution status</w:t>
            </w:r>
          </w:p>
        </w:tc>
        <w:tc>
          <w:tcPr>
            <w:tcW w:type="dxa" w:w="2304"/>
            <w:shd w:fill="E7E6E6"/>
            <w:tcMar>
              <w:top w:w="80" w:type="dxa"/>
              <w:start w:w="90" w:type="dxa"/>
              <w:bottom w:w="80" w:type="dxa"/>
              <w:end w:w="90" w:type="dxa"/>
            </w:tcMar>
            <w:vAlign w:val="center"/>
          </w:tcPr>
          <w:p>
            <w:pPr>
              <w:jc w:val="left"/>
            </w:pPr>
            <w:r>
              <w:rPr>
                <w:rFonts w:ascii="Aptos" w:hAnsi="Aptos"/>
                <w:b/>
                <w:i w:val="0"/>
                <w:sz w:val="17"/>
              </w:rPr>
              <w:t>Mentions</w:t>
            </w:r>
          </w:p>
        </w:tc>
        <w:tc>
          <w:tcPr>
            <w:tcW w:type="dxa" w:w="2304"/>
            <w:shd w:fill="E7E6E6"/>
            <w:tcMar>
              <w:top w:w="80" w:type="dxa"/>
              <w:start w:w="90" w:type="dxa"/>
              <w:bottom w:w="80" w:type="dxa"/>
              <w:end w:w="90" w:type="dxa"/>
            </w:tcMar>
            <w:vAlign w:val="center"/>
          </w:tcPr>
          <w:p>
            <w:pPr>
              <w:jc w:val="left"/>
            </w:pPr>
            <w:r>
              <w:rPr>
                <w:rFonts w:ascii="Aptos" w:hAnsi="Aptos"/>
                <w:b/>
                <w:i w:val="0"/>
                <w:sz w:val="17"/>
              </w:rPr>
              <w:t>Approx. share</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7"/>
              </w:rPr>
              <w:t>resolved_unique</w:t>
            </w:r>
          </w:p>
        </w:tc>
        <w:tc>
          <w:tcPr>
            <w:tcW w:type="dxa" w:w="2304"/>
            <w:tcMar>
              <w:top w:w="80" w:type="dxa"/>
              <w:start w:w="90" w:type="dxa"/>
              <w:bottom w:w="80" w:type="dxa"/>
              <w:end w:w="90" w:type="dxa"/>
            </w:tcMar>
            <w:vAlign w:val="top"/>
          </w:tcPr>
          <w:p>
            <w:pPr>
              <w:spacing w:after="0"/>
            </w:pPr>
            <w:r>
              <w:rPr>
                <w:rFonts w:ascii="Aptos" w:hAnsi="Aptos"/>
                <w:b w:val="0"/>
                <w:i w:val="0"/>
                <w:sz w:val="17"/>
              </w:rPr>
              <w:t>1,221,062</w:t>
            </w:r>
          </w:p>
        </w:tc>
        <w:tc>
          <w:tcPr>
            <w:tcW w:type="dxa" w:w="2304"/>
            <w:tcMar>
              <w:top w:w="80" w:type="dxa"/>
              <w:start w:w="90" w:type="dxa"/>
              <w:bottom w:w="80" w:type="dxa"/>
              <w:end w:w="90" w:type="dxa"/>
            </w:tcMar>
            <w:vAlign w:val="top"/>
          </w:tcPr>
          <w:p>
            <w:pPr>
              <w:spacing w:after="0"/>
            </w:pPr>
            <w:r>
              <w:rPr>
                <w:rFonts w:ascii="Aptos" w:hAnsi="Aptos"/>
                <w:b w:val="0"/>
                <w:i w:val="0"/>
                <w:sz w:val="17"/>
              </w:rPr>
              <w:t>91.43%</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7"/>
              </w:rPr>
              <w:t>ambiguous_multiple_ids</w:t>
            </w:r>
          </w:p>
        </w:tc>
        <w:tc>
          <w:tcPr>
            <w:tcW w:type="dxa" w:w="2304"/>
            <w:tcMar>
              <w:top w:w="80" w:type="dxa"/>
              <w:start w:w="90" w:type="dxa"/>
              <w:bottom w:w="80" w:type="dxa"/>
              <w:end w:w="90" w:type="dxa"/>
            </w:tcMar>
            <w:vAlign w:val="top"/>
          </w:tcPr>
          <w:p>
            <w:pPr>
              <w:spacing w:after="0"/>
            </w:pPr>
            <w:r>
              <w:rPr>
                <w:rFonts w:ascii="Aptos" w:hAnsi="Aptos"/>
                <w:b w:val="0"/>
                <w:i w:val="0"/>
                <w:sz w:val="17"/>
              </w:rPr>
              <w:t>114,471</w:t>
            </w:r>
          </w:p>
        </w:tc>
        <w:tc>
          <w:tcPr>
            <w:tcW w:type="dxa" w:w="2304"/>
            <w:tcMar>
              <w:top w:w="80" w:type="dxa"/>
              <w:start w:w="90" w:type="dxa"/>
              <w:bottom w:w="80" w:type="dxa"/>
              <w:end w:w="90" w:type="dxa"/>
            </w:tcMar>
            <w:vAlign w:val="top"/>
          </w:tcPr>
          <w:p>
            <w:pPr>
              <w:spacing w:after="0"/>
            </w:pPr>
            <w:r>
              <w:rPr>
                <w:rFonts w:ascii="Aptos" w:hAnsi="Aptos"/>
                <w:b w:val="0"/>
                <w:i w:val="0"/>
                <w:sz w:val="17"/>
              </w:rPr>
              <w:t>8.57%</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7"/>
              </w:rPr>
              <w:t>unmatched_master</w:t>
            </w:r>
          </w:p>
        </w:tc>
        <w:tc>
          <w:tcPr>
            <w:tcW w:type="dxa" w:w="2304"/>
            <w:tcMar>
              <w:top w:w="80" w:type="dxa"/>
              <w:start w:w="90" w:type="dxa"/>
              <w:bottom w:w="80" w:type="dxa"/>
              <w:end w:w="90" w:type="dxa"/>
            </w:tcMar>
            <w:vAlign w:val="top"/>
          </w:tcPr>
          <w:p>
            <w:pPr>
              <w:spacing w:after="0"/>
            </w:pPr>
            <w:r>
              <w:rPr>
                <w:rFonts w:ascii="Aptos" w:hAnsi="Aptos"/>
                <w:b w:val="0"/>
                <w:i w:val="0"/>
                <w:sz w:val="17"/>
              </w:rPr>
              <w:t>17</w:t>
            </w:r>
          </w:p>
        </w:tc>
        <w:tc>
          <w:tcPr>
            <w:tcW w:type="dxa" w:w="2304"/>
            <w:tcMar>
              <w:top w:w="80" w:type="dxa"/>
              <w:start w:w="90" w:type="dxa"/>
              <w:bottom w:w="80" w:type="dxa"/>
              <w:end w:w="90" w:type="dxa"/>
            </w:tcMar>
            <w:vAlign w:val="top"/>
          </w:tcPr>
          <w:p>
            <w:pPr>
              <w:spacing w:after="0"/>
            </w:pPr>
            <w:r>
              <w:rPr>
                <w:rFonts w:ascii="Aptos" w:hAnsi="Aptos"/>
                <w:b w:val="0"/>
                <w:i w:val="0"/>
                <w:sz w:val="17"/>
              </w:rPr>
              <w:t>~0.001%</w:t>
            </w:r>
          </w:p>
        </w:tc>
      </w:tr>
    </w:tbl>
    <w:p>
      <w:pPr>
        <w:widowControl/>
        <w:spacing w:after="20"/>
      </w:pP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Rejected heuristics: </w:t>
            </w:r>
            <w:r>
              <w:rPr>
                <w:rFonts w:ascii="Aptos" w:hAnsi="Aptos"/>
                <w:b w:val="0"/>
                <w:i w:val="0"/>
                <w:sz w:val="19"/>
              </w:rPr>
              <w:t>The pipeline never selected the first ID, the most common ID, the largest investor, or a random ID when a canonical name mapped to multiple investor entities.</w:t>
            </w:r>
          </w:p>
        </w:tc>
      </w:tr>
    </w:tbl>
    <w:p>
      <w:pPr>
        <w:widowControl/>
        <w:spacing w:after="20"/>
      </w:pPr>
    </w:p>
    <w:p>
      <w:pPr>
        <w:widowControl/>
        <w:spacing w:after="100" w:line="252" w:lineRule="auto"/>
      </w:pPr>
      <w:r>
        <w:rPr>
          <w:rFonts w:ascii="Aptos" w:hAnsi="Aptos"/>
          <w:b w:val="0"/>
          <w:i w:val="0"/>
          <w:sz w:val="21"/>
        </w:rPr>
        <w:t>Investor ambiguity remains the largest unresolved identity bottleneck because the funding list does not provide a per-investor UUID, URL, or website. Further investor disambiguation would require additional evidence and should be treated as an optional later extension rather than silently folded into the primary reproduction.</w:t>
      </w:r>
    </w:p>
    <w:p>
      <w:pPr>
        <w:pStyle w:val="Heading1"/>
        <w:keepNext/>
        <w:spacing w:before="180" w:after="80"/>
      </w:pPr>
      <w:r>
        <w:rPr>
          <w:rFonts w:ascii="Aptos" w:hAnsi="Aptos"/>
          <w:b/>
          <w:i w:val="0"/>
          <w:color w:val="1F1F1F"/>
          <w:sz w:val="28"/>
        </w:rPr>
        <w:t>5. Startup / Company Resolution</w:t>
      </w:r>
    </w:p>
    <w:p>
      <w:pPr>
        <w:pStyle w:val="Heading2"/>
        <w:keepNext/>
        <w:spacing w:before="120" w:after="80"/>
      </w:pPr>
      <w:r>
        <w:rPr>
          <w:rFonts w:ascii="Aptos" w:hAnsi="Aptos"/>
          <w:b/>
          <w:i w:val="0"/>
          <w:color w:val="1F1F1F"/>
          <w:sz w:val="23"/>
        </w:rPr>
        <w:t>5.1 Exact-name matching</w:t>
      </w:r>
    </w:p>
    <w:p>
      <w:pPr>
        <w:widowControl/>
        <w:spacing w:after="100" w:line="252" w:lineRule="auto"/>
      </w:pPr>
      <w:r>
        <w:rPr>
          <w:rFonts w:ascii="Aptos" w:hAnsi="Aptos"/>
          <w:b w:val="0"/>
          <w:i w:val="0"/>
          <w:sz w:val="21"/>
        </w:rPr>
        <w:t>Startup names were initially normalized only by trimming surrounding whitespace. No lowercasing, punctuation removal, legal-suffix removal, accent removal, fuzzy matching, or manual replacement was used. This kept the first-stage resolver deliberately conservative.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Unique startup-name status</w:t>
            </w:r>
          </w:p>
        </w:tc>
        <w:tc>
          <w:tcPr>
            <w:tcW w:type="dxa" w:w="2880"/>
            <w:shd w:fill="E7E6E6"/>
            <w:tcMar>
              <w:top w:w="80" w:type="dxa"/>
              <w:start w:w="90" w:type="dxa"/>
              <w:bottom w:w="80" w:type="dxa"/>
              <w:end w:w="90" w:type="dxa"/>
            </w:tcMar>
            <w:vAlign w:val="center"/>
          </w:tcPr>
          <w:p>
            <w:pPr>
              <w:jc w:val="left"/>
            </w:pPr>
            <w:r>
              <w:rPr>
                <w:rFonts w:ascii="Aptos" w:hAnsi="Aptos"/>
                <w:b/>
                <w:i w:val="0"/>
                <w:sz w:val="17"/>
              </w:rPr>
              <w:t>Count</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Resolved to one company ID</w:t>
            </w:r>
          </w:p>
        </w:tc>
        <w:tc>
          <w:tcPr>
            <w:tcW w:type="dxa" w:w="2880"/>
            <w:tcMar>
              <w:top w:w="80" w:type="dxa"/>
              <w:start w:w="90" w:type="dxa"/>
              <w:bottom w:w="80" w:type="dxa"/>
              <w:end w:w="90" w:type="dxa"/>
            </w:tcMar>
            <w:vAlign w:val="top"/>
          </w:tcPr>
          <w:p>
            <w:pPr>
              <w:spacing w:after="0"/>
            </w:pPr>
            <w:r>
              <w:rPr>
                <w:rFonts w:ascii="Aptos" w:hAnsi="Aptos"/>
                <w:b w:val="0"/>
                <w:i w:val="0"/>
                <w:sz w:val="17"/>
              </w:rPr>
              <w:t>283,704</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Ambiguous: multiple company IDs</w:t>
            </w:r>
          </w:p>
        </w:tc>
        <w:tc>
          <w:tcPr>
            <w:tcW w:type="dxa" w:w="2880"/>
            <w:tcMar>
              <w:top w:w="80" w:type="dxa"/>
              <w:start w:w="90" w:type="dxa"/>
              <w:bottom w:w="80" w:type="dxa"/>
              <w:end w:w="90" w:type="dxa"/>
            </w:tcMar>
            <w:vAlign w:val="top"/>
          </w:tcPr>
          <w:p>
            <w:pPr>
              <w:spacing w:after="0"/>
            </w:pPr>
            <w:r>
              <w:rPr>
                <w:rFonts w:ascii="Aptos" w:hAnsi="Aptos"/>
                <w:b w:val="0"/>
                <w:i w:val="0"/>
                <w:sz w:val="17"/>
              </w:rPr>
              <w:t>32,306</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Unmatched in company master</w:t>
            </w:r>
          </w:p>
        </w:tc>
        <w:tc>
          <w:tcPr>
            <w:tcW w:type="dxa" w:w="2880"/>
            <w:tcMar>
              <w:top w:w="80" w:type="dxa"/>
              <w:start w:w="90" w:type="dxa"/>
              <w:bottom w:w="80" w:type="dxa"/>
              <w:end w:w="90" w:type="dxa"/>
            </w:tcMar>
            <w:vAlign w:val="top"/>
          </w:tcPr>
          <w:p>
            <w:pPr>
              <w:spacing w:after="0"/>
            </w:pPr>
            <w:r>
              <w:rPr>
                <w:rFonts w:ascii="Aptos" w:hAnsi="Aptos"/>
                <w:b w:val="0"/>
                <w:i w:val="0"/>
                <w:sz w:val="17"/>
              </w:rPr>
              <w:t>4,094</w:t>
            </w:r>
          </w:p>
        </w:tc>
      </w:tr>
    </w:tbl>
    <w:p>
      <w:pPr>
        <w:widowControl/>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Investor-mention-level startup status</w:t>
            </w:r>
          </w:p>
        </w:tc>
        <w:tc>
          <w:tcPr>
            <w:tcW w:type="dxa" w:w="2880"/>
            <w:shd w:fill="E7E6E6"/>
            <w:tcMar>
              <w:top w:w="80" w:type="dxa"/>
              <w:start w:w="90" w:type="dxa"/>
              <w:bottom w:w="80" w:type="dxa"/>
              <w:end w:w="90" w:type="dxa"/>
            </w:tcMar>
            <w:vAlign w:val="center"/>
          </w:tcPr>
          <w:p>
            <w:pPr>
              <w:jc w:val="left"/>
            </w:pPr>
            <w:r>
              <w:rPr>
                <w:rFonts w:ascii="Aptos" w:hAnsi="Aptos"/>
                <w:b/>
                <w:i w:val="0"/>
                <w:sz w:val="17"/>
              </w:rPr>
              <w:t>Mentions</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Exact-name unique</w:t>
            </w:r>
          </w:p>
        </w:tc>
        <w:tc>
          <w:tcPr>
            <w:tcW w:type="dxa" w:w="2880"/>
            <w:tcMar>
              <w:top w:w="80" w:type="dxa"/>
              <w:start w:w="90" w:type="dxa"/>
              <w:bottom w:w="80" w:type="dxa"/>
              <w:end w:w="90" w:type="dxa"/>
            </w:tcMar>
            <w:vAlign w:val="top"/>
          </w:tcPr>
          <w:p>
            <w:pPr>
              <w:spacing w:after="0"/>
            </w:pPr>
            <w:r>
              <w:rPr>
                <w:rFonts w:ascii="Aptos" w:hAnsi="Aptos"/>
                <w:b w:val="0"/>
                <w:i w:val="0"/>
                <w:sz w:val="17"/>
              </w:rPr>
              <w:t>1,089,327</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Exact-name ambiguous</w:t>
            </w:r>
          </w:p>
        </w:tc>
        <w:tc>
          <w:tcPr>
            <w:tcW w:type="dxa" w:w="2880"/>
            <w:tcMar>
              <w:top w:w="80" w:type="dxa"/>
              <w:start w:w="90" w:type="dxa"/>
              <w:bottom w:w="80" w:type="dxa"/>
              <w:end w:w="90" w:type="dxa"/>
            </w:tcMar>
            <w:vAlign w:val="top"/>
          </w:tcPr>
          <w:p>
            <w:pPr>
              <w:spacing w:after="0"/>
            </w:pPr>
            <w:r>
              <w:rPr>
                <w:rFonts w:ascii="Aptos" w:hAnsi="Aptos"/>
                <w:b w:val="0"/>
                <w:i w:val="0"/>
                <w:sz w:val="17"/>
              </w:rPr>
              <w:t>239,132</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Exact-name unmatched</w:t>
            </w:r>
          </w:p>
        </w:tc>
        <w:tc>
          <w:tcPr>
            <w:tcW w:type="dxa" w:w="2880"/>
            <w:tcMar>
              <w:top w:w="80" w:type="dxa"/>
              <w:start w:w="90" w:type="dxa"/>
              <w:bottom w:w="80" w:type="dxa"/>
              <w:end w:w="90" w:type="dxa"/>
            </w:tcMar>
            <w:vAlign w:val="top"/>
          </w:tcPr>
          <w:p>
            <w:pPr>
              <w:spacing w:after="0"/>
            </w:pPr>
            <w:r>
              <w:rPr>
                <w:rFonts w:ascii="Aptos" w:hAnsi="Aptos"/>
                <w:b w:val="0"/>
                <w:i w:val="0"/>
                <w:sz w:val="17"/>
              </w:rPr>
              <w:t>7,091</w:t>
            </w:r>
          </w:p>
        </w:tc>
      </w:tr>
    </w:tbl>
    <w:p>
      <w:pPr>
        <w:widowControl/>
        <w:spacing w:after="20"/>
      </w:pPr>
    </w:p>
    <w:p>
      <w:pPr>
        <w:widowControl/>
        <w:spacing w:after="100" w:line="252" w:lineRule="auto"/>
      </w:pPr>
      <w:r>
        <w:rPr>
          <w:rFonts w:ascii="Aptos" w:hAnsi="Aptos"/>
          <w:b w:val="0"/>
          <w:i w:val="0"/>
          <w:sz w:val="21"/>
        </w:rPr>
        <w:t>Exact-name resolution alone would resolve approximately 81.56% of investor mentions. This was insufficient because generic company names can map to many legitimate entities. Examples in the company master included Atlas (70 IDs), Spark (69), Synergy (67), Bloom (64), Aurora (43), and Scout (43).</w:t>
      </w:r>
    </w:p>
    <w:p>
      <w:pPr>
        <w:pStyle w:val="Heading2"/>
        <w:keepNext/>
        <w:spacing w:before="120" w:after="80"/>
      </w:pPr>
      <w:r>
        <w:rPr>
          <w:rFonts w:ascii="Aptos" w:hAnsi="Aptos"/>
          <w:b/>
          <w:i w:val="0"/>
          <w:color w:val="1F1F1F"/>
          <w:sz w:val="23"/>
        </w:rPr>
        <w:t>5.2 Website identity audit</w:t>
      </w:r>
    </w:p>
    <w:p>
      <w:pPr>
        <w:widowControl/>
        <w:spacing w:after="100" w:line="252" w:lineRule="auto"/>
      </w:pPr>
      <w:r>
        <w:rPr>
          <w:rFonts w:ascii="Aptos" w:hAnsi="Aptos"/>
          <w:b w:val="0"/>
          <w:i w:val="0"/>
          <w:sz w:val="21"/>
        </w:rPr>
        <w:t>Both funding records and company records contain website fields. Exact website equality was not used as a resolver until it had been validated against a control population in which the company name already resolved uniquely.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048"/>
            <w:shd w:fill="E7E6E6"/>
            <w:tcMar>
              <w:top w:w="80" w:type="dxa"/>
              <w:start w:w="90" w:type="dxa"/>
              <w:bottom w:w="80" w:type="dxa"/>
              <w:end w:w="90" w:type="dxa"/>
            </w:tcMar>
            <w:vAlign w:val="center"/>
          </w:tcPr>
          <w:p>
            <w:pPr>
              <w:jc w:val="left"/>
            </w:pPr>
            <w:r>
              <w:rPr>
                <w:rFonts w:ascii="Aptos" w:hAnsi="Aptos"/>
                <w:b/>
                <w:i w:val="0"/>
                <w:sz w:val="17"/>
              </w:rPr>
              <w:t>Website identity metric</w:t>
            </w:r>
          </w:p>
        </w:tc>
        <w:tc>
          <w:tcPr>
            <w:tcW w:type="dxa" w:w="2592"/>
            <w:shd w:fill="E7E6E6"/>
            <w:tcMar>
              <w:top w:w="80" w:type="dxa"/>
              <w:start w:w="90" w:type="dxa"/>
              <w:bottom w:w="80" w:type="dxa"/>
              <w:end w:w="90" w:type="dxa"/>
            </w:tcMar>
            <w:vAlign w:val="center"/>
          </w:tcPr>
          <w:p>
            <w:pPr>
              <w:jc w:val="left"/>
            </w:pPr>
            <w:r>
              <w:rPr>
                <w:rFonts w:ascii="Aptos" w:hAnsi="Aptos"/>
                <w:b/>
                <w:i w:val="0"/>
                <w:sz w:val="17"/>
              </w:rPr>
              <w:t>Result</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Exact website groups mapping to one company ID</w:t>
            </w:r>
          </w:p>
        </w:tc>
        <w:tc>
          <w:tcPr>
            <w:tcW w:type="dxa" w:w="2592"/>
            <w:tcMar>
              <w:top w:w="80" w:type="dxa"/>
              <w:start w:w="90" w:type="dxa"/>
              <w:bottom w:w="80" w:type="dxa"/>
              <w:end w:w="90" w:type="dxa"/>
            </w:tcMar>
            <w:vAlign w:val="top"/>
          </w:tcPr>
          <w:p>
            <w:pPr>
              <w:spacing w:after="0"/>
            </w:pPr>
            <w:r>
              <w:rPr>
                <w:rFonts w:ascii="Aptos" w:hAnsi="Aptos"/>
                <w:b w:val="0"/>
                <w:i w:val="0"/>
                <w:sz w:val="17"/>
              </w:rPr>
              <w:t>4,566,282</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Exact website groups mapping to multiple company IDs</w:t>
            </w:r>
          </w:p>
        </w:tc>
        <w:tc>
          <w:tcPr>
            <w:tcW w:type="dxa" w:w="2592"/>
            <w:tcMar>
              <w:top w:w="80" w:type="dxa"/>
              <w:start w:w="90" w:type="dxa"/>
              <w:bottom w:w="80" w:type="dxa"/>
              <w:end w:w="90" w:type="dxa"/>
            </w:tcMar>
            <w:vAlign w:val="top"/>
          </w:tcPr>
          <w:p>
            <w:pPr>
              <w:spacing w:after="0"/>
            </w:pPr>
            <w:r>
              <w:rPr>
                <w:rFonts w:ascii="Aptos" w:hAnsi="Aptos"/>
                <w:b w:val="0"/>
                <w:i w:val="0"/>
                <w:sz w:val="17"/>
              </w:rPr>
              <w:t>9,579</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Unique-name + unique-website validation agreements</w:t>
            </w:r>
          </w:p>
        </w:tc>
        <w:tc>
          <w:tcPr>
            <w:tcW w:type="dxa" w:w="2592"/>
            <w:tcMar>
              <w:top w:w="80" w:type="dxa"/>
              <w:start w:w="90" w:type="dxa"/>
              <w:bottom w:w="80" w:type="dxa"/>
              <w:end w:w="90" w:type="dxa"/>
            </w:tcMar>
            <w:vAlign w:val="top"/>
          </w:tcPr>
          <w:p>
            <w:pPr>
              <w:spacing w:after="0"/>
            </w:pPr>
            <w:r>
              <w:rPr>
                <w:rFonts w:ascii="Aptos" w:hAnsi="Aptos"/>
                <w:b w:val="0"/>
                <w:i w:val="0"/>
                <w:sz w:val="17"/>
              </w:rPr>
              <w:t>495,869</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Unique-name + unique-website validation conflicts</w:t>
            </w:r>
          </w:p>
        </w:tc>
        <w:tc>
          <w:tcPr>
            <w:tcW w:type="dxa" w:w="2592"/>
            <w:tcMar>
              <w:top w:w="80" w:type="dxa"/>
              <w:start w:w="90" w:type="dxa"/>
              <w:bottom w:w="80" w:type="dxa"/>
              <w:end w:w="90" w:type="dxa"/>
            </w:tcMar>
            <w:vAlign w:val="top"/>
          </w:tcPr>
          <w:p>
            <w:pPr>
              <w:spacing w:after="0"/>
            </w:pPr>
            <w:r>
              <w:rPr>
                <w:rFonts w:ascii="Aptos" w:hAnsi="Aptos"/>
                <w:b w:val="0"/>
                <w:i w:val="0"/>
                <w:sz w:val="17"/>
              </w:rPr>
              <w:t>0</w:t>
            </w:r>
          </w:p>
        </w:tc>
      </w:tr>
    </w:tbl>
    <w:p>
      <w:pPr>
        <w:widowControl/>
        <w:spacing w:after="20"/>
      </w:pPr>
    </w:p>
    <w:p>
      <w:pPr>
        <w:widowControl/>
        <w:spacing w:after="100" w:line="252" w:lineRule="auto"/>
      </w:pPr>
      <w:r>
        <w:rPr>
          <w:rFonts w:ascii="Aptos" w:hAnsi="Aptos"/>
          <w:b w:val="0"/>
          <w:i w:val="0"/>
          <w:sz w:val="21"/>
        </w:rPr>
        <w:t>Because all 495,869 control cases agreed, exact website equality became a strong secondary identity signal for ambiguous company names in this export.</w:t>
      </w:r>
    </w:p>
    <w:p>
      <w:pPr>
        <w:pStyle w:val="Heading2"/>
        <w:keepNext/>
        <w:spacing w:before="120" w:after="80"/>
      </w:pPr>
      <w:r>
        <w:rPr>
          <w:rFonts w:ascii="Aptos" w:hAnsi="Aptos"/>
          <w:b/>
          <w:i w:val="0"/>
          <w:color w:val="1F1F1F"/>
          <w:sz w:val="23"/>
        </w:rPr>
        <w:t>5.3 Website-assisted disambiguation rule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If exact name -&gt; {ID_A, ID_B, ID_C, ...}</w:t>
            </w:r>
            <w:r>
              <w:br/>
            </w:r>
            <w:r>
              <w:rPr>
                <w:rFonts w:ascii="Menlo" w:hAnsi="Menlo"/>
                <w:b w:val="0"/>
                <w:i w:val="0"/>
                <w:sz w:val="17"/>
              </w:rPr>
              <w:t>and exact website -&gt; ID_B</w:t>
            </w:r>
            <w:r>
              <w:br/>
            </w:r>
            <w:r>
              <w:rPr>
                <w:rFonts w:ascii="Menlo" w:hAnsi="Menlo"/>
                <w:b w:val="0"/>
                <w:i w:val="0"/>
                <w:sz w:val="17"/>
              </w:rPr>
              <w:t>and ID_B is one of the name candidates</w:t>
            </w:r>
            <w:r>
              <w:br/>
            </w:r>
            <w:r>
              <w:rPr>
                <w:rFonts w:ascii="Menlo" w:hAnsi="Menlo"/>
                <w:b w:val="0"/>
                <w:i w:val="0"/>
                <w:sz w:val="17"/>
              </w:rPr>
              <w:t>then accept ID_B as resolved_by_name_and_website.</w:t>
            </w:r>
          </w:p>
        </w:tc>
      </w:tr>
    </w:tbl>
    <w:p>
      <w:pPr>
        <w:widowControl/>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048"/>
            <w:shd w:fill="E7E6E6"/>
            <w:tcMar>
              <w:top w:w="80" w:type="dxa"/>
              <w:start w:w="90" w:type="dxa"/>
              <w:bottom w:w="80" w:type="dxa"/>
              <w:end w:w="90" w:type="dxa"/>
            </w:tcMar>
            <w:vAlign w:val="center"/>
          </w:tcPr>
          <w:p>
            <w:pPr>
              <w:jc w:val="left"/>
            </w:pPr>
            <w:r>
              <w:rPr>
                <w:rFonts w:ascii="Aptos" w:hAnsi="Aptos"/>
                <w:b/>
                <w:i w:val="0"/>
                <w:sz w:val="17"/>
              </w:rPr>
              <w:t>Website-assisted ambiguity audit</w:t>
            </w:r>
          </w:p>
        </w:tc>
        <w:tc>
          <w:tcPr>
            <w:tcW w:type="dxa" w:w="2592"/>
            <w:shd w:fill="E7E6E6"/>
            <w:tcMar>
              <w:top w:w="80" w:type="dxa"/>
              <w:start w:w="90" w:type="dxa"/>
              <w:bottom w:w="80" w:type="dxa"/>
              <w:end w:w="90" w:type="dxa"/>
            </w:tcMar>
            <w:vAlign w:val="center"/>
          </w:tcPr>
          <w:p>
            <w:pPr>
              <w:jc w:val="left"/>
            </w:pPr>
            <w:r>
              <w:rPr>
                <w:rFonts w:ascii="Aptos" w:hAnsi="Aptos"/>
                <w:b/>
                <w:i w:val="0"/>
                <w:sz w:val="17"/>
              </w:rPr>
              <w:t>Funding rounds</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Website selected an existing name candidate</w:t>
            </w:r>
          </w:p>
        </w:tc>
        <w:tc>
          <w:tcPr>
            <w:tcW w:type="dxa" w:w="2592"/>
            <w:tcMar>
              <w:top w:w="80" w:type="dxa"/>
              <w:start w:w="90" w:type="dxa"/>
              <w:bottom w:w="80" w:type="dxa"/>
              <w:end w:w="90" w:type="dxa"/>
            </w:tcMar>
            <w:vAlign w:val="top"/>
          </w:tcPr>
          <w:p>
            <w:pPr>
              <w:spacing w:after="0"/>
            </w:pPr>
            <w:r>
              <w:rPr>
                <w:rFonts w:ascii="Aptos" w:hAnsi="Aptos"/>
                <w:b w:val="0"/>
                <w:i w:val="0"/>
                <w:sz w:val="17"/>
              </w:rPr>
              <w:t>83,246</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Website selected an ID outside the name candidate set</w:t>
            </w:r>
          </w:p>
        </w:tc>
        <w:tc>
          <w:tcPr>
            <w:tcW w:type="dxa" w:w="2592"/>
            <w:tcMar>
              <w:top w:w="80" w:type="dxa"/>
              <w:start w:w="90" w:type="dxa"/>
              <w:bottom w:w="80" w:type="dxa"/>
              <w:end w:w="90" w:type="dxa"/>
            </w:tcMar>
            <w:vAlign w:val="top"/>
          </w:tcPr>
          <w:p>
            <w:pPr>
              <w:spacing w:after="0"/>
            </w:pPr>
            <w:r>
              <w:rPr>
                <w:rFonts w:ascii="Aptos" w:hAnsi="Aptos"/>
                <w:b w:val="0"/>
                <w:i w:val="0"/>
                <w:sz w:val="17"/>
              </w:rPr>
              <w:t>4</w:t>
            </w:r>
          </w:p>
        </w:tc>
      </w:tr>
    </w:tbl>
    <w:p>
      <w:pPr>
        <w:widowControl/>
        <w:spacing w:after="20"/>
      </w:pPr>
    </w:p>
    <w:p>
      <w:pPr>
        <w:widowControl/>
        <w:spacing w:after="100" w:line="252" w:lineRule="auto"/>
      </w:pPr>
      <w:r>
        <w:rPr>
          <w:rFonts w:ascii="Aptos" w:hAnsi="Aptos"/>
          <w:b w:val="0"/>
          <w:i w:val="0"/>
          <w:sz w:val="21"/>
        </w:rPr>
        <w:t>The four name/website conflicts were not accepted. Website evidence was allowed to disambiguate only inside the exact-name candidate set.</w:t>
      </w:r>
    </w:p>
    <w:p>
      <w:pPr>
        <w:pStyle w:val="Heading2"/>
        <w:keepNext/>
        <w:spacing w:before="120" w:after="80"/>
      </w:pPr>
      <w:r>
        <w:rPr>
          <w:rFonts w:ascii="Aptos" w:hAnsi="Aptos"/>
          <w:b/>
          <w:i w:val="0"/>
          <w:color w:val="1F1F1F"/>
          <w:sz w:val="23"/>
        </w:rPr>
        <w:t>5.4 Website-only candidates were not automatically accepted</w:t>
      </w:r>
    </w:p>
    <w:p>
      <w:pPr>
        <w:widowControl/>
        <w:spacing w:after="100" w:line="252" w:lineRule="auto"/>
      </w:pPr>
      <w:r>
        <w:rPr>
          <w:rFonts w:ascii="Aptos" w:hAnsi="Aptos"/>
          <w:b w:val="0"/>
          <w:i w:val="0"/>
          <w:sz w:val="21"/>
        </w:rPr>
        <w:t>There were 38 funding rounds in which the organization name did not match the company master but the exact website mapped uniquely to a company ID. These were preserved as unresolved_website_only_candidate rather than automatically accepted because website reuse can occur among related organizations, schools, government entities, or broader institutions. The pipeline therefore preferred a slightly smaller but more defensible dataset over forced identity equivalence.</w:t>
      </w:r>
    </w:p>
    <w:p>
      <w:pPr>
        <w:pStyle w:val="Heading2"/>
        <w:keepNext/>
        <w:spacing w:before="120" w:after="80"/>
      </w:pPr>
      <w:r>
        <w:rPr>
          <w:rFonts w:ascii="Aptos" w:hAnsi="Aptos"/>
          <w:b/>
          <w:i w:val="0"/>
          <w:color w:val="1F1F1F"/>
          <w:sz w:val="23"/>
        </w:rPr>
        <w:t>5.5 Final startup resolution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048"/>
            <w:shd w:fill="E7E6E6"/>
            <w:tcMar>
              <w:top w:w="80" w:type="dxa"/>
              <w:start w:w="90" w:type="dxa"/>
              <w:bottom w:w="80" w:type="dxa"/>
              <w:end w:w="90" w:type="dxa"/>
            </w:tcMar>
            <w:vAlign w:val="center"/>
          </w:tcPr>
          <w:p>
            <w:pPr>
              <w:jc w:val="left"/>
            </w:pPr>
            <w:r>
              <w:rPr>
                <w:rFonts w:ascii="Aptos" w:hAnsi="Aptos"/>
                <w:b/>
                <w:i w:val="0"/>
                <w:sz w:val="17"/>
              </w:rPr>
              <w:t>Startup resolution method</w:t>
            </w:r>
          </w:p>
        </w:tc>
        <w:tc>
          <w:tcPr>
            <w:tcW w:type="dxa" w:w="2592"/>
            <w:shd w:fill="E7E6E6"/>
            <w:tcMar>
              <w:top w:w="80" w:type="dxa"/>
              <w:start w:w="90" w:type="dxa"/>
              <w:bottom w:w="80" w:type="dxa"/>
              <w:end w:w="90" w:type="dxa"/>
            </w:tcMar>
            <w:vAlign w:val="center"/>
          </w:tcPr>
          <w:p>
            <w:pPr>
              <w:jc w:val="left"/>
            </w:pPr>
            <w:r>
              <w:rPr>
                <w:rFonts w:ascii="Aptos" w:hAnsi="Aptos"/>
                <w:b/>
                <w:i w:val="0"/>
                <w:sz w:val="17"/>
              </w:rPr>
              <w:t>Funding rounds</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resolved_by_name</w:t>
            </w:r>
          </w:p>
        </w:tc>
        <w:tc>
          <w:tcPr>
            <w:tcW w:type="dxa" w:w="2592"/>
            <w:tcMar>
              <w:top w:w="80" w:type="dxa"/>
              <w:start w:w="90" w:type="dxa"/>
              <w:bottom w:w="80" w:type="dxa"/>
              <w:end w:w="90" w:type="dxa"/>
            </w:tcMar>
            <w:vAlign w:val="top"/>
          </w:tcPr>
          <w:p>
            <w:pPr>
              <w:spacing w:after="0"/>
            </w:pPr>
            <w:r>
              <w:rPr>
                <w:rFonts w:ascii="Aptos" w:hAnsi="Aptos"/>
                <w:b w:val="0"/>
                <w:i w:val="0"/>
                <w:sz w:val="17"/>
              </w:rPr>
              <w:t>510,935</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resolved_by_name_and_website</w:t>
            </w:r>
          </w:p>
        </w:tc>
        <w:tc>
          <w:tcPr>
            <w:tcW w:type="dxa" w:w="2592"/>
            <w:tcMar>
              <w:top w:w="80" w:type="dxa"/>
              <w:start w:w="90" w:type="dxa"/>
              <w:bottom w:w="80" w:type="dxa"/>
              <w:end w:w="90" w:type="dxa"/>
            </w:tcMar>
            <w:vAlign w:val="top"/>
          </w:tcPr>
          <w:p>
            <w:pPr>
              <w:spacing w:after="0"/>
            </w:pPr>
            <w:r>
              <w:rPr>
                <w:rFonts w:ascii="Aptos" w:hAnsi="Aptos"/>
                <w:b w:val="0"/>
                <w:i w:val="0"/>
                <w:sz w:val="17"/>
              </w:rPr>
              <w:t>83,246</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unresolved_unmatched_name</w:t>
            </w:r>
          </w:p>
        </w:tc>
        <w:tc>
          <w:tcPr>
            <w:tcW w:type="dxa" w:w="2592"/>
            <w:tcMar>
              <w:top w:w="80" w:type="dxa"/>
              <w:start w:w="90" w:type="dxa"/>
              <w:bottom w:w="80" w:type="dxa"/>
              <w:end w:w="90" w:type="dxa"/>
            </w:tcMar>
            <w:vAlign w:val="top"/>
          </w:tcPr>
          <w:p>
            <w:pPr>
              <w:spacing w:after="0"/>
            </w:pPr>
            <w:r>
              <w:rPr>
                <w:rFonts w:ascii="Aptos" w:hAnsi="Aptos"/>
                <w:b w:val="0"/>
                <w:i w:val="0"/>
                <w:sz w:val="17"/>
              </w:rPr>
              <w:t>5,649</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unresolved_ambiguous_name</w:t>
            </w:r>
          </w:p>
        </w:tc>
        <w:tc>
          <w:tcPr>
            <w:tcW w:type="dxa" w:w="2592"/>
            <w:tcMar>
              <w:top w:w="80" w:type="dxa"/>
              <w:start w:w="90" w:type="dxa"/>
              <w:bottom w:w="80" w:type="dxa"/>
              <w:end w:w="90" w:type="dxa"/>
            </w:tcMar>
            <w:vAlign w:val="top"/>
          </w:tcPr>
          <w:p>
            <w:pPr>
              <w:spacing w:after="0"/>
            </w:pPr>
            <w:r>
              <w:rPr>
                <w:rFonts w:ascii="Aptos" w:hAnsi="Aptos"/>
                <w:b w:val="0"/>
                <w:i w:val="0"/>
                <w:sz w:val="17"/>
              </w:rPr>
              <w:t>2,995</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unresolved_website_only_candidate</w:t>
            </w:r>
          </w:p>
        </w:tc>
        <w:tc>
          <w:tcPr>
            <w:tcW w:type="dxa" w:w="2592"/>
            <w:tcMar>
              <w:top w:w="80" w:type="dxa"/>
              <w:start w:w="90" w:type="dxa"/>
              <w:bottom w:w="80" w:type="dxa"/>
              <w:end w:w="90" w:type="dxa"/>
            </w:tcMar>
            <w:vAlign w:val="top"/>
          </w:tcPr>
          <w:p>
            <w:pPr>
              <w:spacing w:after="0"/>
            </w:pPr>
            <w:r>
              <w:rPr>
                <w:rFonts w:ascii="Aptos" w:hAnsi="Aptos"/>
                <w:b w:val="0"/>
                <w:i w:val="0"/>
                <w:sz w:val="17"/>
              </w:rPr>
              <w:t>38</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unresolved_name_website_conflict</w:t>
            </w:r>
          </w:p>
        </w:tc>
        <w:tc>
          <w:tcPr>
            <w:tcW w:type="dxa" w:w="2592"/>
            <w:tcMar>
              <w:top w:w="80" w:type="dxa"/>
              <w:start w:w="90" w:type="dxa"/>
              <w:bottom w:w="80" w:type="dxa"/>
              <w:end w:w="90" w:type="dxa"/>
            </w:tcMar>
            <w:vAlign w:val="top"/>
          </w:tcPr>
          <w:p>
            <w:pPr>
              <w:spacing w:after="0"/>
            </w:pPr>
            <w:r>
              <w:rPr>
                <w:rFonts w:ascii="Aptos" w:hAnsi="Aptos"/>
                <w:b w:val="0"/>
                <w:i w:val="0"/>
                <w:sz w:val="17"/>
              </w:rPr>
              <w:t>4</w:t>
            </w:r>
          </w:p>
        </w:tc>
      </w:tr>
    </w:tbl>
    <w:p>
      <w:pPr>
        <w:widowControl/>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048"/>
            <w:shd w:fill="E7E6E6"/>
            <w:tcMar>
              <w:top w:w="80" w:type="dxa"/>
              <w:start w:w="90" w:type="dxa"/>
              <w:bottom w:w="80" w:type="dxa"/>
              <w:end w:w="90" w:type="dxa"/>
            </w:tcMar>
            <w:vAlign w:val="center"/>
          </w:tcPr>
          <w:p>
            <w:pPr>
              <w:jc w:val="left"/>
            </w:pPr>
            <w:r>
              <w:rPr>
                <w:rFonts w:ascii="Aptos" w:hAnsi="Aptos"/>
                <w:b/>
                <w:i w:val="0"/>
                <w:sz w:val="17"/>
              </w:rPr>
              <w:t>Startup-resolution summary</w:t>
            </w:r>
          </w:p>
        </w:tc>
        <w:tc>
          <w:tcPr>
            <w:tcW w:type="dxa" w:w="2592"/>
            <w:shd w:fill="E7E6E6"/>
            <w:tcMar>
              <w:top w:w="80" w:type="dxa"/>
              <w:start w:w="90" w:type="dxa"/>
              <w:bottom w:w="80" w:type="dxa"/>
              <w:end w:w="90" w:type="dxa"/>
            </w:tcMar>
            <w:vAlign w:val="center"/>
          </w:tcPr>
          <w:p>
            <w:pPr>
              <w:jc w:val="left"/>
            </w:pPr>
            <w:r>
              <w:rPr>
                <w:rFonts w:ascii="Aptos" w:hAnsi="Aptos"/>
                <w:b/>
                <w:i w:val="0"/>
                <w:sz w:val="17"/>
              </w:rPr>
              <w:t>Value</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Funding rounds with investor data</w:t>
            </w:r>
          </w:p>
        </w:tc>
        <w:tc>
          <w:tcPr>
            <w:tcW w:type="dxa" w:w="2592"/>
            <w:tcMar>
              <w:top w:w="80" w:type="dxa"/>
              <w:start w:w="90" w:type="dxa"/>
              <w:bottom w:w="80" w:type="dxa"/>
              <w:end w:w="90" w:type="dxa"/>
            </w:tcMar>
            <w:vAlign w:val="top"/>
          </w:tcPr>
          <w:p>
            <w:pPr>
              <w:spacing w:after="0"/>
            </w:pPr>
            <w:r>
              <w:rPr>
                <w:rFonts w:ascii="Aptos" w:hAnsi="Aptos"/>
                <w:b w:val="0"/>
                <w:i w:val="0"/>
                <w:sz w:val="17"/>
              </w:rPr>
              <w:t>602,867</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Resolved funding rounds</w:t>
            </w:r>
          </w:p>
        </w:tc>
        <w:tc>
          <w:tcPr>
            <w:tcW w:type="dxa" w:w="2592"/>
            <w:tcMar>
              <w:top w:w="80" w:type="dxa"/>
              <w:start w:w="90" w:type="dxa"/>
              <w:bottom w:w="80" w:type="dxa"/>
              <w:end w:w="90" w:type="dxa"/>
            </w:tcMar>
            <w:vAlign w:val="top"/>
          </w:tcPr>
          <w:p>
            <w:pPr>
              <w:spacing w:after="0"/>
            </w:pPr>
            <w:r>
              <w:rPr>
                <w:rFonts w:ascii="Aptos" w:hAnsi="Aptos"/>
                <w:b w:val="0"/>
                <w:i w:val="0"/>
                <w:sz w:val="17"/>
              </w:rPr>
              <w:t>594,181</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Unresolved funding rounds</w:t>
            </w:r>
          </w:p>
        </w:tc>
        <w:tc>
          <w:tcPr>
            <w:tcW w:type="dxa" w:w="2592"/>
            <w:tcMar>
              <w:top w:w="80" w:type="dxa"/>
              <w:start w:w="90" w:type="dxa"/>
              <w:bottom w:w="80" w:type="dxa"/>
              <w:end w:w="90" w:type="dxa"/>
            </w:tcMar>
            <w:vAlign w:val="top"/>
          </w:tcPr>
          <w:p>
            <w:pPr>
              <w:spacing w:after="0"/>
            </w:pPr>
            <w:r>
              <w:rPr>
                <w:rFonts w:ascii="Aptos" w:hAnsi="Aptos"/>
                <w:b w:val="0"/>
                <w:i w:val="0"/>
                <w:sz w:val="17"/>
              </w:rPr>
              <w:t>8,686</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Unique resolved startups / organizations</w:t>
            </w:r>
          </w:p>
        </w:tc>
        <w:tc>
          <w:tcPr>
            <w:tcW w:type="dxa" w:w="2592"/>
            <w:tcMar>
              <w:top w:w="80" w:type="dxa"/>
              <w:start w:w="90" w:type="dxa"/>
              <w:bottom w:w="80" w:type="dxa"/>
              <w:end w:w="90" w:type="dxa"/>
            </w:tcMar>
            <w:vAlign w:val="top"/>
          </w:tcPr>
          <w:p>
            <w:pPr>
              <w:spacing w:after="0"/>
            </w:pPr>
            <w:r>
              <w:rPr>
                <w:rFonts w:ascii="Aptos" w:hAnsi="Aptos"/>
                <w:b w:val="0"/>
                <w:i w:val="0"/>
                <w:sz w:val="17"/>
              </w:rPr>
              <w:t>325,246</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Startup-resolved investor mentions</w:t>
            </w:r>
          </w:p>
        </w:tc>
        <w:tc>
          <w:tcPr>
            <w:tcW w:type="dxa" w:w="2592"/>
            <w:tcMar>
              <w:top w:w="80" w:type="dxa"/>
              <w:start w:w="90" w:type="dxa"/>
              <w:bottom w:w="80" w:type="dxa"/>
              <w:end w:w="90" w:type="dxa"/>
            </w:tcMar>
            <w:vAlign w:val="top"/>
          </w:tcPr>
          <w:p>
            <w:pPr>
              <w:spacing w:after="0"/>
            </w:pPr>
            <w:r>
              <w:rPr>
                <w:rFonts w:ascii="Aptos" w:hAnsi="Aptos"/>
                <w:b w:val="0"/>
                <w:i w:val="0"/>
                <w:sz w:val="17"/>
              </w:rPr>
              <w:t>1,321,416</w:t>
            </w:r>
          </w:p>
        </w:tc>
      </w:tr>
    </w:tbl>
    <w:p>
      <w:pPr>
        <w:widowControl/>
        <w:spacing w:after="20"/>
      </w:pPr>
    </w:p>
    <w:p>
      <w:pPr>
        <w:widowControl/>
        <w:spacing w:after="100" w:line="252" w:lineRule="auto"/>
      </w:pPr>
      <w:r>
        <w:rPr>
          <w:rFonts w:ascii="Aptos" w:hAnsi="Aptos"/>
          <w:b w:val="0"/>
          <w:i w:val="0"/>
          <w:sz w:val="21"/>
        </w:rPr>
        <w:t>Approximately 98.56% of funding rounds containing investor data received a high-confidence startup/company ID. At the investor-mention level, startup identity was resolved for approximately 98.94% of mentions.</w:t>
      </w:r>
    </w:p>
    <w:p>
      <w:pPr>
        <w:pStyle w:val="Heading1"/>
        <w:keepNext/>
        <w:spacing w:before="180" w:after="80"/>
      </w:pPr>
      <w:r>
        <w:rPr>
          <w:rFonts w:ascii="Aptos" w:hAnsi="Aptos"/>
          <w:b/>
          <w:i w:val="0"/>
          <w:color w:val="1F1F1F"/>
          <w:sz w:val="28"/>
        </w:rPr>
        <w:t>6. Interaction Eligibility and Final Dataset Construction</w:t>
      </w:r>
    </w:p>
    <w:p>
      <w:pPr>
        <w:widowControl/>
        <w:spacing w:after="100" w:line="252" w:lineRule="auto"/>
      </w:pPr>
      <w:r>
        <w:rPr>
          <w:rFonts w:ascii="Aptos" w:hAnsi="Aptos"/>
          <w:b w:val="0"/>
          <w:i w:val="0"/>
          <w:sz w:val="21"/>
        </w:rPr>
        <w:t>Investor mentions were joined to startup resolution by funding_round_id. A candidate event was eligible only when investor identity was resolved_unique, startup_id was non-null, and announced_on parsed as a valid date.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760"/>
            <w:shd w:fill="E7E6E6"/>
            <w:tcMar>
              <w:top w:w="80" w:type="dxa"/>
              <w:start w:w="90" w:type="dxa"/>
              <w:bottom w:w="80" w:type="dxa"/>
              <w:end w:w="90" w:type="dxa"/>
            </w:tcMar>
            <w:vAlign w:val="center"/>
          </w:tcPr>
          <w:p>
            <w:pPr>
              <w:jc w:val="left"/>
            </w:pPr>
            <w:r>
              <w:rPr>
                <w:rFonts w:ascii="Aptos" w:hAnsi="Aptos"/>
                <w:b/>
                <w:i w:val="0"/>
                <w:sz w:val="17"/>
              </w:rPr>
              <w:t>Eligibility status</w:t>
            </w:r>
          </w:p>
        </w:tc>
        <w:tc>
          <w:tcPr>
            <w:tcW w:type="dxa" w:w="2880"/>
            <w:shd w:fill="E7E6E6"/>
            <w:tcMar>
              <w:top w:w="80" w:type="dxa"/>
              <w:start w:w="90" w:type="dxa"/>
              <w:bottom w:w="80" w:type="dxa"/>
              <w:end w:w="90" w:type="dxa"/>
            </w:tcMar>
            <w:vAlign w:val="center"/>
          </w:tcPr>
          <w:p>
            <w:pPr>
              <w:jc w:val="left"/>
            </w:pPr>
            <w:r>
              <w:rPr>
                <w:rFonts w:ascii="Aptos" w:hAnsi="Aptos"/>
                <w:b/>
                <w:i w:val="0"/>
                <w:sz w:val="17"/>
              </w:rPr>
              <w:t>Mentions</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eligible</w:t>
            </w:r>
          </w:p>
        </w:tc>
        <w:tc>
          <w:tcPr>
            <w:tcW w:type="dxa" w:w="2880"/>
            <w:tcMar>
              <w:top w:w="80" w:type="dxa"/>
              <w:start w:w="90" w:type="dxa"/>
              <w:bottom w:w="80" w:type="dxa"/>
              <w:end w:w="90" w:type="dxa"/>
            </w:tcMar>
            <w:vAlign w:val="top"/>
          </w:tcPr>
          <w:p>
            <w:pPr>
              <w:spacing w:after="0"/>
            </w:pPr>
            <w:r>
              <w:rPr>
                <w:rFonts w:ascii="Aptos" w:hAnsi="Aptos"/>
                <w:b w:val="0"/>
                <w:i w:val="0"/>
                <w:sz w:val="17"/>
              </w:rPr>
              <w:t>1,208,051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unresolved_investor</w:t>
            </w:r>
          </w:p>
        </w:tc>
        <w:tc>
          <w:tcPr>
            <w:tcW w:type="dxa" w:w="2880"/>
            <w:tcMar>
              <w:top w:w="80" w:type="dxa"/>
              <w:start w:w="90" w:type="dxa"/>
              <w:bottom w:w="80" w:type="dxa"/>
              <w:end w:w="90" w:type="dxa"/>
            </w:tcMar>
            <w:vAlign w:val="top"/>
          </w:tcPr>
          <w:p>
            <w:pPr>
              <w:spacing w:after="0"/>
            </w:pPr>
            <w:r>
              <w:rPr>
                <w:rFonts w:ascii="Aptos" w:hAnsi="Aptos"/>
                <w:b w:val="0"/>
                <w:i w:val="0"/>
                <w:sz w:val="17"/>
              </w:rPr>
              <w:t>113,365</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unresolved_startup</w:t>
            </w:r>
          </w:p>
        </w:tc>
        <w:tc>
          <w:tcPr>
            <w:tcW w:type="dxa" w:w="2880"/>
            <w:tcMar>
              <w:top w:w="80" w:type="dxa"/>
              <w:start w:w="90" w:type="dxa"/>
              <w:bottom w:w="80" w:type="dxa"/>
              <w:end w:w="90" w:type="dxa"/>
            </w:tcMar>
            <w:vAlign w:val="top"/>
          </w:tcPr>
          <w:p>
            <w:pPr>
              <w:spacing w:after="0"/>
            </w:pPr>
            <w:r>
              <w:rPr>
                <w:rFonts w:ascii="Aptos" w:hAnsi="Aptos"/>
                <w:b w:val="0"/>
                <w:i w:val="0"/>
                <w:sz w:val="17"/>
              </w:rPr>
              <w:t>13,011</w:t>
            </w:r>
          </w:p>
        </w:tc>
      </w:tr>
      <w:tr>
        <w:trPr>
          <w:cantSplit/>
        </w:trPr>
        <w:tc>
          <w:tcPr>
            <w:tcW w:type="dxa" w:w="5760"/>
            <w:tcMar>
              <w:top w:w="80" w:type="dxa"/>
              <w:start w:w="90" w:type="dxa"/>
              <w:bottom w:w="80" w:type="dxa"/>
              <w:end w:w="90" w:type="dxa"/>
            </w:tcMar>
            <w:vAlign w:val="top"/>
          </w:tcPr>
          <w:p>
            <w:pPr>
              <w:spacing w:after="0"/>
            </w:pPr>
            <w:r>
              <w:rPr>
                <w:rFonts w:ascii="Aptos" w:hAnsi="Aptos"/>
                <w:b w:val="0"/>
                <w:i w:val="0"/>
                <w:sz w:val="17"/>
              </w:rPr>
              <w:t>unresolved_investor_and_startup</w:t>
            </w:r>
          </w:p>
        </w:tc>
        <w:tc>
          <w:tcPr>
            <w:tcW w:type="dxa" w:w="2880"/>
            <w:tcMar>
              <w:top w:w="80" w:type="dxa"/>
              <w:start w:w="90" w:type="dxa"/>
              <w:bottom w:w="80" w:type="dxa"/>
              <w:end w:w="90" w:type="dxa"/>
            </w:tcMar>
            <w:vAlign w:val="top"/>
          </w:tcPr>
          <w:p>
            <w:pPr>
              <w:spacing w:after="0"/>
            </w:pPr>
            <w:r>
              <w:rPr>
                <w:rFonts w:ascii="Aptos" w:hAnsi="Aptos"/>
                <w:b w:val="0"/>
                <w:i w:val="0"/>
                <w:sz w:val="17"/>
              </w:rPr>
              <w:t>1,123</w:t>
            </w:r>
          </w:p>
        </w:tc>
      </w:tr>
    </w:tbl>
    <w:p>
      <w:pPr>
        <w:widowControl/>
        <w:spacing w:after="20"/>
      </w:pPr>
    </w:p>
    <w:p>
      <w:pPr>
        <w:widowControl/>
        <w:spacing w:after="100" w:line="252" w:lineRule="auto"/>
      </w:pPr>
      <w:r>
        <w:rPr>
          <w:rFonts w:ascii="Aptos" w:hAnsi="Aptos"/>
          <w:b w:val="0"/>
          <w:i w:val="0"/>
          <w:sz w:val="21"/>
        </w:rPr>
        <w:t>All 1,208,051 eligible rows had non-null funding_round_id, investor_id, startup_id, and announced_on. This produces an overall high-confidence retention rate of approximately 90.45% relative to the 1,335,550 normalized investor mentions.</w:t>
      </w: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Coverage interpretation: </w:t>
            </w:r>
            <w:r>
              <w:rPr>
                <w:rFonts w:ascii="Aptos" w:hAnsi="Aptos"/>
                <w:b w:val="0"/>
                <w:i w:val="0"/>
                <w:sz w:val="19"/>
              </w:rPr>
              <w:t>The final dataset is a high-confidence subset of Crunchbase funding interactions, not “all Crunchbase investments.” It requires a present investor list, deterministic investor identity, resolved target organization identity, and valid date.</w:t>
            </w:r>
          </w:p>
        </w:tc>
      </w:tr>
    </w:tbl>
    <w:p>
      <w:pPr>
        <w:widowControl/>
        <w:spacing w:after="20"/>
      </w:pPr>
    </w:p>
    <w:p>
      <w:pPr>
        <w:pStyle w:val="Heading1"/>
        <w:keepNext/>
        <w:spacing w:before="180" w:after="80"/>
      </w:pPr>
      <w:r>
        <w:rPr>
          <w:rFonts w:ascii="Aptos" w:hAnsi="Aptos"/>
          <w:b/>
          <w:i w:val="0"/>
          <w:color w:val="1F1F1F"/>
          <w:sz w:val="28"/>
        </w:rPr>
        <w:t>7. Duplicate and Repeat-Event Analysis</w:t>
      </w:r>
    </w:p>
    <w:p>
      <w:pPr>
        <w:pStyle w:val="Heading2"/>
        <w:keepNext/>
        <w:spacing w:before="120" w:after="80"/>
      </w:pPr>
      <w:r>
        <w:rPr>
          <w:rFonts w:ascii="Aptos" w:hAnsi="Aptos"/>
          <w:b/>
          <w:i w:val="0"/>
          <w:color w:val="1F1F1F"/>
          <w:sz w:val="23"/>
        </w:rPr>
        <w:t>7.1 Exact duplicates</w:t>
      </w:r>
    </w:p>
    <w:p>
      <w:pPr>
        <w:widowControl/>
        <w:spacing w:after="100" w:line="252" w:lineRule="auto"/>
      </w:pPr>
      <w:r>
        <w:rPr>
          <w:rFonts w:ascii="Aptos" w:hAnsi="Aptos"/>
          <w:b w:val="0"/>
          <w:i w:val="0"/>
          <w:sz w:val="21"/>
        </w:rPr>
        <w:t>Exact duplicates were audited using investor_id + startup_id + funding_round_id. The result was zero duplicate groups, which strongly suggests that the parsing and joining pipeline did not create duplicate investor participation records.</w:t>
      </w:r>
    </w:p>
    <w:p>
      <w:pPr>
        <w:pStyle w:val="Heading2"/>
        <w:keepNext/>
        <w:spacing w:before="120" w:after="80"/>
      </w:pPr>
      <w:r>
        <w:rPr>
          <w:rFonts w:ascii="Aptos" w:hAnsi="Aptos"/>
          <w:b/>
          <w:i w:val="0"/>
          <w:color w:val="1F1F1F"/>
          <w:sz w:val="23"/>
        </w:rPr>
        <w:t>7.2 Same-day repeated events</w:t>
      </w:r>
    </w:p>
    <w:p>
      <w:pPr>
        <w:widowControl/>
        <w:spacing w:after="100" w:line="252" w:lineRule="auto"/>
      </w:pPr>
      <w:r>
        <w:rPr>
          <w:rFonts w:ascii="Aptos" w:hAnsi="Aptos"/>
          <w:b w:val="0"/>
          <w:i w:val="0"/>
          <w:sz w:val="21"/>
        </w:rPr>
        <w:t>There were 2,570 groups in which the same investor and startup appeared more than once on the same announced date. These groups contained 5,146 rows, representing 2,576 extra rows beyond one per group. Critically, none of the groups repeated a funding_round_id.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048"/>
            <w:shd w:fill="E7E6E6"/>
            <w:tcMar>
              <w:top w:w="80" w:type="dxa"/>
              <w:start w:w="90" w:type="dxa"/>
              <w:bottom w:w="80" w:type="dxa"/>
              <w:end w:w="90" w:type="dxa"/>
            </w:tcMar>
            <w:vAlign w:val="center"/>
          </w:tcPr>
          <w:p>
            <w:pPr>
              <w:jc w:val="left"/>
            </w:pPr>
            <w:r>
              <w:rPr>
                <w:rFonts w:ascii="Aptos" w:hAnsi="Aptos"/>
                <w:b/>
                <w:i w:val="0"/>
                <w:sz w:val="17"/>
              </w:rPr>
              <w:t>Same-day audit metric</w:t>
            </w:r>
          </w:p>
        </w:tc>
        <w:tc>
          <w:tcPr>
            <w:tcW w:type="dxa" w:w="2592"/>
            <w:shd w:fill="E7E6E6"/>
            <w:tcMar>
              <w:top w:w="80" w:type="dxa"/>
              <w:start w:w="90" w:type="dxa"/>
              <w:bottom w:w="80" w:type="dxa"/>
              <w:end w:w="90" w:type="dxa"/>
            </w:tcMar>
            <w:vAlign w:val="center"/>
          </w:tcPr>
          <w:p>
            <w:pPr>
              <w:jc w:val="left"/>
            </w:pPr>
            <w:r>
              <w:rPr>
                <w:rFonts w:ascii="Aptos" w:hAnsi="Aptos"/>
                <w:b/>
                <w:i w:val="0"/>
                <w:sz w:val="17"/>
              </w:rPr>
              <w:t>Result</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Same-day repeated groups</w:t>
            </w:r>
          </w:p>
        </w:tc>
        <w:tc>
          <w:tcPr>
            <w:tcW w:type="dxa" w:w="2592"/>
            <w:tcMar>
              <w:top w:w="80" w:type="dxa"/>
              <w:start w:w="90" w:type="dxa"/>
              <w:bottom w:w="80" w:type="dxa"/>
              <w:end w:w="90" w:type="dxa"/>
            </w:tcMar>
            <w:vAlign w:val="top"/>
          </w:tcPr>
          <w:p>
            <w:pPr>
              <w:spacing w:after="0"/>
            </w:pPr>
            <w:r>
              <w:rPr>
                <w:rFonts w:ascii="Aptos" w:hAnsi="Aptos"/>
                <w:b w:val="0"/>
                <w:i w:val="0"/>
                <w:sz w:val="17"/>
              </w:rPr>
              <w:t>2,570</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Rows in those groups</w:t>
            </w:r>
          </w:p>
        </w:tc>
        <w:tc>
          <w:tcPr>
            <w:tcW w:type="dxa" w:w="2592"/>
            <w:tcMar>
              <w:top w:w="80" w:type="dxa"/>
              <w:start w:w="90" w:type="dxa"/>
              <w:bottom w:w="80" w:type="dxa"/>
              <w:end w:w="90" w:type="dxa"/>
            </w:tcMar>
            <w:vAlign w:val="top"/>
          </w:tcPr>
          <w:p>
            <w:pPr>
              <w:spacing w:after="0"/>
            </w:pPr>
            <w:r>
              <w:rPr>
                <w:rFonts w:ascii="Aptos" w:hAnsi="Aptos"/>
                <w:b w:val="0"/>
                <w:i w:val="0"/>
                <w:sz w:val="17"/>
              </w:rPr>
              <w:t>5,146</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Extra rows beyond one per group</w:t>
            </w:r>
          </w:p>
        </w:tc>
        <w:tc>
          <w:tcPr>
            <w:tcW w:type="dxa" w:w="2592"/>
            <w:tcMar>
              <w:top w:w="80" w:type="dxa"/>
              <w:start w:w="90" w:type="dxa"/>
              <w:bottom w:w="80" w:type="dxa"/>
              <w:end w:w="90" w:type="dxa"/>
            </w:tcMar>
            <w:vAlign w:val="top"/>
          </w:tcPr>
          <w:p>
            <w:pPr>
              <w:spacing w:after="0"/>
            </w:pPr>
            <w:r>
              <w:rPr>
                <w:rFonts w:ascii="Aptos" w:hAnsi="Aptos"/>
                <w:b w:val="0"/>
                <w:i w:val="0"/>
                <w:sz w:val="17"/>
              </w:rPr>
              <w:t>2,576</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Groups with multiple investment types</w:t>
            </w:r>
          </w:p>
        </w:tc>
        <w:tc>
          <w:tcPr>
            <w:tcW w:type="dxa" w:w="2592"/>
            <w:tcMar>
              <w:top w:w="80" w:type="dxa"/>
              <w:start w:w="90" w:type="dxa"/>
              <w:bottom w:w="80" w:type="dxa"/>
              <w:end w:w="90" w:type="dxa"/>
            </w:tcMar>
            <w:vAlign w:val="top"/>
          </w:tcPr>
          <w:p>
            <w:pPr>
              <w:spacing w:after="0"/>
            </w:pPr>
            <w:r>
              <w:rPr>
                <w:rFonts w:ascii="Aptos" w:hAnsi="Aptos"/>
                <w:b w:val="0"/>
                <w:i w:val="0"/>
                <w:sz w:val="17"/>
              </w:rPr>
              <w:t>2,501</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Groups with one investment type</w:t>
            </w:r>
          </w:p>
        </w:tc>
        <w:tc>
          <w:tcPr>
            <w:tcW w:type="dxa" w:w="2592"/>
            <w:tcMar>
              <w:top w:w="80" w:type="dxa"/>
              <w:start w:w="90" w:type="dxa"/>
              <w:bottom w:w="80" w:type="dxa"/>
              <w:end w:w="90" w:type="dxa"/>
            </w:tcMar>
            <w:vAlign w:val="top"/>
          </w:tcPr>
          <w:p>
            <w:pPr>
              <w:spacing w:after="0"/>
            </w:pPr>
            <w:r>
              <w:rPr>
                <w:rFonts w:ascii="Aptos" w:hAnsi="Aptos"/>
                <w:b w:val="0"/>
                <w:i w:val="0"/>
                <w:sz w:val="17"/>
              </w:rPr>
              <w:t>69</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Groups containing repeated funding-round IDs</w:t>
            </w:r>
          </w:p>
        </w:tc>
        <w:tc>
          <w:tcPr>
            <w:tcW w:type="dxa" w:w="2592"/>
            <w:tcMar>
              <w:top w:w="80" w:type="dxa"/>
              <w:start w:w="90" w:type="dxa"/>
              <w:bottom w:w="80" w:type="dxa"/>
              <w:end w:w="90" w:type="dxa"/>
            </w:tcMar>
            <w:vAlign w:val="top"/>
          </w:tcPr>
          <w:p>
            <w:pPr>
              <w:spacing w:after="0"/>
            </w:pPr>
            <w:r>
              <w:rPr>
                <w:rFonts w:ascii="Aptos" w:hAnsi="Aptos"/>
                <w:b w:val="0"/>
                <w:i w:val="0"/>
                <w:sz w:val="17"/>
              </w:rPr>
              <w:t>0</w:t>
            </w:r>
          </w:p>
        </w:tc>
      </w:tr>
    </w:tbl>
    <w:p>
      <w:pPr>
        <w:widowControl/>
        <w:spacing w:after="20"/>
      </w:pPr>
    </w:p>
    <w:p>
      <w:pPr>
        <w:widowControl/>
        <w:spacing w:after="100" w:line="252" w:lineRule="auto"/>
      </w:pPr>
      <w:r>
        <w:rPr>
          <w:rFonts w:ascii="Aptos" w:hAnsi="Aptos"/>
          <w:b w:val="0"/>
          <w:i w:val="0"/>
          <w:sz w:val="21"/>
        </w:rPr>
        <w:t>Approximately 97.3% of same-day repeated groups contain multiple round types. Observed combinations included seed + series_a + angel; series_a + seed; debt_financing + secondary_market; post_ipo_equity + post_ipo_debt; and grant + series_unknown. Because the source funding-round IDs differ, these records were preserved rather than collapsed.</w:t>
      </w: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Final same-day rule: </w:t>
            </w:r>
            <w:r>
              <w:rPr>
                <w:rFonts w:ascii="Aptos" w:hAnsi="Aptos"/>
                <w:b w:val="0"/>
                <w:i w:val="0"/>
                <w:sz w:val="19"/>
              </w:rPr>
              <w:t>Same investor + same startup + same date + different funding_round_id -&gt; KEEP. Same investor + same startup + same funding_round_id would be a duplicate, but zero such groups were observed.</w:t>
            </w:r>
          </w:p>
        </w:tc>
      </w:tr>
    </w:tbl>
    <w:p>
      <w:pPr>
        <w:widowControl/>
        <w:spacing w:after="20"/>
      </w:pPr>
    </w:p>
    <w:p>
      <w:pPr>
        <w:pStyle w:val="Heading2"/>
        <w:keepNext/>
        <w:spacing w:before="120" w:after="80"/>
      </w:pPr>
      <w:r>
        <w:rPr>
          <w:rFonts w:ascii="Aptos" w:hAnsi="Aptos"/>
          <w:b/>
          <w:i w:val="0"/>
          <w:color w:val="1F1F1F"/>
          <w:sz w:val="23"/>
        </w:rPr>
        <w:t>7.3 Repeat investor-startup behavior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048"/>
            <w:shd w:fill="E7E6E6"/>
            <w:tcMar>
              <w:top w:w="80" w:type="dxa"/>
              <w:start w:w="90" w:type="dxa"/>
              <w:bottom w:w="80" w:type="dxa"/>
              <w:end w:w="90" w:type="dxa"/>
            </w:tcMar>
            <w:vAlign w:val="center"/>
          </w:tcPr>
          <w:p>
            <w:pPr>
              <w:jc w:val="left"/>
            </w:pPr>
            <w:r>
              <w:rPr>
                <w:rFonts w:ascii="Aptos" w:hAnsi="Aptos"/>
                <w:b/>
                <w:i w:val="0"/>
                <w:sz w:val="17"/>
              </w:rPr>
              <w:t>Repeat-behavior metric</w:t>
            </w:r>
          </w:p>
        </w:tc>
        <w:tc>
          <w:tcPr>
            <w:tcW w:type="dxa" w:w="2592"/>
            <w:shd w:fill="E7E6E6"/>
            <w:tcMar>
              <w:top w:w="80" w:type="dxa"/>
              <w:start w:w="90" w:type="dxa"/>
              <w:bottom w:w="80" w:type="dxa"/>
              <w:end w:w="90" w:type="dxa"/>
            </w:tcMar>
            <w:vAlign w:val="center"/>
          </w:tcPr>
          <w:p>
            <w:pPr>
              <w:jc w:val="left"/>
            </w:pPr>
            <w:r>
              <w:rPr>
                <w:rFonts w:ascii="Aptos" w:hAnsi="Aptos"/>
                <w:b/>
                <w:i w:val="0"/>
                <w:sz w:val="17"/>
              </w:rPr>
              <w:t>Value</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Unique investor-startup pairs</w:t>
            </w:r>
          </w:p>
        </w:tc>
        <w:tc>
          <w:tcPr>
            <w:tcW w:type="dxa" w:w="2592"/>
            <w:tcMar>
              <w:top w:w="80" w:type="dxa"/>
              <w:start w:w="90" w:type="dxa"/>
              <w:bottom w:w="80" w:type="dxa"/>
              <w:end w:w="90" w:type="dxa"/>
            </w:tcMar>
            <w:vAlign w:val="top"/>
          </w:tcPr>
          <w:p>
            <w:pPr>
              <w:spacing w:after="0"/>
            </w:pPr>
            <w:r>
              <w:rPr>
                <w:rFonts w:ascii="Aptos" w:hAnsi="Aptos"/>
                <w:b w:val="0"/>
                <w:i w:val="0"/>
                <w:sz w:val="17"/>
              </w:rPr>
              <w:t>991,291</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Pairs with more than one investment event</w:t>
            </w:r>
          </w:p>
        </w:tc>
        <w:tc>
          <w:tcPr>
            <w:tcW w:type="dxa" w:w="2592"/>
            <w:tcMar>
              <w:top w:w="80" w:type="dxa"/>
              <w:start w:w="90" w:type="dxa"/>
              <w:bottom w:w="80" w:type="dxa"/>
              <w:end w:w="90" w:type="dxa"/>
            </w:tcMar>
            <w:vAlign w:val="top"/>
          </w:tcPr>
          <w:p>
            <w:pPr>
              <w:spacing w:after="0"/>
            </w:pPr>
            <w:r>
              <w:rPr>
                <w:rFonts w:ascii="Aptos" w:hAnsi="Aptos"/>
                <w:b w:val="0"/>
                <w:i w:val="0"/>
                <w:sz w:val="17"/>
              </w:rPr>
              <w:t>153,310</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Approximate share of pairs with repeat events</w:t>
            </w:r>
          </w:p>
        </w:tc>
        <w:tc>
          <w:tcPr>
            <w:tcW w:type="dxa" w:w="2592"/>
            <w:tcMar>
              <w:top w:w="80" w:type="dxa"/>
              <w:start w:w="90" w:type="dxa"/>
              <w:bottom w:w="80" w:type="dxa"/>
              <w:end w:w="90" w:type="dxa"/>
            </w:tcMar>
            <w:vAlign w:val="top"/>
          </w:tcPr>
          <w:p>
            <w:pPr>
              <w:spacing w:after="0"/>
            </w:pPr>
            <w:r>
              <w:rPr>
                <w:rFonts w:ascii="Aptos" w:hAnsi="Aptos"/>
                <w:b w:val="0"/>
                <w:i w:val="0"/>
                <w:sz w:val="17"/>
              </w:rPr>
              <w:t>15.47%</w:t>
            </w:r>
          </w:p>
        </w:tc>
      </w:tr>
      <w:tr>
        <w:trPr>
          <w:cantSplit/>
        </w:trPr>
        <w:tc>
          <w:tcPr>
            <w:tcW w:type="dxa" w:w="6048"/>
            <w:tcMar>
              <w:top w:w="80" w:type="dxa"/>
              <w:start w:w="90" w:type="dxa"/>
              <w:bottom w:w="80" w:type="dxa"/>
              <w:end w:w="90" w:type="dxa"/>
            </w:tcMar>
            <w:vAlign w:val="top"/>
          </w:tcPr>
          <w:p>
            <w:pPr>
              <w:spacing w:after="0"/>
            </w:pPr>
            <w:r>
              <w:rPr>
                <w:rFonts w:ascii="Aptos" w:hAnsi="Aptos"/>
                <w:b w:val="0"/>
                <w:i w:val="0"/>
                <w:sz w:val="17"/>
              </w:rPr>
              <w:t>Maximum recorded events for one pair</w:t>
            </w:r>
          </w:p>
        </w:tc>
        <w:tc>
          <w:tcPr>
            <w:tcW w:type="dxa" w:w="2592"/>
            <w:tcMar>
              <w:top w:w="80" w:type="dxa"/>
              <w:start w:w="90" w:type="dxa"/>
              <w:bottom w:w="80" w:type="dxa"/>
              <w:end w:w="90" w:type="dxa"/>
            </w:tcMar>
            <w:vAlign w:val="top"/>
          </w:tcPr>
          <w:p>
            <w:pPr>
              <w:spacing w:after="0"/>
            </w:pPr>
            <w:r>
              <w:rPr>
                <w:rFonts w:ascii="Aptos" w:hAnsi="Aptos"/>
                <w:b w:val="0"/>
                <w:i w:val="0"/>
                <w:sz w:val="17"/>
              </w:rPr>
              <w:t>45</w:t>
            </w:r>
          </w:p>
        </w:tc>
      </w:tr>
    </w:tbl>
    <w:p>
      <w:pPr>
        <w:widowControl/>
        <w:spacing w:after="20"/>
      </w:pPr>
    </w:p>
    <w:p>
      <w:pPr>
        <w:widowControl/>
        <w:spacing w:after="100" w:line="252" w:lineRule="auto"/>
      </w:pPr>
      <w:r>
        <w:rPr>
          <w:rFonts w:ascii="Aptos" w:hAnsi="Aptos"/>
          <w:b w:val="0"/>
          <w:i w:val="0"/>
          <w:sz w:val="21"/>
        </w:rPr>
        <w:t>Repeat behavior is substantial enough that later temporal preprocessing must preserve the distinction between source-level repeated investment events and model-level implicit interactions. Repeat investment can represent follow-on behavior rather than duplicate data.</w:t>
      </w:r>
    </w:p>
    <w:p>
      <w:pPr>
        <w:pStyle w:val="Heading1"/>
        <w:keepNext/>
        <w:spacing w:before="180" w:after="80"/>
      </w:pPr>
      <w:r>
        <w:rPr>
          <w:rFonts w:ascii="Aptos" w:hAnsi="Aptos"/>
          <w:b/>
          <w:i w:val="0"/>
          <w:color w:val="1F1F1F"/>
          <w:sz w:val="28"/>
        </w:rPr>
        <w:t>8. Canonical Data vs. Model-Ready Data</w:t>
      </w:r>
    </w:p>
    <w:p>
      <w:pPr>
        <w:widowControl/>
        <w:spacing w:after="100" w:line="252" w:lineRule="auto"/>
      </w:pPr>
      <w:r>
        <w:rPr>
          <w:rFonts w:ascii="Aptos" w:hAnsi="Aptos"/>
          <w:b w:val="0"/>
          <w:i w:val="0"/>
          <w:sz w:val="21"/>
        </w:rPr>
        <w:t>A foundational design decision is to separate the canonical source layer from model transformations. Phase 1 stores the best reconstruction of Crunchbase events; later phases may filter, segment, aggregate, index, or sample those events according to the ITRS experiment.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LAYER 1 - RAW</w:t>
            </w:r>
            <w:r>
              <w:br/>
            </w:r>
            <w:r>
              <w:rPr>
                <w:rFonts w:ascii="Menlo" w:hAnsi="Menlo"/>
                <w:b w:val="0"/>
                <w:i w:val="0"/>
                <w:sz w:val="17"/>
              </w:rPr>
              <w:t>data/raw/</w:t>
            </w:r>
            <w:r>
              <w:br/>
            </w:r>
            <w:r>
              <w:rPr>
                <w:rFonts w:ascii="Menlo" w:hAnsi="Menlo"/>
                <w:b w:val="0"/>
                <w:i w:val="0"/>
                <w:sz w:val="17"/>
              </w:rPr>
              <w:t>Original Crunchbase exports; never modify</w:t>
            </w:r>
            <w:r>
              <w:br/>
            </w:r>
            <w:r>
              <w:rPr>
                <w:rFonts w:ascii="Menlo" w:hAnsi="Menlo"/>
                <w:b w:val="0"/>
                <w:i w:val="0"/>
                <w:sz w:val="17"/>
              </w:rPr>
            </w:r>
            <w:r>
              <w:br/>
            </w:r>
            <w:r>
              <w:rPr>
                <w:rFonts w:ascii="Menlo" w:hAnsi="Menlo"/>
                <w:b w:val="0"/>
                <w:i w:val="0"/>
                <w:sz w:val="17"/>
              </w:rPr>
              <w:t>LAYER 2 - CANONICAL</w:t>
            </w:r>
            <w:r>
              <w:br/>
            </w:r>
            <w:r>
              <w:rPr>
                <w:rFonts w:ascii="Menlo" w:hAnsi="Menlo"/>
                <w:b w:val="0"/>
                <w:i w:val="0"/>
                <w:sz w:val="17"/>
              </w:rPr>
              <w:t>data/processed/interactions.parquet</w:t>
            </w:r>
            <w:r>
              <w:br/>
            </w:r>
            <w:r>
              <w:rPr>
                <w:rFonts w:ascii="Menlo" w:hAnsi="Menlo"/>
                <w:b w:val="0"/>
                <w:i w:val="0"/>
                <w:sz w:val="17"/>
              </w:rPr>
              <w:t>High-confidence source events; minimal modeling assumptions</w:t>
            </w:r>
            <w:r>
              <w:br/>
            </w:r>
            <w:r>
              <w:rPr>
                <w:rFonts w:ascii="Menlo" w:hAnsi="Menlo"/>
                <w:b w:val="0"/>
                <w:i w:val="0"/>
                <w:sz w:val="17"/>
              </w:rPr>
            </w:r>
            <w:r>
              <w:br/>
            </w:r>
            <w:r>
              <w:rPr>
                <w:rFonts w:ascii="Menlo" w:hAnsi="Menlo"/>
                <w:b w:val="0"/>
                <w:i w:val="0"/>
                <w:sz w:val="17"/>
              </w:rPr>
              <w:t>LAYER 3 - EXPERIMENTAL / MODEL-READY</w:t>
            </w:r>
            <w:r>
              <w:br/>
            </w:r>
            <w:r>
              <w:rPr>
                <w:rFonts w:ascii="Menlo" w:hAnsi="Menlo"/>
                <w:b w:val="0"/>
                <w:i w:val="0"/>
                <w:sz w:val="17"/>
              </w:rPr>
              <w:t>Future temporal/model datasets</w:t>
            </w:r>
            <w:r>
              <w:br/>
            </w:r>
            <w:r>
              <w:rPr>
                <w:rFonts w:ascii="Menlo" w:hAnsi="Menlo"/>
                <w:b w:val="0"/>
                <w:i w:val="0"/>
                <w:sz w:val="17"/>
              </w:rPr>
              <w:t>Filtered, segmented, indexed, and sampled according to experiment design</w:t>
            </w:r>
          </w:p>
        </w:tc>
      </w:tr>
    </w:tbl>
    <w:p>
      <w:pPr>
        <w:widowControl/>
        <w:spacing w:after="0"/>
      </w:pPr>
    </w:p>
    <w:p>
      <w:pPr>
        <w:widowControl/>
        <w:spacing w:after="100" w:line="252" w:lineRule="auto"/>
      </w:pPr>
      <w:r>
        <w:rPr>
          <w:rFonts w:ascii="Aptos" w:hAnsi="Aptos"/>
          <w:b w:val="0"/>
          <w:i w:val="0"/>
          <w:sz w:val="21"/>
        </w:rPr>
        <w:t>This separation means that later changes to the time window, startup definition, investment types, minimum activity thresholds, negative sampling, or train/validation/test split can regenerate model-ready data from the same canonical source layer without repeating entity resolution.</w:t>
      </w:r>
    </w:p>
    <w:p>
      <w:pPr>
        <w:pStyle w:val="Heading1"/>
        <w:keepNext/>
        <w:spacing w:before="180" w:after="80"/>
      </w:pPr>
      <w:r>
        <w:rPr>
          <w:rFonts w:ascii="Aptos" w:hAnsi="Aptos"/>
          <w:b/>
          <w:i w:val="0"/>
          <w:color w:val="1F1F1F"/>
          <w:sz w:val="28"/>
        </w:rPr>
        <w:t>9. Final Data Dictionary: data/processed/interactions.parquet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E7E6E6"/>
            <w:tcMar>
              <w:top w:w="80" w:type="dxa"/>
              <w:start w:w="90" w:type="dxa"/>
              <w:bottom w:w="80" w:type="dxa"/>
              <w:end w:w="90" w:type="dxa"/>
            </w:tcMar>
            <w:vAlign w:val="center"/>
          </w:tcPr>
          <w:p>
            <w:pPr>
              <w:jc w:val="left"/>
            </w:pPr>
            <w:r>
              <w:rPr>
                <w:rFonts w:ascii="Aptos" w:hAnsi="Aptos"/>
                <w:b/>
                <w:i w:val="0"/>
                <w:sz w:val="16"/>
              </w:rPr>
              <w:t>Column</w:t>
            </w:r>
          </w:p>
        </w:tc>
        <w:tc>
          <w:tcPr>
            <w:tcW w:type="dxa" w:w="1152"/>
            <w:shd w:fill="E7E6E6"/>
            <w:tcMar>
              <w:top w:w="80" w:type="dxa"/>
              <w:start w:w="90" w:type="dxa"/>
              <w:bottom w:w="80" w:type="dxa"/>
              <w:end w:w="90" w:type="dxa"/>
            </w:tcMar>
            <w:vAlign w:val="center"/>
          </w:tcPr>
          <w:p>
            <w:pPr>
              <w:jc w:val="left"/>
            </w:pPr>
            <w:r>
              <w:rPr>
                <w:rFonts w:ascii="Aptos" w:hAnsi="Aptos"/>
                <w:b/>
                <w:i w:val="0"/>
                <w:sz w:val="16"/>
              </w:rPr>
              <w:t>Type</w:t>
            </w:r>
          </w:p>
        </w:tc>
        <w:tc>
          <w:tcPr>
            <w:tcW w:type="dxa" w:w="5184"/>
            <w:shd w:fill="E7E6E6"/>
            <w:tcMar>
              <w:top w:w="80" w:type="dxa"/>
              <w:start w:w="90" w:type="dxa"/>
              <w:bottom w:w="80" w:type="dxa"/>
              <w:end w:w="90" w:type="dxa"/>
            </w:tcMar>
            <w:vAlign w:val="center"/>
          </w:tcPr>
          <w:p>
            <w:pPr>
              <w:jc w:val="left"/>
            </w:pPr>
            <w:r>
              <w:rPr>
                <w:rFonts w:ascii="Aptos" w:hAnsi="Aptos"/>
                <w:b/>
                <w:i w:val="0"/>
                <w:sz w:val="16"/>
              </w:rPr>
              <w:t>Meaning</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interaction_id</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Unique canonical key constructed as funding_round_id::investor_id.</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funding_round_id</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Crunchbase funding-round identifier.</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investor_id</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High-confidence unique Crunchbase investor identifier.</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investor_name</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Canonical investor name retained for audit and debugging.</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startup_id</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High-confidence Crunchbase company/organization identifier.</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startup_name</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Organization name from the funding data.</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announced_on</w:t>
            </w:r>
          </w:p>
        </w:tc>
        <w:tc>
          <w:tcPr>
            <w:tcW w:type="dxa" w:w="1152"/>
            <w:tcMar>
              <w:top w:w="80" w:type="dxa"/>
              <w:start w:w="90" w:type="dxa"/>
              <w:bottom w:w="80" w:type="dxa"/>
              <w:end w:w="90" w:type="dxa"/>
            </w:tcMar>
            <w:vAlign w:val="top"/>
          </w:tcPr>
          <w:p>
            <w:pPr>
              <w:spacing w:after="0"/>
            </w:pPr>
            <w:r>
              <w:rPr>
                <w:rFonts w:ascii="Aptos" w:hAnsi="Aptos"/>
                <w:b w:val="0"/>
                <w:i w:val="0"/>
                <w:sz w:val="16"/>
              </w:rPr>
              <w:t>Date</w:t>
            </w:r>
          </w:p>
        </w:tc>
        <w:tc>
          <w:tcPr>
            <w:tcW w:type="dxa" w:w="5184"/>
            <w:tcMar>
              <w:top w:w="80" w:type="dxa"/>
              <w:start w:w="90" w:type="dxa"/>
              <w:bottom w:w="80" w:type="dxa"/>
              <w:end w:w="90" w:type="dxa"/>
            </w:tcMar>
            <w:vAlign w:val="top"/>
          </w:tcPr>
          <w:p>
            <w:pPr>
              <w:spacing w:after="0"/>
            </w:pPr>
            <w:r>
              <w:rPr>
                <w:rFonts w:ascii="Aptos" w:hAnsi="Aptos"/>
                <w:b w:val="0"/>
                <w:i w:val="0"/>
                <w:sz w:val="16"/>
              </w:rPr>
              <w:t>Funding-round announcement date.</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investment_type</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Crunchbase funding type, e.g. seed, series_a, grant, debt_financing.</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startup_resolution_method</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How startup/company identity was established.</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parse_quality_status</w:t>
            </w:r>
          </w:p>
        </w:tc>
        <w:tc>
          <w:tcPr>
            <w:tcW w:type="dxa" w:w="1152"/>
            <w:tcMar>
              <w:top w:w="80" w:type="dxa"/>
              <w:start w:w="90" w:type="dxa"/>
              <w:bottom w:w="80" w:type="dxa"/>
              <w:end w:w="90" w:type="dxa"/>
            </w:tcMar>
            <w:vAlign w:val="top"/>
          </w:tcPr>
          <w:p>
            <w:pPr>
              <w:spacing w:after="0"/>
            </w:pPr>
            <w:r>
              <w:rPr>
                <w:rFonts w:ascii="Aptos" w:hAnsi="Aptos"/>
                <w:b w:val="0"/>
                <w:i w:val="0"/>
                <w:sz w:val="16"/>
              </w:rPr>
              <w:t>String</w:t>
            </w:r>
          </w:p>
        </w:tc>
        <w:tc>
          <w:tcPr>
            <w:tcW w:type="dxa" w:w="5184"/>
            <w:tcMar>
              <w:top w:w="80" w:type="dxa"/>
              <w:start w:w="90" w:type="dxa"/>
              <w:bottom w:w="80" w:type="dxa"/>
              <w:end w:w="90" w:type="dxa"/>
            </w:tcMar>
            <w:vAlign w:val="top"/>
          </w:tcPr>
          <w:p>
            <w:pPr>
              <w:spacing w:after="0"/>
            </w:pPr>
            <w:r>
              <w:rPr>
                <w:rFonts w:ascii="Aptos" w:hAnsi="Aptos"/>
                <w:b w:val="0"/>
                <w:i w:val="0"/>
                <w:sz w:val="16"/>
              </w:rPr>
              <w:t>Quality label describing investor-string parsing.</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6"/>
              </w:rPr>
              <w:t>canonical_name_looks_malformed</w:t>
            </w:r>
          </w:p>
        </w:tc>
        <w:tc>
          <w:tcPr>
            <w:tcW w:type="dxa" w:w="1152"/>
            <w:tcMar>
              <w:top w:w="80" w:type="dxa"/>
              <w:start w:w="90" w:type="dxa"/>
              <w:bottom w:w="80" w:type="dxa"/>
              <w:end w:w="90" w:type="dxa"/>
            </w:tcMar>
            <w:vAlign w:val="top"/>
          </w:tcPr>
          <w:p>
            <w:pPr>
              <w:spacing w:after="0"/>
            </w:pPr>
            <w:r>
              <w:rPr>
                <w:rFonts w:ascii="Aptos" w:hAnsi="Aptos"/>
                <w:b w:val="0"/>
                <w:i w:val="0"/>
                <w:sz w:val="16"/>
              </w:rPr>
              <w:t>Boolean</w:t>
            </w:r>
          </w:p>
        </w:tc>
        <w:tc>
          <w:tcPr>
            <w:tcW w:type="dxa" w:w="5184"/>
            <w:tcMar>
              <w:top w:w="80" w:type="dxa"/>
              <w:start w:w="90" w:type="dxa"/>
              <w:bottom w:w="80" w:type="dxa"/>
              <w:end w:w="90" w:type="dxa"/>
            </w:tcMar>
            <w:vAlign w:val="top"/>
          </w:tcPr>
          <w:p>
            <w:pPr>
              <w:spacing w:after="0"/>
            </w:pPr>
            <w:r>
              <w:rPr>
                <w:rFonts w:ascii="Aptos" w:hAnsi="Aptos"/>
                <w:b w:val="0"/>
                <w:i w:val="0"/>
                <w:sz w:val="16"/>
              </w:rPr>
              <w:t>Whether the investor canonical name contains known malformed comma patterns.</w:t>
            </w:r>
          </w:p>
        </w:tc>
      </w:tr>
    </w:tbl>
    <w:p>
      <w:pPr>
        <w:widowControl/>
        <w:spacing w:after="20"/>
      </w:pPr>
    </w:p>
    <w:p>
      <w:pPr>
        <w:pStyle w:val="Heading2"/>
        <w:keepNext/>
        <w:spacing w:before="120" w:after="80"/>
      </w:pPr>
      <w:r>
        <w:rPr>
          <w:rFonts w:ascii="Aptos" w:hAnsi="Aptos"/>
          <w:b/>
          <w:i w:val="0"/>
          <w:color w:val="1F1F1F"/>
          <w:sz w:val="23"/>
        </w:rPr>
        <w:t>9.1 startup_resolution_method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E7E6E6"/>
            <w:tcMar>
              <w:top w:w="80" w:type="dxa"/>
              <w:start w:w="90" w:type="dxa"/>
              <w:bottom w:w="80" w:type="dxa"/>
              <w:end w:w="90" w:type="dxa"/>
            </w:tcMar>
            <w:vAlign w:val="center"/>
          </w:tcPr>
          <w:p>
            <w:pPr>
              <w:jc w:val="left"/>
            </w:pPr>
            <w:r>
              <w:rPr>
                <w:rFonts w:ascii="Aptos" w:hAnsi="Aptos"/>
                <w:b/>
                <w:i w:val="0"/>
                <w:sz w:val="17"/>
              </w:rPr>
              <w:t>Value</w:t>
            </w:r>
          </w:p>
        </w:tc>
        <w:tc>
          <w:tcPr>
            <w:tcW w:type="dxa" w:w="5328"/>
            <w:shd w:fill="E7E6E6"/>
            <w:tcMar>
              <w:top w:w="80" w:type="dxa"/>
              <w:start w:w="90" w:type="dxa"/>
              <w:bottom w:w="80" w:type="dxa"/>
              <w:end w:w="90" w:type="dxa"/>
            </w:tcMar>
            <w:vAlign w:val="center"/>
          </w:tcPr>
          <w:p>
            <w:pPr>
              <w:jc w:val="left"/>
            </w:pPr>
            <w:r>
              <w:rPr>
                <w:rFonts w:ascii="Aptos" w:hAnsi="Aptos"/>
                <w:b/>
                <w:i w:val="0"/>
                <w:sz w:val="17"/>
              </w:rPr>
              <w:t>Interpretation</w:t>
            </w:r>
          </w:p>
        </w:tc>
      </w:tr>
      <w:tr>
        <w:trPr>
          <w:cantSplit/>
        </w:trPr>
        <w:tc>
          <w:tcPr>
            <w:tcW w:type="dxa" w:w="3456"/>
            <w:tcMar>
              <w:top w:w="80" w:type="dxa"/>
              <w:start w:w="90" w:type="dxa"/>
              <w:bottom w:w="80" w:type="dxa"/>
              <w:end w:w="90" w:type="dxa"/>
            </w:tcMar>
            <w:vAlign w:val="top"/>
          </w:tcPr>
          <w:p>
            <w:pPr>
              <w:spacing w:after="0"/>
            </w:pPr>
            <w:r>
              <w:rPr>
                <w:rFonts w:ascii="Aptos" w:hAnsi="Aptos"/>
                <w:b w:val="0"/>
                <w:i w:val="0"/>
                <w:sz w:val="17"/>
              </w:rPr>
              <w:t>resolved_by_name</w:t>
            </w:r>
          </w:p>
        </w:tc>
        <w:tc>
          <w:tcPr>
            <w:tcW w:type="dxa" w:w="5328"/>
            <w:tcMar>
              <w:top w:w="80" w:type="dxa"/>
              <w:start w:w="90" w:type="dxa"/>
              <w:bottom w:w="80" w:type="dxa"/>
              <w:end w:w="90" w:type="dxa"/>
            </w:tcMar>
            <w:vAlign w:val="top"/>
          </w:tcPr>
          <w:p>
            <w:pPr>
              <w:spacing w:after="0"/>
            </w:pPr>
            <w:r>
              <w:rPr>
                <w:rFonts w:ascii="Aptos" w:hAnsi="Aptos"/>
                <w:b w:val="0"/>
                <w:i w:val="0"/>
                <w:sz w:val="17"/>
              </w:rPr>
              <w:t>The startup name matched exactly one company ID.</w:t>
            </w:r>
          </w:p>
        </w:tc>
      </w:tr>
      <w:tr>
        <w:trPr>
          <w:cantSplit/>
        </w:trPr>
        <w:tc>
          <w:tcPr>
            <w:tcW w:type="dxa" w:w="3456"/>
            <w:tcMar>
              <w:top w:w="80" w:type="dxa"/>
              <w:start w:w="90" w:type="dxa"/>
              <w:bottom w:w="80" w:type="dxa"/>
              <w:end w:w="90" w:type="dxa"/>
            </w:tcMar>
            <w:vAlign w:val="top"/>
          </w:tcPr>
          <w:p>
            <w:pPr>
              <w:spacing w:after="0"/>
            </w:pPr>
            <w:r>
              <w:rPr>
                <w:rFonts w:ascii="Aptos" w:hAnsi="Aptos"/>
                <w:b w:val="0"/>
                <w:i w:val="0"/>
                <w:sz w:val="17"/>
              </w:rPr>
              <w:t>resolved_by_name_and_website</w:t>
            </w:r>
          </w:p>
        </w:tc>
        <w:tc>
          <w:tcPr>
            <w:tcW w:type="dxa" w:w="5328"/>
            <w:tcMar>
              <w:top w:w="80" w:type="dxa"/>
              <w:start w:w="90" w:type="dxa"/>
              <w:bottom w:w="80" w:type="dxa"/>
              <w:end w:w="90" w:type="dxa"/>
            </w:tcMar>
            <w:vAlign w:val="top"/>
          </w:tcPr>
          <w:p>
            <w:pPr>
              <w:spacing w:after="0"/>
            </w:pPr>
            <w:r>
              <w:rPr>
                <w:rFonts w:ascii="Aptos" w:hAnsi="Aptos"/>
                <w:b w:val="0"/>
                <w:i w:val="0"/>
                <w:sz w:val="17"/>
              </w:rPr>
              <w:t>The name was ambiguous, but an exact website match selected exactly one ID already present in the name candidate set.</w:t>
            </w:r>
          </w:p>
        </w:tc>
      </w:tr>
    </w:tbl>
    <w:p>
      <w:pPr>
        <w:widowControl/>
        <w:spacing w:after="20"/>
      </w:pPr>
    </w:p>
    <w:p>
      <w:pPr>
        <w:widowControl/>
        <w:spacing w:after="100" w:line="252" w:lineRule="auto"/>
      </w:pPr>
      <w:r>
        <w:rPr>
          <w:rFonts w:ascii="Aptos" w:hAnsi="Aptos"/>
          <w:b w:val="0"/>
          <w:i w:val="0"/>
          <w:sz w:val="21"/>
        </w:rPr>
        <w:t>Unresolved startup statuses are preserved in intermediate diagnostics but are not present as accepted identities in the final canonical interaction table.</w:t>
      </w:r>
    </w:p>
    <w:p>
      <w:pPr>
        <w:pStyle w:val="Heading2"/>
        <w:keepNext/>
        <w:spacing w:before="120" w:after="80"/>
      </w:pPr>
      <w:r>
        <w:rPr>
          <w:rFonts w:ascii="Aptos" w:hAnsi="Aptos"/>
          <w:b/>
          <w:i w:val="0"/>
          <w:color w:val="1F1F1F"/>
          <w:sz w:val="23"/>
        </w:rPr>
        <w:t>9.2 parse_quality_status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E7E6E6"/>
            <w:tcMar>
              <w:top w:w="80" w:type="dxa"/>
              <w:start w:w="90" w:type="dxa"/>
              <w:bottom w:w="80" w:type="dxa"/>
              <w:end w:w="90" w:type="dxa"/>
            </w:tcMar>
            <w:vAlign w:val="center"/>
          </w:tcPr>
          <w:p>
            <w:pPr>
              <w:jc w:val="left"/>
            </w:pPr>
            <w:r>
              <w:rPr>
                <w:rFonts w:ascii="Aptos" w:hAnsi="Aptos"/>
                <w:b/>
                <w:i w:val="0"/>
                <w:sz w:val="16"/>
              </w:rPr>
              <w:t>Value</w:t>
            </w:r>
          </w:p>
        </w:tc>
        <w:tc>
          <w:tcPr>
            <w:tcW w:type="dxa" w:w="5472"/>
            <w:shd w:fill="E7E6E6"/>
            <w:tcMar>
              <w:top w:w="80" w:type="dxa"/>
              <w:start w:w="90" w:type="dxa"/>
              <w:bottom w:w="80" w:type="dxa"/>
              <w:end w:w="90" w:type="dxa"/>
            </w:tcMar>
            <w:vAlign w:val="center"/>
          </w:tcPr>
          <w:p>
            <w:pPr>
              <w:jc w:val="left"/>
            </w:pPr>
            <w:r>
              <w:rPr>
                <w:rFonts w:ascii="Aptos" w:hAnsi="Aptos"/>
                <w:b/>
                <w:i w:val="0"/>
                <w:sz w:val="16"/>
              </w:rPr>
              <w:t>Interpretation</w:t>
            </w:r>
          </w:p>
        </w:tc>
      </w:tr>
      <w:tr>
        <w:trPr>
          <w:cantSplit/>
        </w:trPr>
        <w:tc>
          <w:tcPr>
            <w:tcW w:type="dxa" w:w="3312"/>
            <w:tcMar>
              <w:top w:w="80" w:type="dxa"/>
              <w:start w:w="90" w:type="dxa"/>
              <w:bottom w:w="80" w:type="dxa"/>
              <w:end w:w="90" w:type="dxa"/>
            </w:tcMar>
            <w:vAlign w:val="top"/>
          </w:tcPr>
          <w:p>
            <w:pPr>
              <w:spacing w:after="0"/>
            </w:pPr>
            <w:r>
              <w:rPr>
                <w:rFonts w:ascii="Aptos" w:hAnsi="Aptos"/>
                <w:b w:val="0"/>
                <w:i w:val="0"/>
                <w:sz w:val="16"/>
              </w:rPr>
              <w:t>clean_full_parse</w:t>
            </w:r>
          </w:p>
        </w:tc>
        <w:tc>
          <w:tcPr>
            <w:tcW w:type="dxa" w:w="5472"/>
            <w:tcMar>
              <w:top w:w="80" w:type="dxa"/>
              <w:start w:w="90" w:type="dxa"/>
              <w:bottom w:w="80" w:type="dxa"/>
              <w:end w:w="90" w:type="dxa"/>
            </w:tcMar>
            <w:vAlign w:val="top"/>
          </w:tcPr>
          <w:p>
            <w:pPr>
              <w:spacing w:after="0"/>
            </w:pPr>
            <w:r>
              <w:rPr>
                <w:rFonts w:ascii="Aptos" w:hAnsi="Aptos"/>
                <w:b w:val="0"/>
                <w:i w:val="0"/>
                <w:sz w:val="16"/>
              </w:rPr>
              <w:t>Investor string has one complete canonical segmentation and no empty-chunk anomaly.</w:t>
            </w:r>
          </w:p>
        </w:tc>
      </w:tr>
      <w:tr>
        <w:trPr>
          <w:cantSplit/>
        </w:trPr>
        <w:tc>
          <w:tcPr>
            <w:tcW w:type="dxa" w:w="3312"/>
            <w:tcMar>
              <w:top w:w="80" w:type="dxa"/>
              <w:start w:w="90" w:type="dxa"/>
              <w:bottom w:w="80" w:type="dxa"/>
              <w:end w:w="90" w:type="dxa"/>
            </w:tcMar>
            <w:vAlign w:val="top"/>
          </w:tcPr>
          <w:p>
            <w:pPr>
              <w:spacing w:after="0"/>
            </w:pPr>
            <w:r>
              <w:rPr>
                <w:rFonts w:ascii="Aptos" w:hAnsi="Aptos"/>
                <w:b w:val="0"/>
                <w:i w:val="0"/>
                <w:sz w:val="16"/>
              </w:rPr>
              <w:t>empty_chunk_strict_only</w:t>
            </w:r>
          </w:p>
        </w:tc>
        <w:tc>
          <w:tcPr>
            <w:tcW w:type="dxa" w:w="5472"/>
            <w:tcMar>
              <w:top w:w="80" w:type="dxa"/>
              <w:start w:w="90" w:type="dxa"/>
              <w:bottom w:w="80" w:type="dxa"/>
              <w:end w:w="90" w:type="dxa"/>
            </w:tcMar>
            <w:vAlign w:val="top"/>
          </w:tcPr>
          <w:p>
            <w:pPr>
              <w:spacing w:after="0"/>
            </w:pPr>
            <w:r>
              <w:rPr>
                <w:rFonts w:ascii="Aptos" w:hAnsi="Aptos"/>
                <w:b w:val="0"/>
                <w:i w:val="0"/>
                <w:sz w:val="16"/>
              </w:rPr>
              <w:t>Source contains empty comma chunks, but only the strict canonical interpretation is supported.</w:t>
            </w:r>
          </w:p>
        </w:tc>
      </w:tr>
      <w:tr>
        <w:trPr>
          <w:cantSplit/>
        </w:trPr>
        <w:tc>
          <w:tcPr>
            <w:tcW w:type="dxa" w:w="3312"/>
            <w:tcMar>
              <w:top w:w="80" w:type="dxa"/>
              <w:start w:w="90" w:type="dxa"/>
              <w:bottom w:w="80" w:type="dxa"/>
              <w:end w:w="90" w:type="dxa"/>
            </w:tcMar>
            <w:vAlign w:val="top"/>
          </w:tcPr>
          <w:p>
            <w:pPr>
              <w:spacing w:after="0"/>
            </w:pPr>
            <w:r>
              <w:rPr>
                <w:rFonts w:ascii="Aptos" w:hAnsi="Aptos"/>
                <w:b w:val="0"/>
                <w:i w:val="0"/>
                <w:sz w:val="16"/>
              </w:rPr>
              <w:t>empty_chunk_dual_interpretation</w:t>
            </w:r>
          </w:p>
        </w:tc>
        <w:tc>
          <w:tcPr>
            <w:tcW w:type="dxa" w:w="5472"/>
            <w:tcMar>
              <w:top w:w="80" w:type="dxa"/>
              <w:start w:w="90" w:type="dxa"/>
              <w:bottom w:w="80" w:type="dxa"/>
              <w:end w:w="90" w:type="dxa"/>
            </w:tcMar>
            <w:vAlign w:val="top"/>
          </w:tcPr>
          <w:p>
            <w:pPr>
              <w:spacing w:after="0"/>
            </w:pPr>
            <w:r>
              <w:rPr>
                <w:rFonts w:ascii="Aptos" w:hAnsi="Aptos"/>
                <w:b w:val="0"/>
                <w:i w:val="0"/>
                <w:sz w:val="16"/>
              </w:rPr>
              <w:t>Source contains empty chunks and both strict and repaired interpretations are possible; strict is retained and the alternative is recorded upstream.</w:t>
            </w:r>
          </w:p>
        </w:tc>
      </w:tr>
      <w:tr>
        <w:trPr>
          <w:cantSplit/>
        </w:trPr>
        <w:tc>
          <w:tcPr>
            <w:tcW w:type="dxa" w:w="3312"/>
            <w:tcMar>
              <w:top w:w="80" w:type="dxa"/>
              <w:start w:w="90" w:type="dxa"/>
              <w:bottom w:w="80" w:type="dxa"/>
              <w:end w:w="90" w:type="dxa"/>
            </w:tcMar>
            <w:vAlign w:val="top"/>
          </w:tcPr>
          <w:p>
            <w:pPr>
              <w:spacing w:after="0"/>
            </w:pPr>
            <w:r>
              <w:rPr>
                <w:rFonts w:ascii="Aptos" w:hAnsi="Aptos"/>
                <w:b w:val="0"/>
                <w:i w:val="0"/>
                <w:sz w:val="16"/>
              </w:rPr>
              <w:t>partial_parse_known</w:t>
            </w:r>
          </w:p>
        </w:tc>
        <w:tc>
          <w:tcPr>
            <w:tcW w:type="dxa" w:w="5472"/>
            <w:tcMar>
              <w:top w:w="80" w:type="dxa"/>
              <w:start w:w="90" w:type="dxa"/>
              <w:bottom w:w="80" w:type="dxa"/>
              <w:end w:w="90" w:type="dxa"/>
            </w:tcMar>
            <w:vAlign w:val="top"/>
          </w:tcPr>
          <w:p>
            <w:pPr>
              <w:spacing w:after="0"/>
            </w:pPr>
            <w:r>
              <w:rPr>
                <w:rFonts w:ascii="Aptos" w:hAnsi="Aptos"/>
                <w:b w:val="0"/>
                <w:i w:val="0"/>
                <w:sz w:val="16"/>
              </w:rPr>
              <w:t>Known investors recovered from a row containing one unmatched source investor span.</w:t>
            </w:r>
          </w:p>
        </w:tc>
      </w:tr>
      <w:tr>
        <w:trPr>
          <w:cantSplit/>
        </w:trPr>
        <w:tc>
          <w:tcPr>
            <w:tcW w:type="dxa" w:w="3312"/>
            <w:tcMar>
              <w:top w:w="80" w:type="dxa"/>
              <w:start w:w="90" w:type="dxa"/>
              <w:bottom w:w="80" w:type="dxa"/>
              <w:end w:w="90" w:type="dxa"/>
            </w:tcMar>
            <w:vAlign w:val="top"/>
          </w:tcPr>
          <w:p>
            <w:pPr>
              <w:spacing w:after="0"/>
            </w:pPr>
            <w:r>
              <w:rPr>
                <w:rFonts w:ascii="Aptos" w:hAnsi="Aptos"/>
                <w:b w:val="0"/>
                <w:i w:val="0"/>
                <w:sz w:val="16"/>
              </w:rPr>
              <w:t>partial_parse_unmatched</w:t>
            </w:r>
          </w:p>
        </w:tc>
        <w:tc>
          <w:tcPr>
            <w:tcW w:type="dxa" w:w="5472"/>
            <w:tcMar>
              <w:top w:w="80" w:type="dxa"/>
              <w:start w:w="90" w:type="dxa"/>
              <w:bottom w:w="80" w:type="dxa"/>
              <w:end w:w="90" w:type="dxa"/>
            </w:tcMar>
            <w:vAlign w:val="top"/>
          </w:tcPr>
          <w:p>
            <w:pPr>
              <w:spacing w:after="0"/>
            </w:pPr>
            <w:r>
              <w:rPr>
                <w:rFonts w:ascii="Aptos" w:hAnsi="Aptos"/>
                <w:b w:val="0"/>
                <w:i w:val="0"/>
                <w:sz w:val="16"/>
              </w:rPr>
              <w:t>The unmatched source investor itself; does not survive into the high-confidence final interaction dataset.</w:t>
            </w:r>
          </w:p>
        </w:tc>
      </w:tr>
    </w:tbl>
    <w:p>
      <w:pPr>
        <w:widowControl/>
        <w:spacing w:after="20"/>
      </w:pPr>
    </w:p>
    <w:p>
      <w:pPr>
        <w:pStyle w:val="Heading1"/>
        <w:keepNext/>
        <w:spacing w:before="180" w:after="80"/>
      </w:pPr>
      <w:r>
        <w:rPr>
          <w:rFonts w:ascii="Aptos" w:hAnsi="Aptos"/>
          <w:b/>
          <w:i w:val="0"/>
          <w:color w:val="1F1F1F"/>
          <w:sz w:val="28"/>
        </w:rPr>
        <w:t>10. Intermediate Artifacts and Their Purpose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032"/>
            <w:shd w:fill="E7E6E6"/>
            <w:tcMar>
              <w:top w:w="80" w:type="dxa"/>
              <w:start w:w="90" w:type="dxa"/>
              <w:bottom w:w="80" w:type="dxa"/>
              <w:end w:w="90" w:type="dxa"/>
            </w:tcMar>
            <w:vAlign w:val="center"/>
          </w:tcPr>
          <w:p>
            <w:pPr>
              <w:jc w:val="left"/>
            </w:pPr>
            <w:r>
              <w:rPr>
                <w:rFonts w:ascii="Aptos" w:hAnsi="Aptos"/>
                <w:b/>
                <w:i w:val="0"/>
                <w:sz w:val="14"/>
              </w:rPr>
              <w:t>Artifact</w:t>
            </w:r>
          </w:p>
        </w:tc>
        <w:tc>
          <w:tcPr>
            <w:tcW w:type="dxa" w:w="4752"/>
            <w:shd w:fill="E7E6E6"/>
            <w:tcMar>
              <w:top w:w="80" w:type="dxa"/>
              <w:start w:w="90" w:type="dxa"/>
              <w:bottom w:w="80" w:type="dxa"/>
              <w:end w:w="90" w:type="dxa"/>
            </w:tcMar>
            <w:vAlign w:val="center"/>
          </w:tcPr>
          <w:p>
            <w:pPr>
              <w:jc w:val="left"/>
            </w:pPr>
            <w:r>
              <w:rPr>
                <w:rFonts w:ascii="Aptos" w:hAnsi="Aptos"/>
                <w:b/>
                <w:i w:val="0"/>
                <w:sz w:val="14"/>
              </w:rPr>
              <w:t>Purpose</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data/interim/investor_mentions.parquet</w:t>
            </w:r>
          </w:p>
        </w:tc>
        <w:tc>
          <w:tcPr>
            <w:tcW w:type="dxa" w:w="4752"/>
            <w:tcMar>
              <w:top w:w="80" w:type="dxa"/>
              <w:start w:w="90" w:type="dxa"/>
              <w:bottom w:w="80" w:type="dxa"/>
              <w:end w:w="90" w:type="dxa"/>
            </w:tcMar>
            <w:vAlign w:val="top"/>
          </w:tcPr>
          <w:p>
            <w:pPr>
              <w:spacing w:after="0"/>
            </w:pPr>
            <w:r>
              <w:rPr>
                <w:rFonts w:ascii="Aptos" w:hAnsi="Aptos"/>
                <w:b w:val="0"/>
                <w:i w:val="0"/>
                <w:sz w:val="14"/>
              </w:rPr>
              <w:t>One normalized row per investor mention per funding round.</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data/interim/investor_mentions_unresolved_rounds.csv</w:t>
            </w:r>
          </w:p>
        </w:tc>
        <w:tc>
          <w:tcPr>
            <w:tcW w:type="dxa" w:w="4752"/>
            <w:tcMar>
              <w:top w:w="80" w:type="dxa"/>
              <w:start w:w="90" w:type="dxa"/>
              <w:bottom w:w="80" w:type="dxa"/>
              <w:end w:w="90" w:type="dxa"/>
            </w:tcMar>
            <w:vAlign w:val="top"/>
          </w:tcPr>
          <w:p>
            <w:pPr>
              <w:spacing w:after="0"/>
            </w:pPr>
            <w:r>
              <w:rPr>
                <w:rFonts w:ascii="Aptos" w:hAnsi="Aptos"/>
                <w:b w:val="0"/>
                <w:i w:val="0"/>
                <w:sz w:val="14"/>
              </w:rPr>
              <w:t>Diagnostic created if investor-string segmentation cannot be recovered conservatively.</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data/interim/company_name_id_ambiguities.csv</w:t>
            </w:r>
          </w:p>
        </w:tc>
        <w:tc>
          <w:tcPr>
            <w:tcW w:type="dxa" w:w="4752"/>
            <w:tcMar>
              <w:top w:w="80" w:type="dxa"/>
              <w:start w:w="90" w:type="dxa"/>
              <w:bottom w:w="80" w:type="dxa"/>
              <w:end w:w="90" w:type="dxa"/>
            </w:tcMar>
            <w:vAlign w:val="top"/>
          </w:tcPr>
          <w:p>
            <w:pPr>
              <w:spacing w:after="0"/>
            </w:pPr>
            <w:r>
              <w:rPr>
                <w:rFonts w:ascii="Aptos" w:hAnsi="Aptos"/>
                <w:b w:val="0"/>
                <w:i w:val="0"/>
                <w:sz w:val="14"/>
              </w:rPr>
              <w:t>Company names mapping to multiple company IDs.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data/interim/startup_name_unmatched.csv</w:t>
            </w:r>
          </w:p>
        </w:tc>
        <w:tc>
          <w:tcPr>
            <w:tcW w:type="dxa" w:w="4752"/>
            <w:tcMar>
              <w:top w:w="80" w:type="dxa"/>
              <w:start w:w="90" w:type="dxa"/>
              <w:bottom w:w="80" w:type="dxa"/>
              <w:end w:w="90" w:type="dxa"/>
            </w:tcMar>
            <w:vAlign w:val="top"/>
          </w:tcPr>
          <w:p>
            <w:pPr>
              <w:spacing w:after="0"/>
            </w:pPr>
            <w:r>
              <w:rPr>
                <w:rFonts w:ascii="Aptos" w:hAnsi="Aptos"/>
                <w:b w:val="0"/>
                <w:i w:val="0"/>
                <w:sz w:val="14"/>
              </w:rPr>
              <w:t>Startup names not found by exact name.</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data/interim/company_identity_master_raw.parquet</w:t>
            </w:r>
          </w:p>
        </w:tc>
        <w:tc>
          <w:tcPr>
            <w:tcW w:type="dxa" w:w="4752"/>
            <w:tcMar>
              <w:top w:w="80" w:type="dxa"/>
              <w:start w:w="90" w:type="dxa"/>
              <w:bottom w:w="80" w:type="dxa"/>
              <w:end w:w="90" w:type="dxa"/>
            </w:tcMar>
            <w:vAlign w:val="top"/>
          </w:tcPr>
          <w:p>
            <w:pPr>
              <w:spacing w:after="0"/>
            </w:pPr>
            <w:r>
              <w:rPr>
                <w:rFonts w:ascii="Aptos" w:hAnsi="Aptos"/>
                <w:b w:val="0"/>
                <w:i w:val="0"/>
                <w:sz w:val="14"/>
              </w:rPr>
              <w:t>Compact company ID/name/website identity master, including repeated source rows.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data/interim/company_duplicate_id_summary.csv</w:t>
            </w:r>
          </w:p>
        </w:tc>
        <w:tc>
          <w:tcPr>
            <w:tcW w:type="dxa" w:w="4752"/>
            <w:tcMar>
              <w:top w:w="80" w:type="dxa"/>
              <w:start w:w="90" w:type="dxa"/>
              <w:bottom w:w="80" w:type="dxa"/>
              <w:end w:w="90" w:type="dxa"/>
            </w:tcMar>
            <w:vAlign w:val="top"/>
          </w:tcPr>
          <w:p>
            <w:pPr>
              <w:spacing w:after="0"/>
            </w:pPr>
            <w:r>
              <w:rPr>
                <w:rFonts w:ascii="Aptos" w:hAnsi="Aptos"/>
                <w:b w:val="0"/>
                <w:i w:val="0"/>
                <w:sz w:val="14"/>
              </w:rPr>
              <w:t>Summary of company IDs appearing in more than one shard row.</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data/interim/company_duplicate_id_conflicts.csv</w:t>
            </w:r>
          </w:p>
        </w:tc>
        <w:tc>
          <w:tcPr>
            <w:tcW w:type="dxa" w:w="4752"/>
            <w:tcMar>
              <w:top w:w="80" w:type="dxa"/>
              <w:start w:w="90" w:type="dxa"/>
              <w:bottom w:w="80" w:type="dxa"/>
              <w:end w:w="90" w:type="dxa"/>
            </w:tcMar>
            <w:vAlign w:val="top"/>
          </w:tcPr>
          <w:p>
            <w:pPr>
              <w:spacing w:after="0"/>
            </w:pPr>
            <w:r>
              <w:rPr>
                <w:rFonts w:ascii="Aptos" w:hAnsi="Aptos"/>
                <w:b w:val="0"/>
                <w:i w:val="0"/>
                <w:sz w:val="14"/>
              </w:rPr>
              <w:t>Rows for repeated company IDs with conflicting identity fields.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data/interim/company_website_ambiguities.csv</w:t>
            </w:r>
          </w:p>
        </w:tc>
        <w:tc>
          <w:tcPr>
            <w:tcW w:type="dxa" w:w="4752"/>
            <w:tcMar>
              <w:top w:w="80" w:type="dxa"/>
              <w:start w:w="90" w:type="dxa"/>
              <w:bottom w:w="80" w:type="dxa"/>
              <w:end w:w="90" w:type="dxa"/>
            </w:tcMar>
            <w:vAlign w:val="top"/>
          </w:tcPr>
          <w:p>
            <w:pPr>
              <w:spacing w:after="0"/>
            </w:pPr>
            <w:r>
              <w:rPr>
                <w:rFonts w:ascii="Aptos" w:hAnsi="Aptos"/>
                <w:b w:val="0"/>
                <w:i w:val="0"/>
                <w:sz w:val="14"/>
              </w:rPr>
              <w:t>Exact websites mapping to multiple company IDs.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data/interim/startup_website_resolution_audit.parquet</w:t>
            </w:r>
          </w:p>
        </w:tc>
        <w:tc>
          <w:tcPr>
            <w:tcW w:type="dxa" w:w="4752"/>
            <w:tcMar>
              <w:top w:w="80" w:type="dxa"/>
              <w:start w:w="90" w:type="dxa"/>
              <w:bottom w:w="80" w:type="dxa"/>
              <w:end w:w="90" w:type="dxa"/>
            </w:tcMar>
            <w:vAlign w:val="top"/>
          </w:tcPr>
          <w:p>
            <w:pPr>
              <w:spacing w:after="0"/>
            </w:pPr>
            <w:r>
              <w:rPr>
                <w:rFonts w:ascii="Aptos" w:hAnsi="Aptos"/>
                <w:b w:val="0"/>
                <w:i w:val="0"/>
                <w:sz w:val="14"/>
              </w:rPr>
              <w:t>Complete funding-round-level name-versus-website resolution audit.</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data/interim/startup_ambiguous_name_website_candidates.csv</w:t>
            </w:r>
          </w:p>
        </w:tc>
        <w:tc>
          <w:tcPr>
            <w:tcW w:type="dxa" w:w="4752"/>
            <w:tcMar>
              <w:top w:w="80" w:type="dxa"/>
              <w:start w:w="90" w:type="dxa"/>
              <w:bottom w:w="80" w:type="dxa"/>
              <w:end w:w="90" w:type="dxa"/>
            </w:tcMar>
            <w:vAlign w:val="top"/>
          </w:tcPr>
          <w:p>
            <w:pPr>
              <w:spacing w:after="0"/>
            </w:pPr>
            <w:r>
              <w:rPr>
                <w:rFonts w:ascii="Aptos" w:hAnsi="Aptos"/>
                <w:b w:val="0"/>
                <w:i w:val="0"/>
                <w:sz w:val="14"/>
              </w:rPr>
              <w:t>Diagnostic for ambiguous names with unique website evidence.</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data/interim/startup_unmatched_name_website_candidates.csv</w:t>
            </w:r>
          </w:p>
        </w:tc>
        <w:tc>
          <w:tcPr>
            <w:tcW w:type="dxa" w:w="4752"/>
            <w:tcMar>
              <w:top w:w="80" w:type="dxa"/>
              <w:start w:w="90" w:type="dxa"/>
              <w:bottom w:w="80" w:type="dxa"/>
              <w:end w:w="90" w:type="dxa"/>
            </w:tcMar>
            <w:vAlign w:val="top"/>
          </w:tcPr>
          <w:p>
            <w:pPr>
              <w:spacing w:after="0"/>
            </w:pPr>
            <w:r>
              <w:rPr>
                <w:rFonts w:ascii="Aptos" w:hAnsi="Aptos"/>
                <w:b w:val="0"/>
                <w:i w:val="0"/>
                <w:sz w:val="14"/>
              </w:rPr>
              <w:t>Website candidates for unmatched names.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data/interim/startup_resolution_by_round.parquet</w:t>
            </w:r>
          </w:p>
        </w:tc>
        <w:tc>
          <w:tcPr>
            <w:tcW w:type="dxa" w:w="4752"/>
            <w:tcMar>
              <w:top w:w="80" w:type="dxa"/>
              <w:start w:w="90" w:type="dxa"/>
              <w:bottom w:w="80" w:type="dxa"/>
              <w:end w:w="90" w:type="dxa"/>
            </w:tcMar>
            <w:vAlign w:val="top"/>
          </w:tcPr>
          <w:p>
            <w:pPr>
              <w:spacing w:after="0"/>
            </w:pPr>
            <w:r>
              <w:rPr>
                <w:rFonts w:ascii="Aptos" w:hAnsi="Aptos"/>
                <w:b w:val="0"/>
                <w:i w:val="0"/>
                <w:sz w:val="14"/>
              </w:rPr>
              <w:t>Final startup/company ID decision per funding round.</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data/interim/startup_resolution_unresolved.csv</w:t>
            </w:r>
          </w:p>
        </w:tc>
        <w:tc>
          <w:tcPr>
            <w:tcW w:type="dxa" w:w="4752"/>
            <w:tcMar>
              <w:top w:w="80" w:type="dxa"/>
              <w:start w:w="90" w:type="dxa"/>
              <w:bottom w:w="80" w:type="dxa"/>
              <w:end w:w="90" w:type="dxa"/>
            </w:tcMar>
            <w:vAlign w:val="top"/>
          </w:tcPr>
          <w:p>
            <w:pPr>
              <w:spacing w:after="0"/>
            </w:pPr>
            <w:r>
              <w:rPr>
                <w:rFonts w:ascii="Aptos" w:hAnsi="Aptos"/>
                <w:b w:val="0"/>
                <w:i w:val="0"/>
                <w:sz w:val="14"/>
              </w:rPr>
              <w:t>Funding rounds that remain unresolved after conservative rules.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data/interim/candidate_interactions.parquet</w:t>
            </w:r>
          </w:p>
        </w:tc>
        <w:tc>
          <w:tcPr>
            <w:tcW w:type="dxa" w:w="4752"/>
            <w:tcMar>
              <w:top w:w="80" w:type="dxa"/>
              <w:start w:w="90" w:type="dxa"/>
              <w:bottom w:w="80" w:type="dxa"/>
              <w:end w:w="90" w:type="dxa"/>
            </w:tcMar>
            <w:vAlign w:val="top"/>
          </w:tcPr>
          <w:p>
            <w:pPr>
              <w:spacing w:after="0"/>
            </w:pPr>
            <w:r>
              <w:rPr>
                <w:rFonts w:ascii="Aptos" w:hAnsi="Aptos"/>
                <w:b w:val="0"/>
                <w:i w:val="0"/>
                <w:sz w:val="14"/>
              </w:rPr>
              <w:t>High-confidence investor-startup interaction candidates before final freeze.</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data/interim/interaction_exclusion_summary.csv</w:t>
            </w:r>
          </w:p>
        </w:tc>
        <w:tc>
          <w:tcPr>
            <w:tcW w:type="dxa" w:w="4752"/>
            <w:tcMar>
              <w:top w:w="80" w:type="dxa"/>
              <w:start w:w="90" w:type="dxa"/>
              <w:bottom w:w="80" w:type="dxa"/>
              <w:end w:w="90" w:type="dxa"/>
            </w:tcMar>
            <w:vAlign w:val="top"/>
          </w:tcPr>
          <w:p>
            <w:pPr>
              <w:spacing w:after="0"/>
            </w:pPr>
            <w:r>
              <w:rPr>
                <w:rFonts w:ascii="Aptos" w:hAnsi="Aptos"/>
                <w:b w:val="0"/>
                <w:i w:val="0"/>
                <w:sz w:val="14"/>
              </w:rPr>
              <w:t>Counts and reasons for ineligible investor mentions.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data/interim/interaction_same_day_duplicate_audit.csv</w:t>
            </w:r>
          </w:p>
        </w:tc>
        <w:tc>
          <w:tcPr>
            <w:tcW w:type="dxa" w:w="4752"/>
            <w:tcMar>
              <w:top w:w="80" w:type="dxa"/>
              <w:start w:w="90" w:type="dxa"/>
              <w:bottom w:w="80" w:type="dxa"/>
              <w:end w:w="90" w:type="dxa"/>
            </w:tcMar>
            <w:vAlign w:val="top"/>
          </w:tcPr>
          <w:p>
            <w:pPr>
              <w:spacing w:after="0"/>
            </w:pPr>
            <w:r>
              <w:rPr>
                <w:rFonts w:ascii="Aptos" w:hAnsi="Aptos"/>
                <w:b w:val="0"/>
                <w:i w:val="0"/>
                <w:sz w:val="14"/>
              </w:rPr>
              <w:t>Same investor-startup-date groups used for duplicate assessment.</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data/processed/interactions.parquet</w:t>
            </w:r>
          </w:p>
        </w:tc>
        <w:tc>
          <w:tcPr>
            <w:tcW w:type="dxa" w:w="4752"/>
            <w:tcMar>
              <w:top w:w="80" w:type="dxa"/>
              <w:start w:w="90" w:type="dxa"/>
              <w:bottom w:w="80" w:type="dxa"/>
              <w:end w:w="90" w:type="dxa"/>
            </w:tcMar>
            <w:vAlign w:val="top"/>
          </w:tcPr>
          <w:p>
            <w:pPr>
              <w:spacing w:after="0"/>
            </w:pPr>
            <w:r>
              <w:rPr>
                <w:rFonts w:ascii="Aptos" w:hAnsi="Aptos"/>
                <w:b w:val="0"/>
                <w:i w:val="0"/>
                <w:sz w:val="14"/>
              </w:rPr>
              <w:t>Final Phase-1 canonical interaction dataset.</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data/processed/interactions_summary.csv</w:t>
            </w:r>
          </w:p>
        </w:tc>
        <w:tc>
          <w:tcPr>
            <w:tcW w:type="dxa" w:w="4752"/>
            <w:tcMar>
              <w:top w:w="80" w:type="dxa"/>
              <w:start w:w="90" w:type="dxa"/>
              <w:bottom w:w="80" w:type="dxa"/>
              <w:end w:w="90" w:type="dxa"/>
            </w:tcMar>
            <w:vAlign w:val="top"/>
          </w:tcPr>
          <w:p>
            <w:pPr>
              <w:spacing w:after="0"/>
            </w:pPr>
            <w:r>
              <w:rPr>
                <w:rFonts w:ascii="Aptos" w:hAnsi="Aptos"/>
                <w:b w:val="0"/>
                <w:i w:val="0"/>
                <w:sz w:val="14"/>
              </w:rPr>
              <w:t>Final Phase-1 summary statistics.</w:t>
            </w:r>
          </w:p>
        </w:tc>
      </w:tr>
      <w:tr>
        <w:trPr>
          <w:cantSplit/>
        </w:trPr>
        <w:tc>
          <w:tcPr>
            <w:tcW w:type="dxa" w:w="4032"/>
            <w:tcMar>
              <w:top w:w="80" w:type="dxa"/>
              <w:start w:w="90" w:type="dxa"/>
              <w:bottom w:w="80" w:type="dxa"/>
              <w:end w:w="90" w:type="dxa"/>
            </w:tcMar>
            <w:vAlign w:val="top"/>
          </w:tcPr>
          <w:p>
            <w:pPr>
              <w:spacing w:after="0"/>
            </w:pPr>
            <w:r>
              <w:rPr>
                <w:rFonts w:ascii="Aptos" w:hAnsi="Aptos"/>
                <w:b w:val="0"/>
                <w:i w:val="0"/>
                <w:sz w:val="14"/>
              </w:rPr>
              <w:t>data/processed/same_day_interaction_summary.csv</w:t>
            </w:r>
          </w:p>
        </w:tc>
        <w:tc>
          <w:tcPr>
            <w:tcW w:type="dxa" w:w="4752"/>
            <w:tcMar>
              <w:top w:w="80" w:type="dxa"/>
              <w:start w:w="90" w:type="dxa"/>
              <w:bottom w:w="80" w:type="dxa"/>
              <w:end w:w="90" w:type="dxa"/>
            </w:tcMar>
            <w:vAlign w:val="top"/>
          </w:tcPr>
          <w:p>
            <w:pPr>
              <w:spacing w:after="0"/>
            </w:pPr>
            <w:r>
              <w:rPr>
                <w:rFonts w:ascii="Aptos" w:hAnsi="Aptos"/>
                <w:b w:val="0"/>
                <w:i w:val="0"/>
                <w:sz w:val="14"/>
              </w:rPr>
              <w:t>Characterization of preserved same-day repeated events.</w:t>
            </w:r>
          </w:p>
        </w:tc>
      </w:tr>
    </w:tbl>
    <w:p>
      <w:pPr>
        <w:widowControl/>
        <w:spacing w:after="20"/>
      </w:pPr>
    </w:p>
    <w:p>
      <w:pPr>
        <w:pStyle w:val="Heading1"/>
        <w:keepNext/>
        <w:spacing w:before="180" w:after="80"/>
      </w:pPr>
      <w:r>
        <w:rPr>
          <w:rFonts w:ascii="Aptos" w:hAnsi="Aptos"/>
          <w:b/>
          <w:i w:val="0"/>
          <w:color w:val="1F1F1F"/>
          <w:sz w:val="28"/>
        </w:rPr>
        <w:t>11. Important Implementation Changes and Lessons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E7E6E6"/>
            <w:tcMar>
              <w:top w:w="80" w:type="dxa"/>
              <w:start w:w="90" w:type="dxa"/>
              <w:bottom w:w="80" w:type="dxa"/>
              <w:end w:w="90" w:type="dxa"/>
            </w:tcMar>
            <w:vAlign w:val="center"/>
          </w:tcPr>
          <w:p>
            <w:pPr>
              <w:jc w:val="left"/>
            </w:pPr>
            <w:r>
              <w:rPr>
                <w:rFonts w:ascii="Aptos" w:hAnsi="Aptos"/>
                <w:b/>
                <w:i w:val="0"/>
                <w:sz w:val="16"/>
              </w:rPr>
              <w:t>Change</w:t>
            </w:r>
          </w:p>
        </w:tc>
        <w:tc>
          <w:tcPr>
            <w:tcW w:type="dxa" w:w="5184"/>
            <w:shd w:fill="E7E6E6"/>
            <w:tcMar>
              <w:top w:w="80" w:type="dxa"/>
              <w:start w:w="90" w:type="dxa"/>
              <w:bottom w:w="80" w:type="dxa"/>
              <w:end w:w="90" w:type="dxa"/>
            </w:tcMar>
            <w:vAlign w:val="center"/>
          </w:tcPr>
          <w:p>
            <w:pPr>
              <w:jc w:val="left"/>
            </w:pPr>
            <w:r>
              <w:rPr>
                <w:rFonts w:ascii="Aptos" w:hAnsi="Aptos"/>
                <w:b/>
                <w:i w:val="0"/>
                <w:sz w:val="16"/>
              </w:rPr>
              <w:t>Reason / implication</w:t>
            </w:r>
          </w:p>
        </w:tc>
      </w:tr>
      <w:tr>
        <w:trPr>
          <w:cantSplit/>
        </w:trPr>
        <w:tc>
          <w:tcPr>
            <w:tcW w:type="dxa" w:w="3600"/>
            <w:tcMar>
              <w:top w:w="80" w:type="dxa"/>
              <w:start w:w="90" w:type="dxa"/>
              <w:bottom w:w="80" w:type="dxa"/>
              <w:end w:w="90" w:type="dxa"/>
            </w:tcMar>
            <w:vAlign w:val="top"/>
          </w:tcPr>
          <w:p>
            <w:pPr>
              <w:spacing w:after="0"/>
            </w:pPr>
            <w:r>
              <w:rPr>
                <w:rFonts w:ascii="Aptos" w:hAnsi="Aptos"/>
                <w:b w:val="0"/>
                <w:i w:val="0"/>
                <w:sz w:val="16"/>
              </w:rPr>
              <w:t>Naive comma parsing was abandoned</w:t>
            </w:r>
          </w:p>
        </w:tc>
        <w:tc>
          <w:tcPr>
            <w:tcW w:type="dxa" w:w="5184"/>
            <w:tcMar>
              <w:top w:w="80" w:type="dxa"/>
              <w:start w:w="90" w:type="dxa"/>
              <w:bottom w:w="80" w:type="dxa"/>
              <w:end w:w="90" w:type="dxa"/>
            </w:tcMar>
            <w:vAlign w:val="top"/>
          </w:tcPr>
          <w:p>
            <w:pPr>
              <w:spacing w:after="0"/>
            </w:pPr>
            <w:r>
              <w:rPr>
                <w:rFonts w:ascii="Aptos" w:hAnsi="Aptos"/>
                <w:b w:val="0"/>
                <w:i w:val="0"/>
                <w:sz w:val="16"/>
              </w:rPr>
              <w:t>The investor field could not be safely split by comma because canonical names themselves contain commas.</w:t>
            </w:r>
          </w:p>
        </w:tc>
      </w:tr>
      <w:tr>
        <w:trPr>
          <w:cantSplit/>
        </w:trPr>
        <w:tc>
          <w:tcPr>
            <w:tcW w:type="dxa" w:w="3600"/>
            <w:tcMar>
              <w:top w:w="80" w:type="dxa"/>
              <w:start w:w="90" w:type="dxa"/>
              <w:bottom w:w="80" w:type="dxa"/>
              <w:end w:w="90" w:type="dxa"/>
            </w:tcMar>
            <w:vAlign w:val="top"/>
          </w:tcPr>
          <w:p>
            <w:pPr>
              <w:spacing w:after="0"/>
            </w:pPr>
            <w:r>
              <w:rPr>
                <w:rFonts w:ascii="Aptos" w:hAnsi="Aptos"/>
                <w:b w:val="0"/>
                <w:i w:val="0"/>
                <w:sz w:val="16"/>
              </w:rPr>
              <w:t>Parsing became conservative</w:t>
            </w:r>
          </w:p>
        </w:tc>
        <w:tc>
          <w:tcPr>
            <w:tcW w:type="dxa" w:w="5184"/>
            <w:tcMar>
              <w:top w:w="80" w:type="dxa"/>
              <w:start w:w="90" w:type="dxa"/>
              <w:bottom w:w="80" w:type="dxa"/>
              <w:end w:w="90" w:type="dxa"/>
            </w:tcMar>
            <w:vAlign w:val="top"/>
          </w:tcPr>
          <w:p>
            <w:pPr>
              <w:spacing w:after="0"/>
            </w:pPr>
            <w:r>
              <w:rPr>
                <w:rFonts w:ascii="Aptos" w:hAnsi="Aptos"/>
                <w:b w:val="0"/>
                <w:i w:val="0"/>
                <w:sz w:val="16"/>
              </w:rPr>
              <w:t>Aggressive normalization, fuzzy matching, and silent name cleaning were intentionally avoided.</w:t>
            </w:r>
          </w:p>
        </w:tc>
      </w:tr>
      <w:tr>
        <w:trPr>
          <w:cantSplit/>
        </w:trPr>
        <w:tc>
          <w:tcPr>
            <w:tcW w:type="dxa" w:w="3600"/>
            <w:tcMar>
              <w:top w:w="80" w:type="dxa"/>
              <w:start w:w="90" w:type="dxa"/>
              <w:bottom w:w="80" w:type="dxa"/>
              <w:end w:w="90" w:type="dxa"/>
            </w:tcMar>
            <w:vAlign w:val="top"/>
          </w:tcPr>
          <w:p>
            <w:pPr>
              <w:spacing w:after="0"/>
            </w:pPr>
            <w:r>
              <w:rPr>
                <w:rFonts w:ascii="Aptos" w:hAnsi="Aptos"/>
                <w:b w:val="0"/>
                <w:i w:val="0"/>
                <w:sz w:val="16"/>
              </w:rPr>
              <w:t>Explicit Polars schemas were introduced</w:t>
            </w:r>
          </w:p>
        </w:tc>
        <w:tc>
          <w:tcPr>
            <w:tcW w:type="dxa" w:w="5184"/>
            <w:tcMar>
              <w:top w:w="80" w:type="dxa"/>
              <w:start w:w="90" w:type="dxa"/>
              <w:bottom w:w="80" w:type="dxa"/>
              <w:end w:w="90" w:type="dxa"/>
            </w:tcMar>
            <w:vAlign w:val="top"/>
          </w:tcPr>
          <w:p>
            <w:pPr>
              <w:spacing w:after="0"/>
            </w:pPr>
            <w:r>
              <w:rPr>
                <w:rFonts w:ascii="Aptos" w:hAnsi="Aptos"/>
                <w:b w:val="0"/>
                <w:i w:val="0"/>
                <w:sz w:val="16"/>
              </w:rPr>
              <w:t>A rare non-null alternate_repair_solution exposed a schema-inference failure; important intermediate datasets now use intentional schemas.</w:t>
            </w:r>
          </w:p>
        </w:tc>
      </w:tr>
      <w:tr>
        <w:trPr>
          <w:cantSplit/>
        </w:trPr>
        <w:tc>
          <w:tcPr>
            <w:tcW w:type="dxa" w:w="3600"/>
            <w:tcMar>
              <w:top w:w="80" w:type="dxa"/>
              <w:start w:w="90" w:type="dxa"/>
              <w:bottom w:w="80" w:type="dxa"/>
              <w:end w:w="90" w:type="dxa"/>
            </w:tcMar>
            <w:vAlign w:val="top"/>
          </w:tcPr>
          <w:p>
            <w:pPr>
              <w:spacing w:after="0"/>
            </w:pPr>
            <w:r>
              <w:rPr>
                <w:rFonts w:ascii="Aptos" w:hAnsi="Aptos"/>
                <w:b w:val="0"/>
                <w:i w:val="0"/>
                <w:sz w:val="16"/>
              </w:rPr>
              <w:t>Polars CSV compatibility was fixed</w:t>
            </w:r>
          </w:p>
        </w:tc>
        <w:tc>
          <w:tcPr>
            <w:tcW w:type="dxa" w:w="5184"/>
            <w:tcMar>
              <w:top w:w="80" w:type="dxa"/>
              <w:start w:w="90" w:type="dxa"/>
              <w:bottom w:w="80" w:type="dxa"/>
              <w:end w:w="90" w:type="dxa"/>
            </w:tcMar>
            <w:vAlign w:val="top"/>
          </w:tcPr>
          <w:p>
            <w:pPr>
              <w:spacing w:after="0"/>
            </w:pPr>
            <w:r>
              <w:rPr>
                <w:rFonts w:ascii="Aptos" w:hAnsi="Aptos"/>
                <w:b w:val="0"/>
                <w:i w:val="0"/>
                <w:sz w:val="16"/>
              </w:rPr>
              <w:t>empty_as_null was replaced with the environment-supported empty_string_is_null argument.</w:t>
            </w:r>
          </w:p>
        </w:tc>
      </w:tr>
      <w:tr>
        <w:trPr>
          <w:cantSplit/>
        </w:trPr>
        <w:tc>
          <w:tcPr>
            <w:tcW w:type="dxa" w:w="3600"/>
            <w:tcMar>
              <w:top w:w="80" w:type="dxa"/>
              <w:start w:w="90" w:type="dxa"/>
              <w:bottom w:w="80" w:type="dxa"/>
              <w:end w:w="90" w:type="dxa"/>
            </w:tcMar>
            <w:vAlign w:val="top"/>
          </w:tcPr>
          <w:p>
            <w:pPr>
              <w:spacing w:after="0"/>
            </w:pPr>
            <w:r>
              <w:rPr>
                <w:rFonts w:ascii="Aptos" w:hAnsi="Aptos"/>
                <w:b w:val="0"/>
                <w:i w:val="0"/>
                <w:sz w:val="16"/>
              </w:rPr>
              <w:t>Website became a validated secondary resolver</w:t>
            </w:r>
          </w:p>
        </w:tc>
        <w:tc>
          <w:tcPr>
            <w:tcW w:type="dxa" w:w="5184"/>
            <w:tcMar>
              <w:top w:w="80" w:type="dxa"/>
              <w:start w:w="90" w:type="dxa"/>
              <w:bottom w:w="80" w:type="dxa"/>
              <w:end w:w="90" w:type="dxa"/>
            </w:tcMar>
            <w:vAlign w:val="top"/>
          </w:tcPr>
          <w:p>
            <w:pPr>
              <w:spacing w:after="0"/>
            </w:pPr>
            <w:r>
              <w:rPr>
                <w:rFonts w:ascii="Aptos" w:hAnsi="Aptos"/>
                <w:b w:val="0"/>
                <w:i w:val="0"/>
                <w:sz w:val="16"/>
              </w:rPr>
              <w:t>Exact website evidence was adopted only after 495,869 control agreements and zero control conflicts.</w:t>
            </w:r>
          </w:p>
        </w:tc>
      </w:tr>
      <w:tr>
        <w:trPr>
          <w:cantSplit/>
        </w:trPr>
        <w:tc>
          <w:tcPr>
            <w:tcW w:type="dxa" w:w="3600"/>
            <w:tcMar>
              <w:top w:w="80" w:type="dxa"/>
              <w:start w:w="90" w:type="dxa"/>
              <w:bottom w:w="80" w:type="dxa"/>
              <w:end w:w="90" w:type="dxa"/>
            </w:tcMar>
            <w:vAlign w:val="top"/>
          </w:tcPr>
          <w:p>
            <w:pPr>
              <w:spacing w:after="0"/>
            </w:pPr>
            <w:r>
              <w:rPr>
                <w:rFonts w:ascii="Aptos" w:hAnsi="Aptos"/>
                <w:b w:val="0"/>
                <w:i w:val="0"/>
                <w:sz w:val="16"/>
              </w:rPr>
              <w:t>Same-day funding events were preserved</w:t>
            </w:r>
          </w:p>
        </w:tc>
        <w:tc>
          <w:tcPr>
            <w:tcW w:type="dxa" w:w="5184"/>
            <w:tcMar>
              <w:top w:w="80" w:type="dxa"/>
              <w:start w:w="90" w:type="dxa"/>
              <w:bottom w:w="80" w:type="dxa"/>
              <w:end w:w="90" w:type="dxa"/>
            </w:tcMar>
            <w:vAlign w:val="top"/>
          </w:tcPr>
          <w:p>
            <w:pPr>
              <w:spacing w:after="0"/>
            </w:pPr>
            <w:r>
              <w:rPr>
                <w:rFonts w:ascii="Aptos" w:hAnsi="Aptos"/>
                <w:b w:val="0"/>
                <w:i w:val="0"/>
                <w:sz w:val="16"/>
              </w:rPr>
              <w:t>Evidence showed different funding-round IDs and overwhelmingly different investment types, so they were not deduplicated.</w:t>
            </w:r>
          </w:p>
        </w:tc>
      </w:tr>
    </w:tbl>
    <w:p>
      <w:pPr>
        <w:widowControl/>
        <w:spacing w:after="20"/>
      </w:pPr>
    </w:p>
    <w:p>
      <w:pPr>
        <w:pStyle w:val="Heading1"/>
        <w:keepNext/>
        <w:spacing w:before="180" w:after="80"/>
      </w:pPr>
      <w:r>
        <w:rPr>
          <w:rFonts w:ascii="Aptos" w:hAnsi="Aptos"/>
          <w:b/>
          <w:i w:val="0"/>
          <w:color w:val="1F1F1F"/>
          <w:sz w:val="28"/>
        </w:rPr>
        <w:t>12. Decisions Deliberately Not Taken</w:t>
      </w:r>
    </w:p>
    <w:p>
      <w:pPr>
        <w:pStyle w:val="ListBullet"/>
        <w:spacing w:after="50"/>
        <w:ind w:left="317" w:hanging="173"/>
      </w:pPr>
      <w:r>
        <w:rPr>
          <w:rFonts w:ascii="Aptos" w:hAnsi="Aptos"/>
          <w:b w:val="0"/>
          <w:i w:val="0"/>
          <w:sz w:val="20"/>
        </w:rPr>
        <w:t>No arbitrary investor ID was forced when one name mapped to several investor IDs.</w:t>
      </w:r>
    </w:p>
    <w:p>
      <w:pPr>
        <w:pStyle w:val="ListBullet"/>
        <w:spacing w:after="50"/>
        <w:ind w:left="317" w:hanging="173"/>
      </w:pPr>
      <w:r>
        <w:rPr>
          <w:rFonts w:ascii="Aptos" w:hAnsi="Aptos"/>
          <w:b w:val="0"/>
          <w:i w:val="0"/>
          <w:sz w:val="20"/>
        </w:rPr>
        <w:t>No fuzzy investor matching was used.</w:t>
      </w:r>
    </w:p>
    <w:p>
      <w:pPr>
        <w:pStyle w:val="ListBullet"/>
        <w:spacing w:after="50"/>
        <w:ind w:left="317" w:hanging="173"/>
      </w:pPr>
      <w:r>
        <w:rPr>
          <w:rFonts w:ascii="Aptos" w:hAnsi="Aptos"/>
          <w:b w:val="0"/>
          <w:i w:val="0"/>
          <w:sz w:val="20"/>
        </w:rPr>
        <w:t>No fuzzy company-name matching was used.</w:t>
      </w:r>
    </w:p>
    <w:p>
      <w:pPr>
        <w:pStyle w:val="ListBullet"/>
        <w:spacing w:after="50"/>
        <w:ind w:left="317" w:hanging="173"/>
      </w:pPr>
      <w:r>
        <w:rPr>
          <w:rFonts w:ascii="Aptos" w:hAnsi="Aptos"/>
          <w:b w:val="0"/>
          <w:i w:val="0"/>
          <w:sz w:val="20"/>
        </w:rPr>
        <w:t>Entity names were not aggressively lowercased, stripped of punctuation, or stripped of legal suffixes.</w:t>
      </w:r>
    </w:p>
    <w:p>
      <w:pPr>
        <w:pStyle w:val="ListBullet"/>
        <w:spacing w:after="50"/>
        <w:ind w:left="317" w:hanging="173"/>
      </w:pPr>
      <w:r>
        <w:rPr>
          <w:rFonts w:ascii="Aptos" w:hAnsi="Aptos"/>
          <w:b w:val="0"/>
          <w:i w:val="0"/>
          <w:sz w:val="20"/>
        </w:rPr>
        <w:t>Website-only company candidates were not automatically accepted.</w:t>
      </w:r>
    </w:p>
    <w:p>
      <w:pPr>
        <w:pStyle w:val="ListBullet"/>
        <w:spacing w:after="50"/>
        <w:ind w:left="317" w:hanging="173"/>
      </w:pPr>
      <w:r>
        <w:rPr>
          <w:rFonts w:ascii="Aptos" w:hAnsi="Aptos"/>
          <w:b w:val="0"/>
          <w:i w:val="0"/>
          <w:sz w:val="20"/>
        </w:rPr>
        <w:t>Historical records were not removed merely because they are old.</w:t>
      </w:r>
    </w:p>
    <w:p>
      <w:pPr>
        <w:pStyle w:val="ListBullet"/>
        <w:spacing w:after="50"/>
        <w:ind w:left="317" w:hanging="173"/>
      </w:pPr>
      <w:r>
        <w:rPr>
          <w:rFonts w:ascii="Aptos" w:hAnsi="Aptos"/>
          <w:b w:val="0"/>
          <w:i w:val="0"/>
          <w:sz w:val="20"/>
        </w:rPr>
        <w:t>No filtering by current operating status was applied.</w:t>
      </w:r>
    </w:p>
    <w:p>
      <w:pPr>
        <w:pStyle w:val="ListBullet"/>
        <w:spacing w:after="50"/>
        <w:ind w:left="317" w:hanging="173"/>
      </w:pPr>
      <w:r>
        <w:rPr>
          <w:rFonts w:ascii="Aptos" w:hAnsi="Aptos"/>
          <w:b w:val="0"/>
          <w:i w:val="0"/>
          <w:sz w:val="20"/>
        </w:rPr>
        <w:t>No restriction to VC-only investment types was applied in the canonical layer.</w:t>
      </w:r>
    </w:p>
    <w:p>
      <w:pPr>
        <w:pStyle w:val="ListBullet"/>
        <w:spacing w:after="50"/>
        <w:ind w:left="317" w:hanging="173"/>
      </w:pPr>
      <w:r>
        <w:rPr>
          <w:rFonts w:ascii="Aptos" w:hAnsi="Aptos"/>
          <w:b w:val="0"/>
          <w:i w:val="0"/>
          <w:sz w:val="20"/>
        </w:rPr>
        <w:t>Grants, debt financing, IPO-related rounds, secondary-market rounds, and similar funding types were not removed in Phase 1.</w:t>
      </w:r>
    </w:p>
    <w:p>
      <w:pPr>
        <w:pStyle w:val="ListBullet"/>
        <w:spacing w:after="50"/>
        <w:ind w:left="317" w:hanging="173"/>
      </w:pPr>
      <w:r>
        <w:rPr>
          <w:rFonts w:ascii="Aptos" w:hAnsi="Aptos"/>
          <w:b w:val="0"/>
          <w:i w:val="0"/>
          <w:sz w:val="20"/>
        </w:rPr>
        <w:t>Same-day funding rounds were not collapsed.</w:t>
      </w:r>
    </w:p>
    <w:p>
      <w:pPr>
        <w:pStyle w:val="ListBullet"/>
        <w:spacing w:after="50"/>
        <w:ind w:left="317" w:hanging="173"/>
      </w:pPr>
      <w:r>
        <w:rPr>
          <w:rFonts w:ascii="Aptos" w:hAnsi="Aptos"/>
          <w:b w:val="0"/>
          <w:i w:val="0"/>
          <w:sz w:val="20"/>
        </w:rPr>
        <w:t>Repeated investor-startup pairs were not collapsed.</w:t>
      </w:r>
    </w:p>
    <w:p>
      <w:pPr>
        <w:pStyle w:val="ListBullet"/>
        <w:spacing w:after="50"/>
        <w:ind w:left="317" w:hanging="173"/>
      </w:pPr>
      <w:r>
        <w:rPr>
          <w:rFonts w:ascii="Aptos" w:hAnsi="Aptos"/>
          <w:b w:val="0"/>
          <w:i w:val="0"/>
          <w:sz w:val="20"/>
        </w:rPr>
        <w:t>No 60-segment ITRS time window was imposed yet.</w:t>
      </w:r>
    </w:p>
    <w:p>
      <w:pPr>
        <w:pStyle w:val="ListBullet"/>
        <w:spacing w:after="50"/>
        <w:ind w:left="317" w:hanging="173"/>
      </w:pPr>
      <w:r>
        <w:rPr>
          <w:rFonts w:ascii="Aptos" w:hAnsi="Aptos"/>
          <w:b w:val="0"/>
          <w:i w:val="0"/>
          <w:sz w:val="20"/>
        </w:rPr>
        <w:t>No current funding totals, IPO/acquisition outcomes, or future-looking success labels were used to resolve identities.</w:t>
      </w:r>
    </w:p>
    <w:p>
      <w:pPr>
        <w:pStyle w:val="Heading1"/>
        <w:keepNext/>
        <w:spacing w:before="180" w:after="80"/>
      </w:pPr>
      <w:r>
        <w:rPr>
          <w:rFonts w:ascii="Aptos" w:hAnsi="Aptos"/>
          <w:b/>
          <w:i w:val="0"/>
          <w:color w:val="1F1F1F"/>
          <w:sz w:val="28"/>
        </w:rPr>
        <w:t>13. Data-Quality Issues Discovered</w:t>
      </w:r>
    </w:p>
    <w:p>
      <w:pPr>
        <w:pStyle w:val="ListBullet"/>
        <w:spacing w:after="50"/>
        <w:ind w:left="317" w:hanging="173"/>
      </w:pPr>
      <w:r>
        <w:rPr>
          <w:rFonts w:ascii="Aptos" w:hAnsi="Aptos"/>
          <w:b w:val="0"/>
          <w:i w:val="0"/>
          <w:sz w:val="20"/>
        </w:rPr>
        <w:t>The investor field is not a simple delimited list; canonical names themselves contain delimiter characters.</w:t>
      </w:r>
    </w:p>
    <w:p>
      <w:pPr>
        <w:pStyle w:val="ListBullet"/>
        <w:spacing w:after="50"/>
        <w:ind w:left="317" w:hanging="173"/>
      </w:pPr>
      <w:r>
        <w:rPr>
          <w:rFonts w:ascii="Aptos" w:hAnsi="Aptos"/>
          <w:b w:val="0"/>
          <w:i w:val="0"/>
          <w:sz w:val="20"/>
        </w:rPr>
        <w:t>Investor names are not unique identifiers; thousands of canonical names map to multiple investor IDs.</w:t>
      </w:r>
    </w:p>
    <w:p>
      <w:pPr>
        <w:pStyle w:val="ListBullet"/>
        <w:spacing w:after="50"/>
        <w:ind w:left="317" w:hanging="173"/>
      </w:pPr>
      <w:r>
        <w:rPr>
          <w:rFonts w:ascii="Aptos" w:hAnsi="Aptos"/>
          <w:b w:val="0"/>
          <w:i w:val="0"/>
          <w:sz w:val="20"/>
        </w:rPr>
        <w:t>Company names are even less unique; generic names can map to dozens of company IDs.</w:t>
      </w:r>
    </w:p>
    <w:p>
      <w:pPr>
        <w:pStyle w:val="ListBullet"/>
        <w:spacing w:after="50"/>
        <w:ind w:left="317" w:hanging="173"/>
      </w:pPr>
      <w:r>
        <w:rPr>
          <w:rFonts w:ascii="Aptos" w:hAnsi="Aptos"/>
          <w:b w:val="0"/>
          <w:i w:val="0"/>
          <w:sz w:val="20"/>
        </w:rPr>
        <w:t>Company shards overlap: 14,227 company IDs appear more than once across source shards.</w:t>
      </w:r>
    </w:p>
    <w:p>
      <w:pPr>
        <w:pStyle w:val="ListBullet"/>
        <w:spacing w:after="50"/>
        <w:ind w:left="317" w:hanging="173"/>
      </w:pPr>
      <w:r>
        <w:rPr>
          <w:rFonts w:ascii="Aptos" w:hAnsi="Aptos"/>
          <w:b w:val="0"/>
          <w:i w:val="0"/>
          <w:sz w:val="20"/>
        </w:rPr>
        <w:t>The source includes malformed-looking canonical investor names with trailing or repeated commas.</w:t>
      </w:r>
    </w:p>
    <w:p>
      <w:pPr>
        <w:pStyle w:val="ListBullet"/>
        <w:spacing w:after="50"/>
        <w:ind w:left="317" w:hanging="173"/>
      </w:pPr>
      <w:r>
        <w:rPr>
          <w:rFonts w:ascii="Aptos" w:hAnsi="Aptos"/>
          <w:b w:val="0"/>
          <w:i w:val="0"/>
          <w:sz w:val="20"/>
        </w:rPr>
        <w:t>Funding and entity master coverage can disagree, as shown by HALA Ventures appearing in funding data but not the investor master.</w:t>
      </w:r>
    </w:p>
    <w:p>
      <w:pPr>
        <w:pStyle w:val="ListBullet"/>
        <w:spacing w:after="50"/>
        <w:ind w:left="317" w:hanging="173"/>
      </w:pPr>
      <w:r>
        <w:rPr>
          <w:rFonts w:ascii="Aptos" w:hAnsi="Aptos"/>
          <w:b w:val="0"/>
          <w:i w:val="0"/>
          <w:sz w:val="20"/>
        </w:rPr>
        <w:t>The export filename does not define a trustworthy temporal cutoff because the file contains later announced dates.</w:t>
      </w:r>
    </w:p>
    <w:p>
      <w:pPr>
        <w:pStyle w:val="Heading1"/>
        <w:keepNext/>
        <w:spacing w:before="180" w:after="80"/>
      </w:pPr>
      <w:r>
        <w:rPr>
          <w:rFonts w:ascii="Aptos" w:hAnsi="Aptos"/>
          <w:b/>
          <w:i w:val="0"/>
          <w:color w:val="1F1F1F"/>
          <w:sz w:val="28"/>
        </w:rPr>
        <w:t>14. Data-Retention Funnel</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797,177 raw funding rounds</w:t>
            </w:r>
            <w:r>
              <w:br/>
            </w:r>
            <w:r>
              <w:rPr>
                <w:rFonts w:ascii="Menlo" w:hAnsi="Menlo"/>
                <w:b w:val="0"/>
                <w:i w:val="0"/>
                <w:sz w:val="17"/>
              </w:rPr>
              <w:t xml:space="preserve">        |</w:t>
            </w:r>
            <w:r>
              <w:br/>
            </w:r>
            <w:r>
              <w:rPr>
                <w:rFonts w:ascii="Menlo" w:hAnsi="Menlo"/>
                <w:b w:val="0"/>
                <w:i w:val="0"/>
                <w:sz w:val="17"/>
              </w:rPr>
              <w:t xml:space="preserve">        |-- 194,310 without investor information</w:t>
            </w:r>
            <w:r>
              <w:br/>
            </w:r>
            <w:r>
              <w:rPr>
                <w:rFonts w:ascii="Menlo" w:hAnsi="Menlo"/>
                <w:b w:val="0"/>
                <w:i w:val="0"/>
                <w:sz w:val="17"/>
              </w:rPr>
              <w:t xml:space="preserve">        v</w:t>
            </w:r>
            <w:r>
              <w:br/>
            </w:r>
            <w:r>
              <w:rPr>
                <w:rFonts w:ascii="Menlo" w:hAnsi="Menlo"/>
                <w:b w:val="0"/>
                <w:i w:val="0"/>
                <w:sz w:val="17"/>
              </w:rPr>
              <w:t>602,867 funding rounds with investor strings</w:t>
            </w:r>
            <w:r>
              <w:br/>
            </w:r>
            <w:r>
              <w:rPr>
                <w:rFonts w:ascii="Menlo" w:hAnsi="Menlo"/>
                <w:b w:val="0"/>
                <w:i w:val="0"/>
                <w:sz w:val="17"/>
              </w:rPr>
              <w:t xml:space="preserve">        |</w:t>
            </w:r>
            <w:r>
              <w:br/>
            </w:r>
            <w:r>
              <w:rPr>
                <w:rFonts w:ascii="Menlo" w:hAnsi="Menlo"/>
                <w:b w:val="0"/>
                <w:i w:val="0"/>
                <w:sz w:val="17"/>
              </w:rPr>
              <w:t xml:space="preserve">        v</w:t>
            </w:r>
            <w:r>
              <w:br/>
            </w:r>
            <w:r>
              <w:rPr>
                <w:rFonts w:ascii="Menlo" w:hAnsi="Menlo"/>
                <w:b w:val="0"/>
                <w:i w:val="0"/>
                <w:sz w:val="17"/>
              </w:rPr>
              <w:t>1,335,550 normalized investor mentions</w:t>
            </w:r>
            <w:r>
              <w:br/>
            </w:r>
            <w:r>
              <w:rPr>
                <w:rFonts w:ascii="Menlo" w:hAnsi="Menlo"/>
                <w:b w:val="0"/>
                <w:i w:val="0"/>
                <w:sz w:val="17"/>
              </w:rPr>
              <w:t xml:space="preserve">        |</w:t>
            </w:r>
            <w:r>
              <w:br/>
            </w:r>
            <w:r>
              <w:rPr>
                <w:rFonts w:ascii="Menlo" w:hAnsi="Menlo"/>
                <w:b w:val="0"/>
                <w:i w:val="0"/>
                <w:sz w:val="17"/>
              </w:rPr>
              <w:t xml:space="preserve">        |-- unresolved investor identity</w:t>
            </w:r>
            <w:r>
              <w:br/>
            </w:r>
            <w:r>
              <w:rPr>
                <w:rFonts w:ascii="Menlo" w:hAnsi="Menlo"/>
                <w:b w:val="0"/>
                <w:i w:val="0"/>
                <w:sz w:val="17"/>
              </w:rPr>
              <w:t xml:space="preserve">        |-- unresolved startup identity</w:t>
            </w:r>
            <w:r>
              <w:br/>
            </w:r>
            <w:r>
              <w:rPr>
                <w:rFonts w:ascii="Menlo" w:hAnsi="Menlo"/>
                <w:b w:val="0"/>
                <w:i w:val="0"/>
                <w:sz w:val="17"/>
              </w:rPr>
              <w:t xml:space="preserve">        v</w:t>
            </w:r>
            <w:r>
              <w:br/>
            </w:r>
            <w:r>
              <w:rPr>
                <w:rFonts w:ascii="Menlo" w:hAnsi="Menlo"/>
                <w:b w:val="0"/>
                <w:i w:val="0"/>
                <w:sz w:val="17"/>
              </w:rPr>
              <w:t>1,208,051 high-confidence canonical investment events</w:t>
            </w:r>
          </w:p>
        </w:tc>
      </w:tr>
    </w:tbl>
    <w:p>
      <w:pPr>
        <w:widowControl/>
        <w:spacing w:after="0"/>
      </w:pPr>
    </w:p>
    <w:p>
      <w:pPr>
        <w:widowControl/>
        <w:spacing w:after="100" w:line="252" w:lineRule="auto"/>
      </w:pPr>
      <w:r>
        <w:rPr>
          <w:rFonts w:ascii="Aptos" w:hAnsi="Aptos"/>
          <w:b w:val="0"/>
          <w:i w:val="0"/>
          <w:sz w:val="21"/>
        </w:rPr>
        <w:t>At the funding-round level, 594,181 of the 602,867 rounds containing investor data received a resolved startup ID, and 560,270 funding rounds are represented in the final high-confidence investor-startup interaction dataset. The difference occurs because some startup-resolved rounds contain only investor mentions that remain ambiguous or unmatched.</w:t>
      </w:r>
    </w:p>
    <w:p>
      <w:pPr>
        <w:pStyle w:val="Heading1"/>
        <w:keepNext/>
        <w:spacing w:before="180" w:after="80"/>
      </w:pPr>
      <w:r>
        <w:rPr>
          <w:rFonts w:ascii="Aptos" w:hAnsi="Aptos"/>
          <w:b/>
          <w:i w:val="0"/>
          <w:color w:val="1F1F1F"/>
          <w:sz w:val="28"/>
        </w:rPr>
        <w:t>15. Research Insights and Implications</w:t>
      </w:r>
    </w:p>
    <w:p>
      <w:pPr>
        <w:pStyle w:val="Heading2"/>
        <w:keepNext/>
        <w:spacing w:before="120" w:after="80"/>
      </w:pPr>
      <w:r>
        <w:rPr>
          <w:rFonts w:ascii="Aptos" w:hAnsi="Aptos"/>
          <w:b/>
          <w:i w:val="0"/>
          <w:color w:val="1F1F1F"/>
          <w:sz w:val="23"/>
        </w:rPr>
        <w:t>15.1 Entity resolution is a central modeling dependency</w:t>
      </w:r>
    </w:p>
    <w:p>
      <w:pPr>
        <w:widowControl/>
        <w:spacing w:after="100" w:line="252" w:lineRule="auto"/>
      </w:pPr>
      <w:r>
        <w:rPr>
          <w:rFonts w:ascii="Aptos" w:hAnsi="Aptos"/>
          <w:b w:val="0"/>
          <w:i w:val="0"/>
          <w:sz w:val="21"/>
        </w:rPr>
        <w:t>The hardest part of Phase 1 was not reading CSV files; it was converting raw names into trustworthy entities and then into high-confidence interactions. This supports a broader methodological point for the thesis: real-world recommendation performance depends heavily on identifier quality, entity resolution, and temporal correctness before model architecture is considered.</w:t>
      </w:r>
    </w:p>
    <w:p>
      <w:pPr>
        <w:pStyle w:val="Heading2"/>
        <w:keepNext/>
        <w:spacing w:before="120" w:after="80"/>
      </w:pPr>
      <w:r>
        <w:rPr>
          <w:rFonts w:ascii="Aptos" w:hAnsi="Aptos"/>
          <w:b/>
          <w:i w:val="0"/>
          <w:color w:val="1F1F1F"/>
          <w:sz w:val="23"/>
        </w:rPr>
        <w:t>15.2 Investor disambiguation is the highest-return coverage extension</w:t>
      </w:r>
    </w:p>
    <w:p>
      <w:pPr>
        <w:widowControl/>
        <w:spacing w:after="100" w:line="252" w:lineRule="auto"/>
      </w:pPr>
      <w:r>
        <w:rPr>
          <w:rFonts w:ascii="Aptos" w:hAnsi="Aptos"/>
          <w:b w:val="0"/>
          <w:i w:val="0"/>
          <w:sz w:val="21"/>
        </w:rPr>
        <w:t>Startup identity is now resolved for approximately 98.94% of investor mentions, whereas investor identity is uniquely resolved for approximately 91.43%. The remaining exclusions are therefore dominated by investor ambiguity. If future coverage work is justified, investor disambiguation using independent metadata such as websites, profile URLs, geography, categories, or portfolio overlap is likely to have a much higher payoff than additional startup-name matching. Such evidence must be audited before adoption.</w:t>
      </w:r>
    </w:p>
    <w:p>
      <w:pPr>
        <w:pStyle w:val="Heading2"/>
        <w:keepNext/>
        <w:spacing w:before="120" w:after="80"/>
      </w:pPr>
      <w:r>
        <w:rPr>
          <w:rFonts w:ascii="Aptos" w:hAnsi="Aptos"/>
          <w:b/>
          <w:i w:val="0"/>
          <w:color w:val="1F1F1F"/>
          <w:sz w:val="23"/>
        </w:rPr>
        <w:t>15.3 New-target discovery and follow-on investment are different tasks</w:t>
      </w:r>
    </w:p>
    <w:p>
      <w:pPr>
        <w:widowControl/>
        <w:spacing w:after="100" w:line="252" w:lineRule="auto"/>
      </w:pPr>
      <w:r>
        <w:rPr>
          <w:rFonts w:ascii="Aptos" w:hAnsi="Aptos"/>
          <w:b w:val="0"/>
          <w:i w:val="0"/>
          <w:sz w:val="21"/>
        </w:rPr>
        <w:t>About 15.47% of unique investor-startup pairs have more than one recorded event, and the maximum observed event count for one pair is 45. This means the same canonical data contains both first-time target discovery and follow-on investment behavior. For the ITRS reproduction, the experiment should first mirror the paper as closely as practical; for later thesis extensions, these two tasks may merit separate evaluation protocols.</w:t>
      </w:r>
    </w:p>
    <w:p>
      <w:pPr>
        <w:pStyle w:val="Heading2"/>
        <w:keepNext/>
        <w:spacing w:before="120" w:after="80"/>
      </w:pPr>
      <w:r>
        <w:rPr>
          <w:rFonts w:ascii="Aptos" w:hAnsi="Aptos"/>
          <w:b/>
          <w:i w:val="0"/>
          <w:color w:val="1F1F1F"/>
          <w:sz w:val="23"/>
        </w:rPr>
        <w:t>15.4 The model graph should not automatically include all Crunchbase entities</w:t>
      </w:r>
    </w:p>
    <w:p>
      <w:pPr>
        <w:widowControl/>
        <w:spacing w:after="100" w:line="252" w:lineRule="auto"/>
      </w:pPr>
      <w:r>
        <w:rPr>
          <w:rFonts w:ascii="Aptos" w:hAnsi="Aptos"/>
          <w:b w:val="0"/>
          <w:i w:val="0"/>
          <w:sz w:val="21"/>
        </w:rPr>
        <w:t>The raw company master contains approximately 4.675 million unique company IDs, but only 311,589 organizations appear in the final clean interaction universe. Likewise, the investor master contains 333,726 investor entities, while 165,975 investors appear in the canonical interaction dataset. The experimental graph should therefore be defined by the task and temporal window rather than by indiscriminately loading every raw Crunchbase entity.</w:t>
      </w:r>
    </w:p>
    <w:p>
      <w:pPr>
        <w:pStyle w:val="Heading1"/>
        <w:keepNext/>
        <w:spacing w:before="180" w:after="80"/>
      </w:pPr>
      <w:r>
        <w:rPr>
          <w:rFonts w:ascii="Aptos" w:hAnsi="Aptos"/>
          <w:b/>
          <w:i w:val="0"/>
          <w:color w:val="1F1F1F"/>
          <w:sz w:val="28"/>
        </w:rPr>
        <w:t>16. Limitations of the Phase-1 Dataset</w:t>
      </w:r>
    </w:p>
    <w:p>
      <w:pPr>
        <w:pStyle w:val="ListBullet"/>
        <w:spacing w:after="50"/>
        <w:ind w:left="317" w:hanging="173"/>
      </w:pPr>
      <w:r>
        <w:rPr>
          <w:rFonts w:ascii="Aptos" w:hAnsi="Aptos"/>
          <w:b w:val="0"/>
          <w:i w:val="0"/>
          <w:sz w:val="20"/>
        </w:rPr>
        <w:t>The final interactions are a high-confidence subset, not the complete universe of Crunchbase funding events.</w:t>
      </w:r>
    </w:p>
    <w:p>
      <w:pPr>
        <w:pStyle w:val="ListBullet"/>
        <w:spacing w:after="50"/>
        <w:ind w:left="317" w:hanging="173"/>
      </w:pPr>
      <w:r>
        <w:rPr>
          <w:rFonts w:ascii="Aptos" w:hAnsi="Aptos"/>
          <w:b w:val="0"/>
          <w:i w:val="0"/>
          <w:sz w:val="20"/>
        </w:rPr>
        <w:t>Requiring unique investor identity introduces selection because ambiguous duplicate-name investors are excluded from the primary canonical interaction dataset.</w:t>
      </w:r>
    </w:p>
    <w:p>
      <w:pPr>
        <w:pStyle w:val="ListBullet"/>
        <w:spacing w:after="50"/>
        <w:ind w:left="317" w:hanging="173"/>
      </w:pPr>
      <w:r>
        <w:rPr>
          <w:rFonts w:ascii="Aptos" w:hAnsi="Aptos"/>
          <w:b w:val="0"/>
          <w:i w:val="0"/>
          <w:sz w:val="20"/>
        </w:rPr>
        <w:t>startup_id is a convenient project field name, but the underlying Crunchbase target can be a mature company, public company, university, nonprofit, government-related organization, or other funded organization.</w:t>
      </w:r>
    </w:p>
    <w:p>
      <w:pPr>
        <w:pStyle w:val="ListBullet"/>
        <w:spacing w:after="50"/>
        <w:ind w:left="317" w:hanging="173"/>
      </w:pPr>
      <w:r>
        <w:rPr>
          <w:rFonts w:ascii="Aptos" w:hAnsi="Aptos"/>
          <w:b w:val="0"/>
          <w:i w:val="0"/>
          <w:sz w:val="20"/>
        </w:rPr>
        <w:t>The canonical layer intentionally retains grants, debt financing, secondary-market events, post-IPO rounds, and other nontraditional venture-financing types until the experimental design explicitly decides what to include.</w:t>
      </w:r>
    </w:p>
    <w:p>
      <w:pPr>
        <w:pStyle w:val="ListBullet"/>
        <w:spacing w:after="50"/>
        <w:ind w:left="317" w:hanging="173"/>
      </w:pPr>
      <w:r>
        <w:rPr>
          <w:rFonts w:ascii="Aptos" w:hAnsi="Aptos"/>
          <w:b w:val="0"/>
          <w:i w:val="0"/>
          <w:sz w:val="20"/>
        </w:rPr>
        <w:t>Same-day events with different funding-round IDs are preserved; the later model layer must decide how multiple source events inside one temporal segment map to implicit feedback.</w:t>
      </w:r>
    </w:p>
    <w:p>
      <w:pPr>
        <w:pStyle w:val="ListBullet"/>
        <w:spacing w:after="50"/>
        <w:ind w:left="317" w:hanging="173"/>
      </w:pPr>
      <w:r>
        <w:rPr>
          <w:rFonts w:ascii="Aptos" w:hAnsi="Aptos"/>
          <w:b w:val="0"/>
          <w:i w:val="0"/>
          <w:sz w:val="20"/>
        </w:rPr>
        <w:t>Historical coverage is uneven, and the clean range beginning in 1945 does not imply that the full 81-year span is suitable for ITRS training.</w:t>
      </w:r>
    </w:p>
    <w:p>
      <w:pPr>
        <w:pStyle w:val="Heading1"/>
        <w:keepNext/>
        <w:spacing w:before="180" w:after="80"/>
      </w:pPr>
      <w:r>
        <w:rPr>
          <w:rFonts w:ascii="Aptos" w:hAnsi="Aptos"/>
          <w:b/>
          <w:i w:val="0"/>
          <w:color w:val="1F1F1F"/>
          <w:sz w:val="28"/>
        </w:rPr>
        <w:t>17. Recommended Methodology Description</w:t>
      </w: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Thesis-ready wording: </w:t>
            </w:r>
            <w:r>
              <w:rPr>
                <w:rFonts w:ascii="Aptos" w:hAnsi="Aptos"/>
                <w:b w:val="0"/>
                <w:i w:val="0"/>
                <w:sz w:val="19"/>
              </w:rPr>
              <w:t>The raw Crunchbase funding data was transformed into a canonical investor-organization interaction dataset through a conservative entity-resolution pipeline. Investor lists were parsed using exact dictionary segmentation against the Crunchbase investor master rather than naive delimiter splitting, since canonical investor names may themselves contain commas and other delimiters. Investor names mapping to multiple Crunchbase identifiers were retained as ambiguous rather than arbitrarily resolved. Funding-target organizations were first matched to the company master using exact normalized names; ambiguous company names were subsequently disambiguated using exact website matches only after validating website identity against a large set of uniquely name-resolved organizations. Same-day interactions associated with distinct funding-round identifiers were preserved as separate source events. The resulting high-confidence dataset contains 1,208,051 investor-organization funding interactions involving 165,975 investors and 311,589 organizations.</w:t>
            </w:r>
          </w:p>
        </w:tc>
      </w:tr>
    </w:tbl>
    <w:p>
      <w:pPr>
        <w:widowControl/>
        <w:spacing w:after="20"/>
      </w:pPr>
    </w:p>
    <w:p>
      <w:pPr>
        <w:pStyle w:val="Heading1"/>
        <w:keepNext/>
        <w:spacing w:before="180" w:after="80"/>
      </w:pPr>
      <w:r>
        <w:rPr>
          <w:rFonts w:ascii="Aptos" w:hAnsi="Aptos"/>
          <w:b/>
          <w:i w:val="0"/>
          <w:color w:val="1F1F1F"/>
          <w:sz w:val="28"/>
        </w:rPr>
        <w:t>18. Reproducibility and Repository Guidance</w:t>
      </w:r>
    </w:p>
    <w:p>
      <w:pPr>
        <w:pStyle w:val="Heading2"/>
        <w:keepNext/>
        <w:spacing w:before="120" w:after="80"/>
      </w:pPr>
      <w:r>
        <w:rPr>
          <w:rFonts w:ascii="Aptos" w:hAnsi="Aptos"/>
          <w:b/>
          <w:i w:val="0"/>
          <w:color w:val="1F1F1F"/>
          <w:sz w:val="23"/>
        </w:rPr>
        <w:t>18.1 What should be versioned</w:t>
      </w:r>
    </w:p>
    <w:p>
      <w:pPr>
        <w:widowControl/>
        <w:spacing w:after="100" w:line="252" w:lineRule="auto"/>
      </w:pPr>
      <w:r>
        <w:rPr>
          <w:rFonts w:ascii="Aptos" w:hAnsi="Aptos"/>
          <w:b w:val="0"/>
          <w:i w:val="0"/>
          <w:sz w:val="21"/>
        </w:rPr>
        <w:t>The repository should version source code, configuration files, documentation, small summary files, data dictionaries, audit methodology, and the reproduction log. Large raw Crunchbase exports, large Parquet data products, large diagnostics, and model checkpoints should generally remain outside Git because of size and potential data-licensing restrictions.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2F2"/>
            <w:tcMar>
              <w:top w:w="100" w:type="dxa"/>
              <w:start w:w="140" w:type="dxa"/>
              <w:bottom w:w="100" w:type="dxa"/>
              <w:end w:w="140" w:type="dxa"/>
            </w:tcMar>
          </w:tcPr>
          <w:p>
            <w:pPr>
              <w:spacing w:after="0"/>
            </w:pPr>
            <w:r>
              <w:rPr>
                <w:rFonts w:ascii="Menlo" w:hAnsi="Menlo"/>
                <w:b w:val="0"/>
                <w:i w:val="0"/>
                <w:sz w:val="17"/>
              </w:rPr>
              <w:t>Recommended to version</w:t>
            </w:r>
            <w:r>
              <w:br/>
            </w:r>
            <w:r>
              <w:rPr>
                <w:rFonts w:ascii="Menlo" w:hAnsi="Menlo"/>
                <w:b w:val="0"/>
                <w:i w:val="0"/>
                <w:sz w:val="17"/>
              </w:rPr>
              <w:t xml:space="preserve">  src/</w:t>
            </w:r>
            <w:r>
              <w:br/>
            </w:r>
            <w:r>
              <w:rPr>
                <w:rFonts w:ascii="Menlo" w:hAnsi="Menlo"/>
                <w:b w:val="0"/>
                <w:i w:val="0"/>
                <w:sz w:val="17"/>
              </w:rPr>
              <w:t xml:space="preserve">  configs/</w:t>
            </w:r>
            <w:r>
              <w:br/>
            </w:r>
            <w:r>
              <w:rPr>
                <w:rFonts w:ascii="Menlo" w:hAnsi="Menlo"/>
                <w:b w:val="0"/>
                <w:i w:val="0"/>
                <w:sz w:val="17"/>
              </w:rPr>
              <w:t xml:space="preserve">  docs/</w:t>
            </w:r>
            <w:r>
              <w:br/>
            </w:r>
            <w:r>
              <w:rPr>
                <w:rFonts w:ascii="Menlo" w:hAnsi="Menlo"/>
                <w:b w:val="0"/>
                <w:i w:val="0"/>
                <w:sz w:val="17"/>
              </w:rPr>
              <w:t xml:space="preserve">  README.md</w:t>
            </w:r>
            <w:r>
              <w:br/>
            </w:r>
            <w:r>
              <w:rPr>
                <w:rFonts w:ascii="Menlo" w:hAnsi="Menlo"/>
                <w:b w:val="0"/>
                <w:i w:val="0"/>
                <w:sz w:val="17"/>
              </w:rPr>
              <w:t xml:space="preserve">  small summary CSVs</w:t>
            </w:r>
            <w:r>
              <w:br/>
            </w:r>
            <w:r>
              <w:rPr>
                <w:rFonts w:ascii="Menlo" w:hAnsi="Menlo"/>
                <w:b w:val="0"/>
                <w:i w:val="0"/>
                <w:sz w:val="17"/>
              </w:rPr>
              <w:t xml:space="preserve">  data dictionaries</w:t>
            </w:r>
            <w:r>
              <w:br/>
            </w:r>
            <w:r>
              <w:rPr>
                <w:rFonts w:ascii="Menlo" w:hAnsi="Menlo"/>
                <w:b w:val="0"/>
                <w:i w:val="0"/>
                <w:sz w:val="17"/>
              </w:rPr>
              <w:t xml:space="preserve">  audit methodology</w:t>
            </w:r>
            <w:r>
              <w:br/>
            </w:r>
            <w:r>
              <w:rPr>
                <w:rFonts w:ascii="Menlo" w:hAnsi="Menlo"/>
                <w:b w:val="0"/>
                <w:i w:val="0"/>
                <w:sz w:val="17"/>
              </w:rPr>
              <w:t xml:space="preserve">  docs/reproduction_log.md</w:t>
            </w:r>
            <w:r>
              <w:br/>
            </w:r>
            <w:r>
              <w:rPr>
                <w:rFonts w:ascii="Menlo" w:hAnsi="Menlo"/>
                <w:b w:val="0"/>
                <w:i w:val="0"/>
                <w:sz w:val="17"/>
              </w:rPr>
            </w:r>
            <w:r>
              <w:br/>
            </w:r>
            <w:r>
              <w:rPr>
                <w:rFonts w:ascii="Menlo" w:hAnsi="Menlo"/>
                <w:b w:val="0"/>
                <w:i w:val="0"/>
                <w:sz w:val="17"/>
              </w:rPr>
              <w:t>Generally do not version</w:t>
            </w:r>
            <w:r>
              <w:br/>
            </w:r>
            <w:r>
              <w:rPr>
                <w:rFonts w:ascii="Menlo" w:hAnsi="Menlo"/>
                <w:b w:val="0"/>
                <w:i w:val="0"/>
                <w:sz w:val="17"/>
              </w:rPr>
              <w:t xml:space="preserve">  raw Crunchbase CSVs</w:t>
            </w:r>
            <w:r>
              <w:br/>
            </w:r>
            <w:r>
              <w:rPr>
                <w:rFonts w:ascii="Menlo" w:hAnsi="Menlo"/>
                <w:b w:val="0"/>
                <w:i w:val="0"/>
                <w:sz w:val="17"/>
              </w:rPr>
              <w:t xml:space="preserve">  large Parquet datasets</w:t>
            </w:r>
            <w:r>
              <w:br/>
            </w:r>
            <w:r>
              <w:rPr>
                <w:rFonts w:ascii="Menlo" w:hAnsi="Menlo"/>
                <w:b w:val="0"/>
                <w:i w:val="0"/>
                <w:sz w:val="17"/>
              </w:rPr>
              <w:t xml:space="preserve">  large diagnostic outputs</w:t>
            </w:r>
            <w:r>
              <w:br/>
            </w:r>
            <w:r>
              <w:rPr>
                <w:rFonts w:ascii="Menlo" w:hAnsi="Menlo"/>
                <w:b w:val="0"/>
                <w:i w:val="0"/>
                <w:sz w:val="17"/>
              </w:rPr>
              <w:t xml:space="preserve">  model checkpoints</w:t>
            </w:r>
          </w:p>
        </w:tc>
      </w:tr>
    </w:tbl>
    <w:p>
      <w:pPr>
        <w:widowControl/>
        <w:spacing w:after="0"/>
      </w:pPr>
    </w:p>
    <w:p>
      <w:pPr>
        <w:pStyle w:val="Heading2"/>
        <w:keepNext/>
        <w:spacing w:before="120" w:after="80"/>
      </w:pPr>
      <w:r>
        <w:rPr>
          <w:rFonts w:ascii="Aptos" w:hAnsi="Aptos"/>
          <w:b/>
          <w:i w:val="0"/>
          <w:color w:val="1F1F1F"/>
          <w:sz w:val="23"/>
        </w:rPr>
        <w:t>18.2 Reproduction-log content</w:t>
      </w:r>
    </w:p>
    <w:p>
      <w:pPr>
        <w:widowControl/>
        <w:spacing w:after="100" w:line="252" w:lineRule="auto"/>
      </w:pPr>
      <w:r>
        <w:rPr>
          <w:rFonts w:ascii="Aptos" w:hAnsi="Aptos"/>
          <w:b w:val="0"/>
          <w:i w:val="0"/>
          <w:sz w:val="21"/>
        </w:rPr>
        <w:t>Each major phase closure should record the completion date, objective, inputs, scripts executed, output files, final counts, methodological decisions, edge cases, rejected alternatives, known limitations, and questions handed to the next phase. This avoids losing the rationale behind numbers and decisions months later.</w:t>
      </w:r>
    </w:p>
    <w:p>
      <w:pPr>
        <w:pStyle w:val="Heading1"/>
        <w:keepNext/>
        <w:spacing w:before="180" w:after="80"/>
      </w:pPr>
      <w:r>
        <w:rPr>
          <w:rFonts w:ascii="Aptos" w:hAnsi="Aptos"/>
          <w:b/>
          <w:i w:val="0"/>
          <w:color w:val="1F1F1F"/>
          <w:sz w:val="28"/>
        </w:rPr>
        <w:t>19. Phase 2 Readiness and Open Questions</w:t>
      </w:r>
    </w:p>
    <w:p>
      <w:pPr>
        <w:widowControl/>
        <w:spacing w:after="100" w:line="252" w:lineRule="auto"/>
      </w:pPr>
      <w:r>
        <w:rPr>
          <w:rFonts w:ascii="Aptos" w:hAnsi="Aptos"/>
          <w:b w:val="0"/>
          <w:i w:val="0"/>
          <w:sz w:val="21"/>
        </w:rPr>
        <w:t>Phase 1 is complete. The next phase should begin with a temporal distribution audit rather than immediately imposing a 60-segment window. The canonical interaction dataset spans 1945-01-01 to 2026-06-01, but the newest period may be incomplete and the earliest period is sparse. The experimental temporal window must be chosen from actual coverage.</w:t>
      </w:r>
    </w:p>
    <w:p>
      <w:pPr>
        <w:pStyle w:val="ListBullet"/>
        <w:spacing w:after="50"/>
        <w:ind w:left="317" w:hanging="173"/>
      </w:pPr>
      <w:r>
        <w:rPr>
          <w:rFonts w:ascii="Aptos" w:hAnsi="Aptos"/>
          <w:b w:val="0"/>
          <w:i w:val="0"/>
          <w:sz w:val="20"/>
        </w:rPr>
        <w:t>Count interactions by year, month, and quarter.</w:t>
      </w:r>
    </w:p>
    <w:p>
      <w:pPr>
        <w:pStyle w:val="ListBullet"/>
        <w:spacing w:after="50"/>
        <w:ind w:left="317" w:hanging="173"/>
      </w:pPr>
      <w:r>
        <w:rPr>
          <w:rFonts w:ascii="Aptos" w:hAnsi="Aptos"/>
          <w:b w:val="0"/>
          <w:i w:val="0"/>
          <w:sz w:val="20"/>
        </w:rPr>
        <w:t>Measure active investors and active startups/organizations by quarter.</w:t>
      </w:r>
    </w:p>
    <w:p>
      <w:pPr>
        <w:pStyle w:val="ListBullet"/>
        <w:spacing w:after="50"/>
        <w:ind w:left="317" w:hanging="173"/>
      </w:pPr>
      <w:r>
        <w:rPr>
          <w:rFonts w:ascii="Aptos" w:hAnsi="Aptos"/>
          <w:b w:val="0"/>
          <w:i w:val="0"/>
          <w:sz w:val="20"/>
        </w:rPr>
        <w:t>Inspect per-investor temporal sequence lengths.</w:t>
      </w:r>
    </w:p>
    <w:p>
      <w:pPr>
        <w:pStyle w:val="ListBullet"/>
        <w:spacing w:after="50"/>
        <w:ind w:left="317" w:hanging="173"/>
      </w:pPr>
      <w:r>
        <w:rPr>
          <w:rFonts w:ascii="Aptos" w:hAnsi="Aptos"/>
          <w:b w:val="0"/>
          <w:i w:val="0"/>
          <w:sz w:val="20"/>
        </w:rPr>
        <w:t>Inspect coverage near the most recent dates to identify the last complete temporal interval.</w:t>
      </w:r>
    </w:p>
    <w:p>
      <w:pPr>
        <w:pStyle w:val="ListBullet"/>
        <w:spacing w:after="50"/>
        <w:ind w:left="317" w:hanging="173"/>
      </w:pPr>
      <w:r>
        <w:rPr>
          <w:rFonts w:ascii="Aptos" w:hAnsi="Aptos"/>
          <w:b w:val="0"/>
          <w:i w:val="0"/>
          <w:sz w:val="20"/>
        </w:rPr>
        <w:t>Determine how repeated investor-startup events inside one temporal segment should map to the paper’s implicit-feedback representation.</w:t>
      </w:r>
    </w:p>
    <w:p>
      <w:pPr>
        <w:pStyle w:val="ListBullet"/>
        <w:spacing w:after="50"/>
        <w:ind w:left="317" w:hanging="173"/>
      </w:pPr>
      <w:r>
        <w:rPr>
          <w:rFonts w:ascii="Aptos" w:hAnsi="Aptos"/>
          <w:b w:val="0"/>
          <w:i w:val="0"/>
          <w:sz w:val="20"/>
        </w:rPr>
        <w:t>Only after the audit, map the Crunchbase timeline to the paper’s t = 60 temporal-segment design.</w:t>
      </w: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Do not assume the endpoint: </w:t>
            </w:r>
            <w:r>
              <w:rPr>
                <w:rFonts w:ascii="Aptos" w:hAnsi="Aptos"/>
                <w:b w:val="0"/>
                <w:i w:val="0"/>
                <w:sz w:val="19"/>
              </w:rPr>
              <w:t>The clean dataset ends at 2026-06-01, but Phase 2 must establish the last complete segment from observed data rather than using the latest timestamp mechanically.</w:t>
            </w:r>
          </w:p>
        </w:tc>
      </w:tr>
    </w:tbl>
    <w:p>
      <w:pPr>
        <w:widowControl/>
        <w:spacing w:after="20"/>
      </w:pPr>
    </w:p>
    <w:p>
      <w:pPr>
        <w:pStyle w:val="Heading1"/>
        <w:keepNext/>
        <w:spacing w:before="180" w:after="80"/>
      </w:pPr>
      <w:r>
        <w:rPr>
          <w:rFonts w:ascii="Aptos" w:hAnsi="Aptos"/>
          <w:b/>
          <w:i w:val="0"/>
          <w:color w:val="1F1F1F"/>
          <w:sz w:val="28"/>
        </w:rPr>
        <w:t>20. Phase 1 Completion Checklist</w:t>
      </w:r>
    </w:p>
    <w:p>
      <w:pPr>
        <w:widowControl/>
        <w:spacing w:after="40"/>
      </w:pPr>
      <w:r>
        <w:rPr>
          <w:rFonts w:ascii="Aptos" w:hAnsi="Aptos"/>
          <w:b w:val="0"/>
          <w:i w:val="0"/>
          <w:sz w:val="20"/>
        </w:rPr>
        <w:t>✓ Environment setup complete</w:t>
      </w:r>
    </w:p>
    <w:p>
      <w:pPr>
        <w:widowControl/>
        <w:spacing w:after="40"/>
      </w:pPr>
      <w:r>
        <w:rPr>
          <w:rFonts w:ascii="Aptos" w:hAnsi="Aptos"/>
          <w:b w:val="0"/>
          <w:i w:val="0"/>
          <w:sz w:val="20"/>
        </w:rPr>
        <w:t>✓ Raw funding audit complete</w:t>
      </w:r>
    </w:p>
    <w:p>
      <w:pPr>
        <w:widowControl/>
        <w:spacing w:after="40"/>
      </w:pPr>
      <w:r>
        <w:rPr>
          <w:rFonts w:ascii="Aptos" w:hAnsi="Aptos"/>
          <w:b w:val="0"/>
          <w:i w:val="0"/>
          <w:sz w:val="20"/>
        </w:rPr>
        <w:t>✓ Date audit complete</w:t>
      </w:r>
    </w:p>
    <w:p>
      <w:pPr>
        <w:widowControl/>
        <w:spacing w:after="40"/>
      </w:pPr>
      <w:r>
        <w:rPr>
          <w:rFonts w:ascii="Aptos" w:hAnsi="Aptos"/>
          <w:b w:val="0"/>
          <w:i w:val="0"/>
          <w:sz w:val="20"/>
        </w:rPr>
        <w:t>✓ Investor-field audit complete</w:t>
      </w:r>
    </w:p>
    <w:p>
      <w:pPr>
        <w:widowControl/>
        <w:spacing w:after="40"/>
      </w:pPr>
      <w:r>
        <w:rPr>
          <w:rFonts w:ascii="Aptos" w:hAnsi="Aptos"/>
          <w:b w:val="0"/>
          <w:i w:val="0"/>
          <w:sz w:val="20"/>
        </w:rPr>
        <w:t>✓ Naive parser validation complete</w:t>
      </w:r>
    </w:p>
    <w:p>
      <w:pPr>
        <w:widowControl/>
        <w:spacing w:after="40"/>
      </w:pPr>
      <w:r>
        <w:rPr>
          <w:rFonts w:ascii="Aptos" w:hAnsi="Aptos"/>
          <w:b w:val="0"/>
          <w:i w:val="0"/>
          <w:sz w:val="20"/>
        </w:rPr>
        <w:t>✓ Canonical investor segmentation complete</w:t>
      </w:r>
    </w:p>
    <w:p>
      <w:pPr>
        <w:widowControl/>
        <w:spacing w:after="40"/>
      </w:pPr>
      <w:r>
        <w:rPr>
          <w:rFonts w:ascii="Aptos" w:hAnsi="Aptos"/>
          <w:b w:val="0"/>
          <w:i w:val="0"/>
          <w:sz w:val="20"/>
        </w:rPr>
        <w:t>✓ Investor edge-case handling complete</w:t>
      </w:r>
    </w:p>
    <w:p>
      <w:pPr>
        <w:widowControl/>
        <w:spacing w:after="40"/>
      </w:pPr>
      <w:r>
        <w:rPr>
          <w:rFonts w:ascii="Aptos" w:hAnsi="Aptos"/>
          <w:b w:val="0"/>
          <w:i w:val="0"/>
          <w:sz w:val="20"/>
        </w:rPr>
        <w:t>✓ Investor mention dataset created</w:t>
      </w:r>
    </w:p>
    <w:p>
      <w:pPr>
        <w:widowControl/>
        <w:spacing w:after="40"/>
      </w:pPr>
      <w:r>
        <w:rPr>
          <w:rFonts w:ascii="Aptos" w:hAnsi="Aptos"/>
          <w:b w:val="0"/>
          <w:i w:val="0"/>
          <w:sz w:val="20"/>
        </w:rPr>
        <w:t>✓ Company exact-name resolution audited</w:t>
      </w:r>
    </w:p>
    <w:p>
      <w:pPr>
        <w:widowControl/>
        <w:spacing w:after="40"/>
      </w:pPr>
      <w:r>
        <w:rPr>
          <w:rFonts w:ascii="Aptos" w:hAnsi="Aptos"/>
          <w:b w:val="0"/>
          <w:i w:val="0"/>
          <w:sz w:val="20"/>
        </w:rPr>
        <w:t>✓ Company identity and website audit complete</w:t>
      </w:r>
    </w:p>
    <w:p>
      <w:pPr>
        <w:widowControl/>
        <w:spacing w:after="40"/>
      </w:pPr>
      <w:r>
        <w:rPr>
          <w:rFonts w:ascii="Aptos" w:hAnsi="Aptos"/>
          <w:b w:val="0"/>
          <w:i w:val="0"/>
          <w:sz w:val="20"/>
        </w:rPr>
        <w:t>✓ Website-resolution validation complete</w:t>
      </w:r>
    </w:p>
    <w:p>
      <w:pPr>
        <w:widowControl/>
        <w:spacing w:after="40"/>
      </w:pPr>
      <w:r>
        <w:rPr>
          <w:rFonts w:ascii="Aptos" w:hAnsi="Aptos"/>
          <w:b w:val="0"/>
          <w:i w:val="0"/>
          <w:sz w:val="20"/>
        </w:rPr>
        <w:t>✓ Startup ID resolution complete</w:t>
      </w:r>
    </w:p>
    <w:p>
      <w:pPr>
        <w:widowControl/>
        <w:spacing w:after="40"/>
      </w:pPr>
      <w:r>
        <w:rPr>
          <w:rFonts w:ascii="Aptos" w:hAnsi="Aptos"/>
          <w:b w:val="0"/>
          <w:i w:val="0"/>
          <w:sz w:val="20"/>
        </w:rPr>
        <w:t>✓ Investor-startup identity join complete</w:t>
      </w:r>
    </w:p>
    <w:p>
      <w:pPr>
        <w:widowControl/>
        <w:spacing w:after="40"/>
      </w:pPr>
      <w:r>
        <w:rPr>
          <w:rFonts w:ascii="Aptos" w:hAnsi="Aptos"/>
          <w:b w:val="0"/>
          <w:i w:val="0"/>
          <w:sz w:val="20"/>
        </w:rPr>
        <w:t>✓ Duplicate-event audit complete</w:t>
      </w:r>
    </w:p>
    <w:p>
      <w:pPr>
        <w:widowControl/>
        <w:spacing w:after="40"/>
      </w:pPr>
      <w:r>
        <w:rPr>
          <w:rFonts w:ascii="Aptos" w:hAnsi="Aptos"/>
          <w:b w:val="0"/>
          <w:i w:val="0"/>
          <w:sz w:val="20"/>
        </w:rPr>
        <w:t>✓ Canonical event definition frozen</w:t>
      </w:r>
    </w:p>
    <w:p>
      <w:pPr>
        <w:widowControl/>
        <w:spacing w:after="40"/>
      </w:pPr>
      <w:r>
        <w:rPr>
          <w:rFonts w:ascii="Aptos" w:hAnsi="Aptos"/>
          <w:b w:val="0"/>
          <w:i w:val="0"/>
          <w:sz w:val="20"/>
        </w:rPr>
        <w:t>✓ Final interactions dataset created</w:t>
      </w:r>
    </w:p>
    <w:tbl>
      <w:tblPr>
        <w:tblStyle w:val="TableGrid"/>
        <w:tblW w:type="auto" w:w="0"/>
        <w:tblLook w:firstColumn="1" w:firstRow="1" w:lastColumn="0" w:lastRow="0" w:noHBand="0" w:noVBand="1" w:val="04A0"/>
      </w:tblPr>
      <w:tblGrid>
        <w:gridCol w:w="10166"/>
      </w:tblGrid>
      <w:tr>
        <w:tc>
          <w:tcPr>
            <w:tcW w:type="dxa" w:w="10166"/>
            <w:shd w:fill="F7F7F7"/>
            <w:tcMar>
              <w:top w:w="120" w:type="dxa"/>
              <w:start w:w="150" w:type="dxa"/>
              <w:bottom w:w="120" w:type="dxa"/>
              <w:end w:w="150" w:type="dxa"/>
            </w:tcMar>
          </w:tcPr>
          <w:p>
            <w:r>
              <w:rPr>
                <w:rFonts w:ascii="Aptos" w:hAnsi="Aptos"/>
                <w:b/>
                <w:i w:val="0"/>
                <w:sz w:val="19"/>
              </w:rPr>
              <w:t xml:space="preserve">Final Phase-1 output: </w:t>
            </w:r>
            <w:r>
              <w:rPr>
                <w:rFonts w:ascii="Aptos" w:hAnsi="Aptos"/>
                <w:b w:val="0"/>
                <w:i w:val="0"/>
                <w:sz w:val="19"/>
              </w:rPr>
              <w:t>data/processed/interactions.parquet — 1,208,051 canonical interactions. Status: COMPLETE.</w:t>
            </w:r>
          </w:p>
        </w:tc>
      </w:tr>
    </w:tbl>
    <w:p>
      <w:pPr>
        <w:widowControl/>
        <w:spacing w:after="20"/>
      </w:pPr>
    </w:p>
    <w:p>
      <w:pPr>
        <w:pStyle w:val="Heading1"/>
        <w:keepNext/>
        <w:spacing w:before="180" w:after="80"/>
      </w:pPr>
      <w:r>
        <w:rPr>
          <w:rFonts w:ascii="Aptos" w:hAnsi="Aptos"/>
          <w:b/>
          <w:i w:val="0"/>
          <w:color w:val="1F1F1F"/>
          <w:sz w:val="28"/>
        </w:rPr>
        <w:t>Appendix A — Decision Register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E7E6E6"/>
            <w:tcMar>
              <w:top w:w="80" w:type="dxa"/>
              <w:start w:w="90" w:type="dxa"/>
              <w:bottom w:w="80" w:type="dxa"/>
              <w:end w:w="90" w:type="dxa"/>
            </w:tcMar>
            <w:vAlign w:val="center"/>
          </w:tcPr>
          <w:p>
            <w:pPr>
              <w:jc w:val="left"/>
            </w:pPr>
            <w:r>
              <w:rPr>
                <w:rFonts w:ascii="Aptos" w:hAnsi="Aptos"/>
                <w:b/>
                <w:i w:val="0"/>
                <w:sz w:val="15"/>
              </w:rPr>
              <w:t>Decision</w:t>
            </w:r>
          </w:p>
        </w:tc>
        <w:tc>
          <w:tcPr>
            <w:tcW w:type="dxa" w:w="3456"/>
            <w:shd w:fill="E7E6E6"/>
            <w:tcMar>
              <w:top w:w="80" w:type="dxa"/>
              <w:start w:w="90" w:type="dxa"/>
              <w:bottom w:w="80" w:type="dxa"/>
              <w:end w:w="90" w:type="dxa"/>
            </w:tcMar>
            <w:vAlign w:val="center"/>
          </w:tcPr>
          <w:p>
            <w:pPr>
              <w:jc w:val="left"/>
            </w:pPr>
            <w:r>
              <w:rPr>
                <w:rFonts w:ascii="Aptos" w:hAnsi="Aptos"/>
                <w:b/>
                <w:i w:val="0"/>
                <w:sz w:val="15"/>
              </w:rPr>
              <w:t>Evidence</w:t>
            </w:r>
          </w:p>
        </w:tc>
        <w:tc>
          <w:tcPr>
            <w:tcW w:type="dxa" w:w="2880"/>
            <w:shd w:fill="E7E6E6"/>
            <w:tcMar>
              <w:top w:w="80" w:type="dxa"/>
              <w:start w:w="90" w:type="dxa"/>
              <w:bottom w:w="80" w:type="dxa"/>
              <w:end w:w="90" w:type="dxa"/>
            </w:tcMar>
            <w:vAlign w:val="center"/>
          </w:tcPr>
          <w:p>
            <w:pPr>
              <w:jc w:val="left"/>
            </w:pPr>
            <w:r>
              <w:rPr>
                <w:rFonts w:ascii="Aptos" w:hAnsi="Aptos"/>
                <w:b/>
                <w:i w:val="0"/>
                <w:sz w:val="15"/>
              </w:rPr>
              <w:t>Policy</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Investor list parsing</w:t>
            </w:r>
          </w:p>
        </w:tc>
        <w:tc>
          <w:tcPr>
            <w:tcW w:type="dxa" w:w="3456"/>
            <w:tcMar>
              <w:top w:w="80" w:type="dxa"/>
              <w:start w:w="90" w:type="dxa"/>
              <w:bottom w:w="80" w:type="dxa"/>
              <w:end w:w="90" w:type="dxa"/>
            </w:tcMar>
            <w:vAlign w:val="top"/>
          </w:tcPr>
          <w:p>
            <w:pPr>
              <w:spacing w:after="0"/>
            </w:pPr>
            <w:r>
              <w:rPr>
                <w:rFonts w:ascii="Aptos" w:hAnsi="Aptos"/>
                <w:b w:val="0"/>
                <w:i w:val="0"/>
                <w:sz w:val="15"/>
              </w:rPr>
              <w:t>Canonical names contain commas; naive parsing created 6,901 unmatched fragments</w:t>
            </w:r>
          </w:p>
        </w:tc>
        <w:tc>
          <w:tcPr>
            <w:tcW w:type="dxa" w:w="2880"/>
            <w:tcMar>
              <w:top w:w="80" w:type="dxa"/>
              <w:start w:w="90" w:type="dxa"/>
              <w:bottom w:w="80" w:type="dxa"/>
              <w:end w:w="90" w:type="dxa"/>
            </w:tcMar>
            <w:vAlign w:val="top"/>
          </w:tcPr>
          <w:p>
            <w:pPr>
              <w:spacing w:after="0"/>
            </w:pPr>
            <w:r>
              <w:rPr>
                <w:rFonts w:ascii="Aptos" w:hAnsi="Aptos"/>
                <w:b w:val="0"/>
                <w:i w:val="0"/>
                <w:sz w:val="15"/>
              </w:rPr>
              <w:t>Use exact dictionary segmentation.</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Duplicate investor names</w:t>
            </w:r>
          </w:p>
        </w:tc>
        <w:tc>
          <w:tcPr>
            <w:tcW w:type="dxa" w:w="3456"/>
            <w:tcMar>
              <w:top w:w="80" w:type="dxa"/>
              <w:start w:w="90" w:type="dxa"/>
              <w:bottom w:w="80" w:type="dxa"/>
              <w:end w:w="90" w:type="dxa"/>
            </w:tcMar>
            <w:vAlign w:val="top"/>
          </w:tcPr>
          <w:p>
            <w:pPr>
              <w:spacing w:after="0"/>
            </w:pPr>
            <w:r>
              <w:rPr>
                <w:rFonts w:ascii="Aptos" w:hAnsi="Aptos"/>
                <w:b w:val="0"/>
                <w:i w:val="0"/>
                <w:sz w:val="15"/>
              </w:rPr>
              <w:t>9,591 canonical names map to multiple investor IDs</w:t>
            </w:r>
          </w:p>
        </w:tc>
        <w:tc>
          <w:tcPr>
            <w:tcW w:type="dxa" w:w="2880"/>
            <w:tcMar>
              <w:top w:w="80" w:type="dxa"/>
              <w:start w:w="90" w:type="dxa"/>
              <w:bottom w:w="80" w:type="dxa"/>
              <w:end w:w="90" w:type="dxa"/>
            </w:tcMar>
            <w:vAlign w:val="top"/>
          </w:tcPr>
          <w:p>
            <w:pPr>
              <w:spacing w:after="0"/>
            </w:pPr>
            <w:r>
              <w:rPr>
                <w:rFonts w:ascii="Aptos" w:hAnsi="Aptos"/>
                <w:b w:val="0"/>
                <w:i w:val="0"/>
                <w:sz w:val="15"/>
              </w:rPr>
              <w:t>Do not force an ID; preserve candidate IDs and exclude from strict interactions.</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HALA Ventures</w:t>
            </w:r>
          </w:p>
        </w:tc>
        <w:tc>
          <w:tcPr>
            <w:tcW w:type="dxa" w:w="3456"/>
            <w:tcMar>
              <w:top w:w="80" w:type="dxa"/>
              <w:start w:w="90" w:type="dxa"/>
              <w:bottom w:w="80" w:type="dxa"/>
              <w:end w:w="90" w:type="dxa"/>
            </w:tcMar>
            <w:vAlign w:val="top"/>
          </w:tcPr>
          <w:p>
            <w:pPr>
              <w:spacing w:after="0"/>
            </w:pPr>
            <w:r>
              <w:rPr>
                <w:rFonts w:ascii="Aptos" w:hAnsi="Aptos"/>
                <w:b w:val="0"/>
                <w:i w:val="0"/>
                <w:sz w:val="15"/>
              </w:rPr>
              <w:t>17 source mentions absent from investor master</w:t>
            </w:r>
          </w:p>
        </w:tc>
        <w:tc>
          <w:tcPr>
            <w:tcW w:type="dxa" w:w="2880"/>
            <w:tcMar>
              <w:top w:w="80" w:type="dxa"/>
              <w:start w:w="90" w:type="dxa"/>
              <w:bottom w:w="80" w:type="dxa"/>
              <w:end w:w="90" w:type="dxa"/>
            </w:tcMar>
            <w:vAlign w:val="top"/>
          </w:tcPr>
          <w:p>
            <w:pPr>
              <w:spacing w:after="0"/>
            </w:pPr>
            <w:r>
              <w:rPr>
                <w:rFonts w:ascii="Aptos" w:hAnsi="Aptos"/>
                <w:b w:val="0"/>
                <w:i w:val="0"/>
                <w:sz w:val="15"/>
              </w:rPr>
              <w:t>Preserve as unmatched source investor; do not invent an ID.</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Malformed investor names</w:t>
            </w:r>
          </w:p>
        </w:tc>
        <w:tc>
          <w:tcPr>
            <w:tcW w:type="dxa" w:w="3456"/>
            <w:tcMar>
              <w:top w:w="80" w:type="dxa"/>
              <w:start w:w="90" w:type="dxa"/>
              <w:bottom w:w="80" w:type="dxa"/>
              <w:end w:w="90" w:type="dxa"/>
            </w:tcMar>
            <w:vAlign w:val="top"/>
          </w:tcPr>
          <w:p>
            <w:pPr>
              <w:spacing w:after="0"/>
            </w:pPr>
            <w:r>
              <w:rPr>
                <w:rFonts w:ascii="Aptos" w:hAnsi="Aptos"/>
                <w:b w:val="0"/>
                <w:i w:val="0"/>
                <w:sz w:val="15"/>
              </w:rPr>
              <w:t>Trailing/repeated commas exist in canonical master</w:t>
            </w:r>
          </w:p>
        </w:tc>
        <w:tc>
          <w:tcPr>
            <w:tcW w:type="dxa" w:w="2880"/>
            <w:tcMar>
              <w:top w:w="80" w:type="dxa"/>
              <w:start w:w="90" w:type="dxa"/>
              <w:bottom w:w="80" w:type="dxa"/>
              <w:end w:w="90" w:type="dxa"/>
            </w:tcMar>
            <w:vAlign w:val="top"/>
          </w:tcPr>
          <w:p>
            <w:pPr>
              <w:spacing w:after="0"/>
            </w:pPr>
            <w:r>
              <w:rPr>
                <w:rFonts w:ascii="Aptos" w:hAnsi="Aptos"/>
                <w:b w:val="0"/>
                <w:i w:val="0"/>
                <w:sz w:val="15"/>
              </w:rPr>
              <w:t>Preserve source spelling and attach quality flags.</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Company exact-name ambiguity</w:t>
            </w:r>
          </w:p>
        </w:tc>
        <w:tc>
          <w:tcPr>
            <w:tcW w:type="dxa" w:w="3456"/>
            <w:tcMar>
              <w:top w:w="80" w:type="dxa"/>
              <w:start w:w="90" w:type="dxa"/>
              <w:bottom w:w="80" w:type="dxa"/>
              <w:end w:w="90" w:type="dxa"/>
            </w:tcMar>
            <w:vAlign w:val="top"/>
          </w:tcPr>
          <w:p>
            <w:pPr>
              <w:spacing w:after="0"/>
            </w:pPr>
            <w:r>
              <w:rPr>
                <w:rFonts w:ascii="Aptos" w:hAnsi="Aptos"/>
                <w:b w:val="0"/>
                <w:i w:val="0"/>
                <w:sz w:val="15"/>
              </w:rPr>
              <w:t>32,306 unique funded names map to multiple company IDs</w:t>
            </w:r>
          </w:p>
        </w:tc>
        <w:tc>
          <w:tcPr>
            <w:tcW w:type="dxa" w:w="2880"/>
            <w:tcMar>
              <w:top w:w="80" w:type="dxa"/>
              <w:start w:w="90" w:type="dxa"/>
              <w:bottom w:w="80" w:type="dxa"/>
              <w:end w:w="90" w:type="dxa"/>
            </w:tcMar>
            <w:vAlign w:val="top"/>
          </w:tcPr>
          <w:p>
            <w:pPr>
              <w:spacing w:after="0"/>
            </w:pPr>
            <w:r>
              <w:rPr>
                <w:rFonts w:ascii="Aptos" w:hAnsi="Aptos"/>
                <w:b w:val="0"/>
                <w:i w:val="0"/>
                <w:sz w:val="15"/>
              </w:rPr>
              <w:t>Use secondary identity evidence rather than arbitrary choice.</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Exact website evidence</w:t>
            </w:r>
          </w:p>
        </w:tc>
        <w:tc>
          <w:tcPr>
            <w:tcW w:type="dxa" w:w="3456"/>
            <w:tcMar>
              <w:top w:w="80" w:type="dxa"/>
              <w:start w:w="90" w:type="dxa"/>
              <w:bottom w:w="80" w:type="dxa"/>
              <w:end w:w="90" w:type="dxa"/>
            </w:tcMar>
            <w:vAlign w:val="top"/>
          </w:tcPr>
          <w:p>
            <w:pPr>
              <w:spacing w:after="0"/>
            </w:pPr>
            <w:r>
              <w:rPr>
                <w:rFonts w:ascii="Aptos" w:hAnsi="Aptos"/>
                <w:b w:val="0"/>
                <w:i w:val="0"/>
                <w:sz w:val="15"/>
              </w:rPr>
              <w:t>495,869 control agreements; 0 conflicts</w:t>
            </w:r>
          </w:p>
        </w:tc>
        <w:tc>
          <w:tcPr>
            <w:tcW w:type="dxa" w:w="2880"/>
            <w:tcMar>
              <w:top w:w="80" w:type="dxa"/>
              <w:start w:w="90" w:type="dxa"/>
              <w:bottom w:w="80" w:type="dxa"/>
              <w:end w:w="90" w:type="dxa"/>
            </w:tcMar>
            <w:vAlign w:val="top"/>
          </w:tcPr>
          <w:p>
            <w:pPr>
              <w:spacing w:after="0"/>
            </w:pPr>
            <w:r>
              <w:rPr>
                <w:rFonts w:ascii="Aptos" w:hAnsi="Aptos"/>
                <w:b w:val="0"/>
                <w:i w:val="0"/>
                <w:sz w:val="15"/>
              </w:rPr>
              <w:t>Allow website to select one of the exact-name candidate IDs.</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Website-only matches</w:t>
            </w:r>
          </w:p>
        </w:tc>
        <w:tc>
          <w:tcPr>
            <w:tcW w:type="dxa" w:w="3456"/>
            <w:tcMar>
              <w:top w:w="80" w:type="dxa"/>
              <w:start w:w="90" w:type="dxa"/>
              <w:bottom w:w="80" w:type="dxa"/>
              <w:end w:w="90" w:type="dxa"/>
            </w:tcMar>
            <w:vAlign w:val="top"/>
          </w:tcPr>
          <w:p>
            <w:pPr>
              <w:spacing w:after="0"/>
            </w:pPr>
            <w:r>
              <w:rPr>
                <w:rFonts w:ascii="Aptos" w:hAnsi="Aptos"/>
                <w:b w:val="0"/>
                <w:i w:val="0"/>
                <w:sz w:val="15"/>
              </w:rPr>
              <w:t>38 unmatched-name funding rounds have unique website candidate</w:t>
            </w:r>
          </w:p>
        </w:tc>
        <w:tc>
          <w:tcPr>
            <w:tcW w:type="dxa" w:w="2880"/>
            <w:tcMar>
              <w:top w:w="80" w:type="dxa"/>
              <w:start w:w="90" w:type="dxa"/>
              <w:bottom w:w="80" w:type="dxa"/>
              <w:end w:w="90" w:type="dxa"/>
            </w:tcMar>
            <w:vAlign w:val="top"/>
          </w:tcPr>
          <w:p>
            <w:pPr>
              <w:spacing w:after="0"/>
            </w:pPr>
            <w:r>
              <w:rPr>
                <w:rFonts w:ascii="Aptos" w:hAnsi="Aptos"/>
                <w:b w:val="0"/>
                <w:i w:val="0"/>
                <w:sz w:val="15"/>
              </w:rPr>
              <w:t>Keep unresolved; website-only identity is not accepted automatically.</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Same-day repeated events</w:t>
            </w:r>
          </w:p>
        </w:tc>
        <w:tc>
          <w:tcPr>
            <w:tcW w:type="dxa" w:w="3456"/>
            <w:tcMar>
              <w:top w:w="80" w:type="dxa"/>
              <w:start w:w="90" w:type="dxa"/>
              <w:bottom w:w="80" w:type="dxa"/>
              <w:end w:w="90" w:type="dxa"/>
            </w:tcMar>
            <w:vAlign w:val="top"/>
          </w:tcPr>
          <w:p>
            <w:pPr>
              <w:spacing w:after="0"/>
            </w:pPr>
            <w:r>
              <w:rPr>
                <w:rFonts w:ascii="Aptos" w:hAnsi="Aptos"/>
                <w:b w:val="0"/>
                <w:i w:val="0"/>
                <w:sz w:val="15"/>
              </w:rPr>
              <w:t>2,570 groups; 0 repeated funding-round IDs; 2,501 have multiple types</w:t>
            </w:r>
          </w:p>
        </w:tc>
        <w:tc>
          <w:tcPr>
            <w:tcW w:type="dxa" w:w="2880"/>
            <w:tcMar>
              <w:top w:w="80" w:type="dxa"/>
              <w:start w:w="90" w:type="dxa"/>
              <w:bottom w:w="80" w:type="dxa"/>
              <w:end w:w="90" w:type="dxa"/>
            </w:tcMar>
            <w:vAlign w:val="top"/>
          </w:tcPr>
          <w:p>
            <w:pPr>
              <w:spacing w:after="0"/>
            </w:pPr>
            <w:r>
              <w:rPr>
                <w:rFonts w:ascii="Aptos" w:hAnsi="Aptos"/>
                <w:b w:val="0"/>
                <w:i w:val="0"/>
                <w:sz w:val="15"/>
              </w:rPr>
              <w:t>Preserve as separate source events.</w:t>
            </w:r>
          </w:p>
        </w:tc>
      </w:tr>
      <w:tr>
        <w:trPr>
          <w:cantSplit/>
        </w:trPr>
        <w:tc>
          <w:tcPr>
            <w:tcW w:type="dxa" w:w="2448"/>
            <w:tcMar>
              <w:top w:w="80" w:type="dxa"/>
              <w:start w:w="90" w:type="dxa"/>
              <w:bottom w:w="80" w:type="dxa"/>
              <w:end w:w="90" w:type="dxa"/>
            </w:tcMar>
            <w:vAlign w:val="top"/>
          </w:tcPr>
          <w:p>
            <w:pPr>
              <w:spacing w:after="0"/>
            </w:pPr>
            <w:r>
              <w:rPr>
                <w:rFonts w:ascii="Aptos" w:hAnsi="Aptos"/>
                <w:b w:val="0"/>
                <w:i w:val="0"/>
                <w:sz w:val="15"/>
              </w:rPr>
              <w:t>Temporal cutoff</w:t>
            </w:r>
          </w:p>
        </w:tc>
        <w:tc>
          <w:tcPr>
            <w:tcW w:type="dxa" w:w="3456"/>
            <w:tcMar>
              <w:top w:w="80" w:type="dxa"/>
              <w:start w:w="90" w:type="dxa"/>
              <w:bottom w:w="80" w:type="dxa"/>
              <w:end w:w="90" w:type="dxa"/>
            </w:tcMar>
            <w:vAlign w:val="top"/>
          </w:tcPr>
          <w:p>
            <w:pPr>
              <w:spacing w:after="0"/>
            </w:pPr>
            <w:r>
              <w:rPr>
                <w:rFonts w:ascii="Aptos" w:hAnsi="Aptos"/>
                <w:b w:val="0"/>
                <w:i w:val="0"/>
                <w:sz w:val="15"/>
              </w:rPr>
              <w:t>Filename date conflicts with actual data dates</w:t>
            </w:r>
          </w:p>
        </w:tc>
        <w:tc>
          <w:tcPr>
            <w:tcW w:type="dxa" w:w="2880"/>
            <w:tcMar>
              <w:top w:w="80" w:type="dxa"/>
              <w:start w:w="90" w:type="dxa"/>
              <w:bottom w:w="80" w:type="dxa"/>
              <w:end w:w="90" w:type="dxa"/>
            </w:tcMar>
            <w:vAlign w:val="top"/>
          </w:tcPr>
          <w:p>
            <w:pPr>
              <w:spacing w:after="0"/>
            </w:pPr>
            <w:r>
              <w:rPr>
                <w:rFonts w:ascii="Aptos" w:hAnsi="Aptos"/>
                <w:b w:val="0"/>
                <w:i w:val="0"/>
                <w:sz w:val="15"/>
              </w:rPr>
              <w:t>Determine temporal bounds from actual announced_on distribution.</w:t>
            </w:r>
          </w:p>
        </w:tc>
      </w:tr>
    </w:tbl>
    <w:p>
      <w:pPr>
        <w:widowControl/>
        <w:spacing w:after="20"/>
      </w:pPr>
    </w:p>
    <w:p>
      <w:pPr>
        <w:pStyle w:val="Heading1"/>
        <w:keepNext/>
        <w:spacing w:before="180" w:after="80"/>
      </w:pPr>
      <w:r>
        <w:rPr>
          <w:rFonts w:ascii="Aptos" w:hAnsi="Aptos"/>
          <w:b/>
          <w:i w:val="0"/>
          <w:color w:val="1F1F1F"/>
          <w:sz w:val="28"/>
        </w:rPr>
        <w:t>Appendix B — Key Metrics at a Glance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E7E6E6"/>
            <w:tcMar>
              <w:top w:w="80" w:type="dxa"/>
              <w:start w:w="90" w:type="dxa"/>
              <w:bottom w:w="80" w:type="dxa"/>
              <w:end w:w="90" w:type="dxa"/>
            </w:tcMar>
            <w:vAlign w:val="center"/>
          </w:tcPr>
          <w:p>
            <w:pPr>
              <w:jc w:val="left"/>
            </w:pPr>
            <w:r>
              <w:rPr>
                <w:rFonts w:ascii="Aptos" w:hAnsi="Aptos"/>
                <w:b/>
                <w:i w:val="0"/>
                <w:sz w:val="16"/>
              </w:rPr>
              <w:t>Stage</w:t>
            </w:r>
          </w:p>
        </w:tc>
        <w:tc>
          <w:tcPr>
            <w:tcW w:type="dxa" w:w="2448"/>
            <w:shd w:fill="E7E6E6"/>
            <w:tcMar>
              <w:top w:w="80" w:type="dxa"/>
              <w:start w:w="90" w:type="dxa"/>
              <w:bottom w:w="80" w:type="dxa"/>
              <w:end w:w="90" w:type="dxa"/>
            </w:tcMar>
            <w:vAlign w:val="center"/>
          </w:tcPr>
          <w:p>
            <w:pPr>
              <w:jc w:val="left"/>
            </w:pPr>
            <w:r>
              <w:rPr>
                <w:rFonts w:ascii="Aptos" w:hAnsi="Aptos"/>
                <w:b/>
                <w:i w:val="0"/>
                <w:sz w:val="16"/>
              </w:rPr>
              <w:t>Count / rate</w:t>
            </w:r>
          </w:p>
        </w:tc>
        <w:tc>
          <w:tcPr>
            <w:tcW w:type="dxa" w:w="3600"/>
            <w:shd w:fill="E7E6E6"/>
            <w:tcMar>
              <w:top w:w="80" w:type="dxa"/>
              <w:start w:w="90" w:type="dxa"/>
              <w:bottom w:w="80" w:type="dxa"/>
              <w:end w:w="90" w:type="dxa"/>
            </w:tcMar>
            <w:vAlign w:val="center"/>
          </w:tcPr>
          <w:p>
            <w:pPr>
              <w:jc w:val="left"/>
            </w:pPr>
            <w:r>
              <w:rPr>
                <w:rFonts w:ascii="Aptos" w:hAnsi="Aptos"/>
                <w:b/>
                <w:i w:val="0"/>
                <w:sz w:val="16"/>
              </w:rPr>
              <w:t>Interpretation</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Raw funding rounds</w:t>
            </w:r>
          </w:p>
        </w:tc>
        <w:tc>
          <w:tcPr>
            <w:tcW w:type="dxa" w:w="2448"/>
            <w:tcMar>
              <w:top w:w="80" w:type="dxa"/>
              <w:start w:w="90" w:type="dxa"/>
              <w:bottom w:w="80" w:type="dxa"/>
              <w:end w:w="90" w:type="dxa"/>
            </w:tcMar>
            <w:vAlign w:val="top"/>
          </w:tcPr>
          <w:p>
            <w:pPr>
              <w:spacing w:after="0"/>
            </w:pPr>
            <w:r>
              <w:rPr>
                <w:rFonts w:ascii="Aptos" w:hAnsi="Aptos"/>
                <w:b w:val="0"/>
                <w:i w:val="0"/>
                <w:sz w:val="16"/>
              </w:rPr>
              <w:t>797,177</w:t>
            </w:r>
          </w:p>
        </w:tc>
        <w:tc>
          <w:tcPr>
            <w:tcW w:type="dxa" w:w="3600"/>
            <w:tcMar>
              <w:top w:w="80" w:type="dxa"/>
              <w:start w:w="90" w:type="dxa"/>
              <w:bottom w:w="80" w:type="dxa"/>
              <w:end w:w="90" w:type="dxa"/>
            </w:tcMar>
            <w:vAlign w:val="top"/>
          </w:tcPr>
          <w:p>
            <w:pPr>
              <w:spacing w:after="0"/>
            </w:pPr>
            <w:r>
              <w:rPr>
                <w:rFonts w:ascii="Aptos" w:hAnsi="Aptos"/>
                <w:b w:val="0"/>
                <w:i w:val="0"/>
                <w:sz w:val="16"/>
              </w:rPr>
              <w:t>Full funding export.</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Funding rounds with investor data</w:t>
            </w:r>
          </w:p>
        </w:tc>
        <w:tc>
          <w:tcPr>
            <w:tcW w:type="dxa" w:w="2448"/>
            <w:tcMar>
              <w:top w:w="80" w:type="dxa"/>
              <w:start w:w="90" w:type="dxa"/>
              <w:bottom w:w="80" w:type="dxa"/>
              <w:end w:w="90" w:type="dxa"/>
            </w:tcMar>
            <w:vAlign w:val="top"/>
          </w:tcPr>
          <w:p>
            <w:pPr>
              <w:spacing w:after="0"/>
            </w:pPr>
            <w:r>
              <w:rPr>
                <w:rFonts w:ascii="Aptos" w:hAnsi="Aptos"/>
                <w:b w:val="0"/>
                <w:i w:val="0"/>
                <w:sz w:val="16"/>
              </w:rPr>
              <w:t>602,867</w:t>
            </w:r>
          </w:p>
        </w:tc>
        <w:tc>
          <w:tcPr>
            <w:tcW w:type="dxa" w:w="3600"/>
            <w:tcMar>
              <w:top w:w="80" w:type="dxa"/>
              <w:start w:w="90" w:type="dxa"/>
              <w:bottom w:w="80" w:type="dxa"/>
              <w:end w:w="90" w:type="dxa"/>
            </w:tcMar>
            <w:vAlign w:val="top"/>
          </w:tcPr>
          <w:p>
            <w:pPr>
              <w:spacing w:after="0"/>
            </w:pPr>
            <w:r>
              <w:rPr>
                <w:rFonts w:ascii="Aptos" w:hAnsi="Aptos"/>
                <w:b w:val="0"/>
                <w:i w:val="0"/>
                <w:sz w:val="16"/>
              </w:rPr>
              <w:t>Rows eligible for investor-list reconstruction.</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Normalized investor mentions</w:t>
            </w:r>
          </w:p>
        </w:tc>
        <w:tc>
          <w:tcPr>
            <w:tcW w:type="dxa" w:w="2448"/>
            <w:tcMar>
              <w:top w:w="80" w:type="dxa"/>
              <w:start w:w="90" w:type="dxa"/>
              <w:bottom w:w="80" w:type="dxa"/>
              <w:end w:w="90" w:type="dxa"/>
            </w:tcMar>
            <w:vAlign w:val="top"/>
          </w:tcPr>
          <w:p>
            <w:pPr>
              <w:spacing w:after="0"/>
            </w:pPr>
            <w:r>
              <w:rPr>
                <w:rFonts w:ascii="Aptos" w:hAnsi="Aptos"/>
                <w:b w:val="0"/>
                <w:i w:val="0"/>
                <w:sz w:val="16"/>
              </w:rPr>
              <w:t>1,335,550</w:t>
            </w:r>
          </w:p>
        </w:tc>
        <w:tc>
          <w:tcPr>
            <w:tcW w:type="dxa" w:w="3600"/>
            <w:tcMar>
              <w:top w:w="80" w:type="dxa"/>
              <w:start w:w="90" w:type="dxa"/>
              <w:bottom w:w="80" w:type="dxa"/>
              <w:end w:w="90" w:type="dxa"/>
            </w:tcMar>
            <w:vAlign w:val="top"/>
          </w:tcPr>
          <w:p>
            <w:pPr>
              <w:spacing w:after="0"/>
            </w:pPr>
            <w:r>
              <w:rPr>
                <w:rFonts w:ascii="Aptos" w:hAnsi="Aptos"/>
                <w:b w:val="0"/>
                <w:i w:val="0"/>
                <w:sz w:val="16"/>
              </w:rPr>
              <w:t>One mention per reconstructed investor participation.</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Uniquely resolved investor mentions</w:t>
            </w:r>
          </w:p>
        </w:tc>
        <w:tc>
          <w:tcPr>
            <w:tcW w:type="dxa" w:w="2448"/>
            <w:tcMar>
              <w:top w:w="80" w:type="dxa"/>
              <w:start w:w="90" w:type="dxa"/>
              <w:bottom w:w="80" w:type="dxa"/>
              <w:end w:w="90" w:type="dxa"/>
            </w:tcMar>
            <w:vAlign w:val="top"/>
          </w:tcPr>
          <w:p>
            <w:pPr>
              <w:spacing w:after="0"/>
            </w:pPr>
            <w:r>
              <w:rPr>
                <w:rFonts w:ascii="Aptos" w:hAnsi="Aptos"/>
                <w:b w:val="0"/>
                <w:i w:val="0"/>
                <w:sz w:val="16"/>
              </w:rPr>
              <w:t>1,221,062 (91.43%)</w:t>
            </w:r>
          </w:p>
        </w:tc>
        <w:tc>
          <w:tcPr>
            <w:tcW w:type="dxa" w:w="3600"/>
            <w:tcMar>
              <w:top w:w="80" w:type="dxa"/>
              <w:start w:w="90" w:type="dxa"/>
              <w:bottom w:w="80" w:type="dxa"/>
              <w:end w:w="90" w:type="dxa"/>
            </w:tcMar>
            <w:vAlign w:val="top"/>
          </w:tcPr>
          <w:p>
            <w:pPr>
              <w:spacing w:after="0"/>
            </w:pPr>
            <w:r>
              <w:rPr>
                <w:rFonts w:ascii="Aptos" w:hAnsi="Aptos"/>
                <w:b w:val="0"/>
                <w:i w:val="0"/>
                <w:sz w:val="16"/>
              </w:rPr>
              <w:t>Investor ID can be used without guessing.</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Startup-resolved investor mentions</w:t>
            </w:r>
          </w:p>
        </w:tc>
        <w:tc>
          <w:tcPr>
            <w:tcW w:type="dxa" w:w="2448"/>
            <w:tcMar>
              <w:top w:w="80" w:type="dxa"/>
              <w:start w:w="90" w:type="dxa"/>
              <w:bottom w:w="80" w:type="dxa"/>
              <w:end w:w="90" w:type="dxa"/>
            </w:tcMar>
            <w:vAlign w:val="top"/>
          </w:tcPr>
          <w:p>
            <w:pPr>
              <w:spacing w:after="0"/>
            </w:pPr>
            <w:r>
              <w:rPr>
                <w:rFonts w:ascii="Aptos" w:hAnsi="Aptos"/>
                <w:b w:val="0"/>
                <w:i w:val="0"/>
                <w:sz w:val="16"/>
              </w:rPr>
              <w:t>1,321,416 (98.94%)</w:t>
            </w:r>
          </w:p>
        </w:tc>
        <w:tc>
          <w:tcPr>
            <w:tcW w:type="dxa" w:w="3600"/>
            <w:tcMar>
              <w:top w:w="80" w:type="dxa"/>
              <w:start w:w="90" w:type="dxa"/>
              <w:bottom w:w="80" w:type="dxa"/>
              <w:end w:w="90" w:type="dxa"/>
            </w:tcMar>
            <w:vAlign w:val="top"/>
          </w:tcPr>
          <w:p>
            <w:pPr>
              <w:spacing w:after="0"/>
            </w:pPr>
            <w:r>
              <w:rPr>
                <w:rFonts w:ascii="Aptos" w:hAnsi="Aptos"/>
                <w:b w:val="0"/>
                <w:i w:val="0"/>
                <w:sz w:val="16"/>
              </w:rPr>
              <w:t>Target organization ID resolved by name or validated name+website.</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Canonical high-confidence interactions</w:t>
            </w:r>
          </w:p>
        </w:tc>
        <w:tc>
          <w:tcPr>
            <w:tcW w:type="dxa" w:w="2448"/>
            <w:tcMar>
              <w:top w:w="80" w:type="dxa"/>
              <w:start w:w="90" w:type="dxa"/>
              <w:bottom w:w="80" w:type="dxa"/>
              <w:end w:w="90" w:type="dxa"/>
            </w:tcMar>
            <w:vAlign w:val="top"/>
          </w:tcPr>
          <w:p>
            <w:pPr>
              <w:spacing w:after="0"/>
            </w:pPr>
            <w:r>
              <w:rPr>
                <w:rFonts w:ascii="Aptos" w:hAnsi="Aptos"/>
                <w:b w:val="0"/>
                <w:i w:val="0"/>
                <w:sz w:val="16"/>
              </w:rPr>
              <w:t>1,208,051 (90.45% of mentions)</w:t>
            </w:r>
          </w:p>
        </w:tc>
        <w:tc>
          <w:tcPr>
            <w:tcW w:type="dxa" w:w="3600"/>
            <w:tcMar>
              <w:top w:w="80" w:type="dxa"/>
              <w:start w:w="90" w:type="dxa"/>
              <w:bottom w:w="80" w:type="dxa"/>
              <w:end w:w="90" w:type="dxa"/>
            </w:tcMar>
            <w:vAlign w:val="top"/>
          </w:tcPr>
          <w:p>
            <w:pPr>
              <w:spacing w:after="0"/>
            </w:pPr>
            <w:r>
              <w:rPr>
                <w:rFonts w:ascii="Aptos" w:hAnsi="Aptos"/>
                <w:b w:val="0"/>
                <w:i w:val="0"/>
                <w:sz w:val="16"/>
              </w:rPr>
              <w:t>Both investor and startup resolved with valid date.</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Unique investor-startup pairs</w:t>
            </w:r>
          </w:p>
        </w:tc>
        <w:tc>
          <w:tcPr>
            <w:tcW w:type="dxa" w:w="2448"/>
            <w:tcMar>
              <w:top w:w="80" w:type="dxa"/>
              <w:start w:w="90" w:type="dxa"/>
              <w:bottom w:w="80" w:type="dxa"/>
              <w:end w:w="90" w:type="dxa"/>
            </w:tcMar>
            <w:vAlign w:val="top"/>
          </w:tcPr>
          <w:p>
            <w:pPr>
              <w:spacing w:after="0"/>
            </w:pPr>
            <w:r>
              <w:rPr>
                <w:rFonts w:ascii="Aptos" w:hAnsi="Aptos"/>
                <w:b w:val="0"/>
                <w:i w:val="0"/>
                <w:sz w:val="16"/>
              </w:rPr>
              <w:t>991,291</w:t>
            </w:r>
          </w:p>
        </w:tc>
        <w:tc>
          <w:tcPr>
            <w:tcW w:type="dxa" w:w="3600"/>
            <w:tcMar>
              <w:top w:w="80" w:type="dxa"/>
              <w:start w:w="90" w:type="dxa"/>
              <w:bottom w:w="80" w:type="dxa"/>
              <w:end w:w="90" w:type="dxa"/>
            </w:tcMar>
            <w:vAlign w:val="top"/>
          </w:tcPr>
          <w:p>
            <w:pPr>
              <w:spacing w:after="0"/>
            </w:pPr>
            <w:r>
              <w:rPr>
                <w:rFonts w:ascii="Aptos" w:hAnsi="Aptos"/>
                <w:b w:val="0"/>
                <w:i w:val="0"/>
                <w:sz w:val="16"/>
              </w:rPr>
              <w:t>Distinct pair identities represented.</w:t>
            </w:r>
          </w:p>
        </w:tc>
      </w:tr>
      <w:tr>
        <w:trPr>
          <w:cantSplit/>
        </w:trPr>
        <w:tc>
          <w:tcPr>
            <w:tcW w:type="dxa" w:w="3024"/>
            <w:tcMar>
              <w:top w:w="80" w:type="dxa"/>
              <w:start w:w="90" w:type="dxa"/>
              <w:bottom w:w="80" w:type="dxa"/>
              <w:end w:w="90" w:type="dxa"/>
            </w:tcMar>
            <w:vAlign w:val="top"/>
          </w:tcPr>
          <w:p>
            <w:pPr>
              <w:spacing w:after="0"/>
            </w:pPr>
            <w:r>
              <w:rPr>
                <w:rFonts w:ascii="Aptos" w:hAnsi="Aptos"/>
                <w:b w:val="0"/>
                <w:i w:val="0"/>
                <w:sz w:val="16"/>
              </w:rPr>
              <w:t>Repeated pairs</w:t>
            </w:r>
          </w:p>
        </w:tc>
        <w:tc>
          <w:tcPr>
            <w:tcW w:type="dxa" w:w="2448"/>
            <w:tcMar>
              <w:top w:w="80" w:type="dxa"/>
              <w:start w:w="90" w:type="dxa"/>
              <w:bottom w:w="80" w:type="dxa"/>
              <w:end w:w="90" w:type="dxa"/>
            </w:tcMar>
            <w:vAlign w:val="top"/>
          </w:tcPr>
          <w:p>
            <w:pPr>
              <w:spacing w:after="0"/>
            </w:pPr>
            <w:r>
              <w:rPr>
                <w:rFonts w:ascii="Aptos" w:hAnsi="Aptos"/>
                <w:b w:val="0"/>
                <w:i w:val="0"/>
                <w:sz w:val="16"/>
              </w:rPr>
              <w:t>153,310 (15.47%)</w:t>
            </w:r>
          </w:p>
        </w:tc>
        <w:tc>
          <w:tcPr>
            <w:tcW w:type="dxa" w:w="3600"/>
            <w:tcMar>
              <w:top w:w="80" w:type="dxa"/>
              <w:start w:w="90" w:type="dxa"/>
              <w:bottom w:w="80" w:type="dxa"/>
              <w:end w:w="90" w:type="dxa"/>
            </w:tcMar>
            <w:vAlign w:val="top"/>
          </w:tcPr>
          <w:p>
            <w:pPr>
              <w:spacing w:after="0"/>
            </w:pPr>
            <w:r>
              <w:rPr>
                <w:rFonts w:ascii="Aptos" w:hAnsi="Aptos"/>
                <w:b w:val="0"/>
                <w:i w:val="0"/>
                <w:sz w:val="16"/>
              </w:rPr>
              <w:t>Pairs with more than one funding event.</w:t>
            </w:r>
          </w:p>
        </w:tc>
      </w:tr>
    </w:tbl>
    <w:p>
      <w:pPr>
        <w:widowControl/>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val="0"/>
        <w:i w:val="0"/>
        <w:color w:val="646464"/>
        <w:sz w:val="16"/>
      </w:rPr>
      <w:t>ITRS Crunchbase Reproduction | Phase 1 Closure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