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after="0"/>
        <w:jc w:val="center"/>
      </w:pPr>
      <w:r>
        <w:rPr>
          <w:rFonts w:ascii="Aptos" w:hAnsi="Aptos"/>
          <w:b/>
          <w:color w:val="181818"/>
          <w:sz w:val="48"/>
        </w:rPr>
        <w:t>PHASE 2 CLOSURE REPORT</w:t>
      </w:r>
    </w:p>
    <w:p>
      <w:pPr>
        <w:jc w:val="center"/>
      </w:pPr>
      <w:r>
        <w:rPr>
          <w:rFonts w:ascii="Aptos" w:hAnsi="Aptos"/>
          <w:b/>
          <w:sz w:val="32"/>
        </w:rPr>
        <w:t>Temporal Reconstruction and ITRS-Compatible Experimental Split</w:t>
      </w:r>
    </w:p>
    <w:p>
      <w:pPr>
        <w:spacing w:after="280"/>
        <w:jc w:val="center"/>
      </w:pPr>
      <w:r>
        <w:rPr>
          <w:rFonts w:ascii="Aptos" w:hAnsi="Aptos"/>
          <w:i/>
          <w:color w:val="505050"/>
          <w:sz w:val="25"/>
        </w:rPr>
        <w:t>ITRS Reproduction using Crunchbase</w:t>
      </w:r>
    </w:p>
    <w:p>
      <w:pPr>
        <w:spacing w:after="0"/>
        <w:jc w:val="center"/>
      </w:pPr>
      <w:r>
        <w:rPr>
          <w:rFonts w:ascii="Aptos" w:hAnsi="Aptos"/>
          <w:b/>
          <w:sz w:val="21"/>
        </w:rPr>
        <w:t>Final Phase-2 model-ready output: data/experimental/phase_2/model_ready/interactions_itrs_temporal_split.parquet</w:t>
      </w:r>
    </w:p>
    <w:p>
      <w:pPr>
        <w:jc w:val="center"/>
      </w:pPr>
      <w:r>
        <w:rPr>
          <w:rFonts w:ascii="Aptos" w:hAnsi="Aptos"/>
          <w:color w:val="5A5A5A"/>
          <w:sz w:val="19"/>
        </w:rPr>
        <w:t>Report date: 17 August 2026</w:t>
      </w:r>
    </w:p>
    <w:p/>
    <w:p>
      <w:pPr>
        <w:pStyle w:val="Heading1"/>
        <w:keepNext/>
      </w:pPr>
      <w:r>
        <w:t>Executive Summary</w:t>
      </w:r>
    </w:p>
    <w:p>
      <w:pPr>
        <w:spacing w:after="80" w:line="252" w:lineRule="auto"/>
      </w:pPr>
      <w:r>
        <w:rPr>
          <w:i w:val="0"/>
        </w:rPr>
        <w:t>Phase 2 converted the immutable Phase-1 investment-event layer into a paper-grounded temporal experiment for reproducing A Trend-aware Investment Target Recommendation System with Heterogeneous Graph (ITRS). The phase began without assuming a historical cutoff, endpoint, minimum investor history, or the meaning of t=60. Instead, it audited temporal coverage, recent-period completeness, sequence depth, reporting-lag observability, start-boundary tradeoffs, and endpoint sensitivity before consulting the paper to lock the final design.</w:t>
      </w:r>
    </w:p>
    <w:p>
      <w:pPr>
        <w:spacing w:after="80" w:line="252" w:lineRule="auto"/>
      </w:pPr>
      <w:r>
        <w:rPr>
          <w:i w:val="0"/>
        </w:rPr>
        <w:t>The selected experiment contains 1,195,937 interactions through 31 March 2026. It preserves 100,173 older events in a compressed T0 prehistory bucket and represents the latest 15 years as 60 consecutive three-month segments from 1 April 2011 through 31 March 2026. T60 (2026Q1) contains 22,515 held-out events, split deterministically into 2,251 validation and 20,264 test events using an unstratified event-level split with reproduction seed 42. The 12,114 canonical interactions after the endpoint are preserved outside the experiment.</w:t>
      </w:r>
    </w:p>
    <w:tbl>
      <w:tblPr>
        <w:tblStyle w:val="TableGrid"/>
        <w:tblW w:type="auto" w:w="0"/>
        <w:jc w:val="center"/>
        <w:tblLook w:firstColumn="1" w:firstRow="1" w:lastColumn="0" w:lastRow="0" w:noHBand="0" w:noVBand="1" w:val="04A0"/>
      </w:tblPr>
      <w:tblGrid>
        <w:gridCol w:w="10166"/>
      </w:tblGrid>
      <w:tr>
        <w:tc>
          <w:tcPr>
            <w:tcW w:type="dxa" w:w="10166"/>
            <w:shd w:fill="EAF2F8"/>
            <w:tcMar>
              <w:top w:w="140" w:type="dxa"/>
              <w:start w:w="180" w:type="dxa"/>
              <w:bottom w:w="140" w:type="dxa"/>
              <w:end w:w="180" w:type="dxa"/>
            </w:tcMar>
          </w:tcPr>
          <w:p>
            <w:pPr>
              <w:spacing w:before="0" w:after="0"/>
            </w:pPr>
            <w:r>
              <w:rPr>
                <w:rFonts w:ascii="Aptos" w:hAnsi="Aptos"/>
                <w:b/>
                <w:sz w:val="20"/>
              </w:rPr>
              <w:t>Core methodological principle:</w:t>
            </w:r>
            <w:r>
              <w:rPr>
                <w:rFonts w:ascii="Aptos" w:hAnsi="Aptos"/>
                <w:sz w:val="20"/>
              </w:rPr>
              <w:t xml:space="preserve"> the Phase-1 canonical interaction layer remains immutable. Phase 2 creates a reproducible experimental view whose temporal assumptions are explicitly separated into paper-specified parameters, Crunchbase-specific evidence, and reproduction-specific implementation choices.</w:t>
            </w:r>
          </w:p>
        </w:tc>
      </w:tr>
    </w:tbl>
    <w:p>
      <w:pPr>
        <w:spacing w:after="0"/>
      </w:pP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184"/>
            <w:vAlign w:val="center"/>
            <w:tcMar>
              <w:top w:w="90" w:type="dxa"/>
              <w:start w:w="110" w:type="dxa"/>
              <w:bottom w:w="90" w:type="dxa"/>
              <w:end w:w="110" w:type="dxa"/>
            </w:tcMar>
            <w:shd w:fill="D9E2F3"/>
          </w:tcPr>
          <w:p>
            <w:pPr>
              <w:spacing w:before="0" w:after="20"/>
            </w:pPr>
            <w:r>
              <w:rPr>
                <w:rFonts w:ascii="Aptos" w:hAnsi="Aptos"/>
                <w:b/>
                <w:color w:val="1F1F1F"/>
                <w:sz w:val="18"/>
              </w:rPr>
              <w:t>Metric</w:t>
            </w:r>
          </w:p>
        </w:tc>
        <w:tc>
          <w:tcPr>
            <w:tcW w:type="dxa" w:w="2880"/>
            <w:vAlign w:val="center"/>
            <w:tcMar>
              <w:top w:w="90" w:type="dxa"/>
              <w:start w:w="110" w:type="dxa"/>
              <w:bottom w:w="90" w:type="dxa"/>
              <w:end w:w="110" w:type="dxa"/>
            </w:tcMar>
            <w:shd w:fill="D9E2F3"/>
          </w:tcPr>
          <w:p>
            <w:pPr>
              <w:spacing w:before="0" w:after="20"/>
            </w:pPr>
            <w:r>
              <w:rPr>
                <w:rFonts w:ascii="Aptos" w:hAnsi="Aptos"/>
                <w:b/>
                <w:color w:val="1F1F1F"/>
                <w:sz w:val="18"/>
              </w:rPr>
              <w:t>Final value</w:t>
            </w:r>
          </w:p>
        </w:tc>
      </w:tr>
      <w:tr>
        <w:tc>
          <w:tcPr>
            <w:tcW w:type="dxa" w:w="5184"/>
            <w:vAlign w:val="center"/>
            <w:tcMar>
              <w:top w:w="90" w:type="dxa"/>
              <w:start w:w="110" w:type="dxa"/>
              <w:bottom w:w="90" w:type="dxa"/>
              <w:end w:w="110" w:type="dxa"/>
            </w:tcMar>
          </w:tcPr>
          <w:p>
            <w:pPr>
              <w:spacing w:before="0" w:after="20"/>
            </w:pPr>
            <w:r>
              <w:rPr>
                <w:rFonts w:ascii="Aptos" w:hAnsi="Aptos"/>
                <w:sz w:val="18"/>
              </w:rPr>
              <w:t>Canonical Phase-1 interactions</w:t>
            </w:r>
          </w:p>
        </w:tc>
        <w:tc>
          <w:tcPr>
            <w:tcW w:type="dxa" w:w="2880"/>
            <w:vAlign w:val="center"/>
            <w:tcMar>
              <w:top w:w="90" w:type="dxa"/>
              <w:start w:w="110" w:type="dxa"/>
              <w:bottom w:w="90" w:type="dxa"/>
              <w:end w:w="110" w:type="dxa"/>
            </w:tcMar>
          </w:tcPr>
          <w:p>
            <w:pPr>
              <w:spacing w:before="0" w:after="20"/>
            </w:pPr>
            <w:r>
              <w:rPr>
                <w:rFonts w:ascii="Aptos" w:hAnsi="Aptos"/>
                <w:sz w:val="18"/>
              </w:rPr>
              <w:t>1,208,051</w:t>
            </w:r>
          </w:p>
        </w:tc>
      </w:tr>
      <w:tr>
        <w:tc>
          <w:tcPr>
            <w:tcW w:type="dxa" w:w="5184"/>
            <w:vAlign w:val="center"/>
            <w:tcMar>
              <w:top w:w="90" w:type="dxa"/>
              <w:start w:w="110" w:type="dxa"/>
              <w:bottom w:w="90" w:type="dxa"/>
              <w:end w:w="110" w:type="dxa"/>
            </w:tcMar>
          </w:tcPr>
          <w:p>
            <w:pPr>
              <w:spacing w:before="0" w:after="20"/>
            </w:pPr>
            <w:r>
              <w:rPr>
                <w:rFonts w:ascii="Aptos" w:hAnsi="Aptos"/>
                <w:sz w:val="18"/>
              </w:rPr>
              <w:t>ITRS temporal experiment</w:t>
            </w:r>
          </w:p>
        </w:tc>
        <w:tc>
          <w:tcPr>
            <w:tcW w:type="dxa" w:w="2880"/>
            <w:vAlign w:val="center"/>
            <w:tcMar>
              <w:top w:w="90" w:type="dxa"/>
              <w:start w:w="110" w:type="dxa"/>
              <w:bottom w:w="90" w:type="dxa"/>
              <w:end w:w="110" w:type="dxa"/>
            </w:tcMar>
          </w:tcPr>
          <w:p>
            <w:pPr>
              <w:spacing w:before="0" w:after="20"/>
            </w:pPr>
            <w:r>
              <w:rPr>
                <w:rFonts w:ascii="Aptos" w:hAnsi="Aptos"/>
                <w:sz w:val="18"/>
              </w:rPr>
              <w:t>1,195,937</w:t>
            </w:r>
          </w:p>
        </w:tc>
      </w:tr>
      <w:tr>
        <w:tc>
          <w:tcPr>
            <w:tcW w:type="dxa" w:w="5184"/>
            <w:vAlign w:val="center"/>
            <w:tcMar>
              <w:top w:w="90" w:type="dxa"/>
              <w:start w:w="110" w:type="dxa"/>
              <w:bottom w:w="90" w:type="dxa"/>
              <w:end w:w="110" w:type="dxa"/>
            </w:tcMar>
          </w:tcPr>
          <w:p>
            <w:pPr>
              <w:spacing w:before="0" w:after="20"/>
            </w:pPr>
            <w:r>
              <w:rPr>
                <w:rFonts w:ascii="Aptos" w:hAnsi="Aptos"/>
                <w:sz w:val="18"/>
              </w:rPr>
              <w:t>T0 compressed-prehistory events</w:t>
            </w:r>
          </w:p>
        </w:tc>
        <w:tc>
          <w:tcPr>
            <w:tcW w:type="dxa" w:w="2880"/>
            <w:vAlign w:val="center"/>
            <w:tcMar>
              <w:top w:w="90" w:type="dxa"/>
              <w:start w:w="110" w:type="dxa"/>
              <w:bottom w:w="90" w:type="dxa"/>
              <w:end w:w="110" w:type="dxa"/>
            </w:tcMar>
          </w:tcPr>
          <w:p>
            <w:pPr>
              <w:spacing w:before="0" w:after="20"/>
            </w:pPr>
            <w:r>
              <w:rPr>
                <w:rFonts w:ascii="Aptos" w:hAnsi="Aptos"/>
                <w:sz w:val="18"/>
              </w:rPr>
              <w:t>100,173</w:t>
            </w:r>
          </w:p>
        </w:tc>
      </w:tr>
      <w:tr>
        <w:tc>
          <w:tcPr>
            <w:tcW w:type="dxa" w:w="5184"/>
            <w:vAlign w:val="center"/>
            <w:tcMar>
              <w:top w:w="90" w:type="dxa"/>
              <w:start w:w="110" w:type="dxa"/>
              <w:bottom w:w="90" w:type="dxa"/>
              <w:end w:w="110" w:type="dxa"/>
            </w:tcMar>
          </w:tcPr>
          <w:p>
            <w:pPr>
              <w:spacing w:before="0" w:after="20"/>
            </w:pPr>
            <w:r>
              <w:rPr>
                <w:rFonts w:ascii="Aptos" w:hAnsi="Aptos"/>
                <w:sz w:val="18"/>
              </w:rPr>
              <w:t>T1-T59 detailed training-history events</w:t>
            </w:r>
          </w:p>
        </w:tc>
        <w:tc>
          <w:tcPr>
            <w:tcW w:type="dxa" w:w="2880"/>
            <w:vAlign w:val="center"/>
            <w:tcMar>
              <w:top w:w="90" w:type="dxa"/>
              <w:start w:w="110" w:type="dxa"/>
              <w:bottom w:w="90" w:type="dxa"/>
              <w:end w:w="110" w:type="dxa"/>
            </w:tcMar>
          </w:tcPr>
          <w:p>
            <w:pPr>
              <w:spacing w:before="0" w:after="20"/>
            </w:pPr>
            <w:r>
              <w:rPr>
                <w:rFonts w:ascii="Aptos" w:hAnsi="Aptos"/>
                <w:sz w:val="18"/>
              </w:rPr>
              <w:t>1,073,249</w:t>
            </w:r>
          </w:p>
        </w:tc>
      </w:tr>
      <w:tr>
        <w:tc>
          <w:tcPr>
            <w:tcW w:type="dxa" w:w="5184"/>
            <w:vAlign w:val="center"/>
            <w:tcMar>
              <w:top w:w="90" w:type="dxa"/>
              <w:start w:w="110" w:type="dxa"/>
              <w:bottom w:w="90" w:type="dxa"/>
              <w:end w:w="110" w:type="dxa"/>
            </w:tcMar>
          </w:tcPr>
          <w:p>
            <w:pPr>
              <w:spacing w:before="0" w:after="20"/>
            </w:pPr>
            <w:r>
              <w:rPr>
                <w:rFonts w:ascii="Aptos" w:hAnsi="Aptos"/>
                <w:sz w:val="18"/>
              </w:rPr>
              <w:t>Historical training pool T0-T59</w:t>
            </w:r>
          </w:p>
        </w:tc>
        <w:tc>
          <w:tcPr>
            <w:tcW w:type="dxa" w:w="2880"/>
            <w:vAlign w:val="center"/>
            <w:tcMar>
              <w:top w:w="90" w:type="dxa"/>
              <w:start w:w="110" w:type="dxa"/>
              <w:bottom w:w="90" w:type="dxa"/>
              <w:end w:w="110" w:type="dxa"/>
            </w:tcMar>
          </w:tcPr>
          <w:p>
            <w:pPr>
              <w:spacing w:before="0" w:after="20"/>
            </w:pPr>
            <w:r>
              <w:rPr>
                <w:rFonts w:ascii="Aptos" w:hAnsi="Aptos"/>
                <w:sz w:val="18"/>
              </w:rPr>
              <w:t>1,173,422</w:t>
            </w:r>
          </w:p>
        </w:tc>
      </w:tr>
      <w:tr>
        <w:tc>
          <w:tcPr>
            <w:tcW w:type="dxa" w:w="5184"/>
            <w:vAlign w:val="center"/>
            <w:tcMar>
              <w:top w:w="90" w:type="dxa"/>
              <w:start w:w="110" w:type="dxa"/>
              <w:bottom w:w="90" w:type="dxa"/>
              <w:end w:w="110" w:type="dxa"/>
            </w:tcMar>
          </w:tcPr>
          <w:p>
            <w:pPr>
              <w:spacing w:before="0" w:after="20"/>
            </w:pPr>
            <w:r>
              <w:rPr>
                <w:rFonts w:ascii="Aptos" w:hAnsi="Aptos"/>
                <w:sz w:val="18"/>
              </w:rPr>
              <w:t>T60 evaluation-pool events</w:t>
            </w:r>
          </w:p>
        </w:tc>
        <w:tc>
          <w:tcPr>
            <w:tcW w:type="dxa" w:w="2880"/>
            <w:vAlign w:val="center"/>
            <w:tcMar>
              <w:top w:w="90" w:type="dxa"/>
              <w:start w:w="110" w:type="dxa"/>
              <w:bottom w:w="90" w:type="dxa"/>
              <w:end w:w="110" w:type="dxa"/>
            </w:tcMar>
          </w:tcPr>
          <w:p>
            <w:pPr>
              <w:spacing w:before="0" w:after="20"/>
            </w:pPr>
            <w:r>
              <w:rPr>
                <w:rFonts w:ascii="Aptos" w:hAnsi="Aptos"/>
                <w:sz w:val="18"/>
              </w:rPr>
              <w:t>22,515</w:t>
            </w:r>
          </w:p>
        </w:tc>
      </w:tr>
      <w:tr>
        <w:tc>
          <w:tcPr>
            <w:tcW w:type="dxa" w:w="5184"/>
            <w:vAlign w:val="center"/>
            <w:tcMar>
              <w:top w:w="90" w:type="dxa"/>
              <w:start w:w="110" w:type="dxa"/>
              <w:bottom w:w="90" w:type="dxa"/>
              <w:end w:w="110" w:type="dxa"/>
            </w:tcMar>
          </w:tcPr>
          <w:p>
            <w:pPr>
              <w:spacing w:before="0" w:after="20"/>
            </w:pPr>
            <w:r>
              <w:rPr>
                <w:rFonts w:ascii="Aptos" w:hAnsi="Aptos"/>
                <w:sz w:val="18"/>
              </w:rPr>
              <w:t>Validation events</w:t>
            </w:r>
          </w:p>
        </w:tc>
        <w:tc>
          <w:tcPr>
            <w:tcW w:type="dxa" w:w="2880"/>
            <w:vAlign w:val="center"/>
            <w:tcMar>
              <w:top w:w="90" w:type="dxa"/>
              <w:start w:w="110" w:type="dxa"/>
              <w:bottom w:w="90" w:type="dxa"/>
              <w:end w:w="110" w:type="dxa"/>
            </w:tcMar>
          </w:tcPr>
          <w:p>
            <w:pPr>
              <w:spacing w:before="0" w:after="20"/>
            </w:pPr>
            <w:r>
              <w:rPr>
                <w:rFonts w:ascii="Aptos" w:hAnsi="Aptos"/>
                <w:sz w:val="18"/>
              </w:rPr>
              <w:t>2,251</w:t>
            </w:r>
          </w:p>
        </w:tc>
      </w:tr>
      <w:tr>
        <w:tc>
          <w:tcPr>
            <w:tcW w:type="dxa" w:w="5184"/>
            <w:vAlign w:val="center"/>
            <w:tcMar>
              <w:top w:w="90" w:type="dxa"/>
              <w:start w:w="110" w:type="dxa"/>
              <w:bottom w:w="90" w:type="dxa"/>
              <w:end w:w="110" w:type="dxa"/>
            </w:tcMar>
          </w:tcPr>
          <w:p>
            <w:pPr>
              <w:spacing w:before="0" w:after="20"/>
            </w:pPr>
            <w:r>
              <w:rPr>
                <w:rFonts w:ascii="Aptos" w:hAnsi="Aptos"/>
                <w:sz w:val="18"/>
              </w:rPr>
              <w:t>Test events</w:t>
            </w:r>
          </w:p>
        </w:tc>
        <w:tc>
          <w:tcPr>
            <w:tcW w:type="dxa" w:w="2880"/>
            <w:vAlign w:val="center"/>
            <w:tcMar>
              <w:top w:w="90" w:type="dxa"/>
              <w:start w:w="110" w:type="dxa"/>
              <w:bottom w:w="90" w:type="dxa"/>
              <w:end w:w="110" w:type="dxa"/>
            </w:tcMar>
          </w:tcPr>
          <w:p>
            <w:pPr>
              <w:spacing w:before="0" w:after="20"/>
            </w:pPr>
            <w:r>
              <w:rPr>
                <w:rFonts w:ascii="Aptos" w:hAnsi="Aptos"/>
                <w:sz w:val="18"/>
              </w:rPr>
              <w:t>20,264</w:t>
            </w:r>
          </w:p>
        </w:tc>
      </w:tr>
      <w:tr>
        <w:tc>
          <w:tcPr>
            <w:tcW w:type="dxa" w:w="5184"/>
            <w:vAlign w:val="center"/>
            <w:tcMar>
              <w:top w:w="90" w:type="dxa"/>
              <w:start w:w="110" w:type="dxa"/>
              <w:bottom w:w="90" w:type="dxa"/>
              <w:end w:w="110" w:type="dxa"/>
            </w:tcMar>
          </w:tcPr>
          <w:p>
            <w:pPr>
              <w:spacing w:before="0" w:after="20"/>
            </w:pPr>
            <w:r>
              <w:rPr>
                <w:rFonts w:ascii="Aptos" w:hAnsi="Aptos"/>
                <w:sz w:val="18"/>
              </w:rPr>
              <w:t>Post-endpoint interactions preserved</w:t>
            </w:r>
          </w:p>
        </w:tc>
        <w:tc>
          <w:tcPr>
            <w:tcW w:type="dxa" w:w="2880"/>
            <w:vAlign w:val="center"/>
            <w:tcMar>
              <w:top w:w="90" w:type="dxa"/>
              <w:start w:w="110" w:type="dxa"/>
              <w:bottom w:w="90" w:type="dxa"/>
              <w:end w:w="110" w:type="dxa"/>
            </w:tcMar>
          </w:tcPr>
          <w:p>
            <w:pPr>
              <w:spacing w:before="0" w:after="20"/>
            </w:pPr>
            <w:r>
              <w:rPr>
                <w:rFonts w:ascii="Aptos" w:hAnsi="Aptos"/>
                <w:sz w:val="18"/>
              </w:rPr>
              <w:t>12,114</w:t>
            </w:r>
          </w:p>
        </w:tc>
      </w:tr>
      <w:tr>
        <w:tc>
          <w:tcPr>
            <w:tcW w:type="dxa" w:w="5184"/>
            <w:vAlign w:val="center"/>
            <w:tcMar>
              <w:top w:w="90" w:type="dxa"/>
              <w:start w:w="110" w:type="dxa"/>
              <w:bottom w:w="90" w:type="dxa"/>
              <w:end w:w="110" w:type="dxa"/>
            </w:tcMar>
          </w:tcPr>
          <w:p>
            <w:pPr>
              <w:spacing w:before="0" w:after="20"/>
            </w:pPr>
            <w:r>
              <w:rPr>
                <w:rFonts w:ascii="Aptos" w:hAnsi="Aptos"/>
                <w:sz w:val="18"/>
              </w:rPr>
              <w:t>Detailed segments</w:t>
            </w:r>
          </w:p>
        </w:tc>
        <w:tc>
          <w:tcPr>
            <w:tcW w:type="dxa" w:w="2880"/>
            <w:vAlign w:val="center"/>
            <w:tcMar>
              <w:top w:w="90" w:type="dxa"/>
              <w:start w:w="110" w:type="dxa"/>
              <w:bottom w:w="90" w:type="dxa"/>
              <w:end w:w="110" w:type="dxa"/>
            </w:tcMar>
          </w:tcPr>
          <w:p>
            <w:pPr>
              <w:spacing w:before="0" w:after="20"/>
            </w:pPr>
            <w:r>
              <w:rPr>
                <w:rFonts w:ascii="Aptos" w:hAnsi="Aptos"/>
                <w:sz w:val="18"/>
              </w:rPr>
              <w:t>60</w:t>
            </w:r>
          </w:p>
        </w:tc>
      </w:tr>
      <w:tr>
        <w:tc>
          <w:tcPr>
            <w:tcW w:type="dxa" w:w="5184"/>
            <w:vAlign w:val="center"/>
            <w:tcMar>
              <w:top w:w="90" w:type="dxa"/>
              <w:start w:w="110" w:type="dxa"/>
              <w:bottom w:w="90" w:type="dxa"/>
              <w:end w:w="110" w:type="dxa"/>
            </w:tcMar>
          </w:tcPr>
          <w:p>
            <w:pPr>
              <w:spacing w:before="0" w:after="20"/>
            </w:pPr>
            <w:r>
              <w:rPr>
                <w:rFonts w:ascii="Aptos" w:hAnsi="Aptos"/>
                <w:sz w:val="18"/>
              </w:rPr>
              <w:t>Months per detailed segment</w:t>
            </w:r>
          </w:p>
        </w:tc>
        <w:tc>
          <w:tcPr>
            <w:tcW w:type="dxa" w:w="2880"/>
            <w:vAlign w:val="center"/>
            <w:tcMar>
              <w:top w:w="90" w:type="dxa"/>
              <w:start w:w="110" w:type="dxa"/>
              <w:bottom w:w="90" w:type="dxa"/>
              <w:end w:w="110" w:type="dxa"/>
            </w:tcMar>
          </w:tcPr>
          <w:p>
            <w:pPr>
              <w:spacing w:before="0" w:after="20"/>
            </w:pPr>
            <w:r>
              <w:rPr>
                <w:rFonts w:ascii="Aptos" w:hAnsi="Aptos"/>
                <w:sz w:val="18"/>
              </w:rPr>
              <w:t>3</w:t>
            </w:r>
          </w:p>
        </w:tc>
      </w:tr>
      <w:tr>
        <w:tc>
          <w:tcPr>
            <w:tcW w:type="dxa" w:w="5184"/>
            <w:vAlign w:val="center"/>
            <w:tcMar>
              <w:top w:w="90" w:type="dxa"/>
              <w:start w:w="110" w:type="dxa"/>
              <w:bottom w:w="90" w:type="dxa"/>
              <w:end w:w="110" w:type="dxa"/>
            </w:tcMar>
          </w:tcPr>
          <w:p>
            <w:pPr>
              <w:spacing w:before="0" w:after="20"/>
            </w:pPr>
            <w:r>
              <w:rPr>
                <w:rFonts w:ascii="Aptos" w:hAnsi="Aptos"/>
                <w:sz w:val="18"/>
              </w:rPr>
              <w:t>Selected endpoint</w:t>
            </w:r>
          </w:p>
        </w:tc>
        <w:tc>
          <w:tcPr>
            <w:tcW w:type="dxa" w:w="2880"/>
            <w:vAlign w:val="center"/>
            <w:tcMar>
              <w:top w:w="90" w:type="dxa"/>
              <w:start w:w="110" w:type="dxa"/>
              <w:bottom w:w="90" w:type="dxa"/>
              <w:end w:w="110" w:type="dxa"/>
            </w:tcMar>
          </w:tcPr>
          <w:p>
            <w:pPr>
              <w:spacing w:before="0" w:after="20"/>
            </w:pPr>
            <w:r>
              <w:rPr>
                <w:rFonts w:ascii="Aptos" w:hAnsi="Aptos"/>
                <w:sz w:val="18"/>
              </w:rPr>
              <w:t>2026-03-31</w:t>
            </w:r>
          </w:p>
        </w:tc>
      </w:tr>
    </w:tbl>
    <w:p>
      <w:pPr>
        <w:spacing w:after="0"/>
      </w:pPr>
    </w:p>
    <w:p>
      <w:pPr>
        <w:pStyle w:val="Heading1"/>
        <w:keepNext/>
      </w:pPr>
      <w:r>
        <w:t>1. Phase Objective and Scope</w:t>
      </w:r>
    </w:p>
    <w:p>
      <w:pPr>
        <w:spacing w:after="80" w:line="252" w:lineRule="auto"/>
      </w:pPr>
      <w:r>
        <w:rPr>
          <w:i w:val="0"/>
        </w:rPr>
        <w:t>The objective of Phase 2 was to reconstruct a temporally valid, reproducible interaction layer compatible with the ITRS trend-extraction design. The phase was intentionally separated from graph construction, negative sampling, and model fitting. Its job was to answer four questions: which event-time field is usable; which historical period can support stable temporal modeling; how ITRS actually segments time; and how the final evaluation period should be separated from historical training without temporal leakage.</w:t>
      </w:r>
    </w:p>
    <w:p>
      <w:pPr>
        <w:pStyle w:val="ListBullet"/>
        <w:spacing w:after="40"/>
      </w:pPr>
      <w:r>
        <w:rPr>
          <w:b/>
        </w:rPr>
        <w:t xml:space="preserve">Input: </w:t>
      </w:r>
      <w:r>
        <w:t>data/processed/interactions.parquet, the immutable Phase-1 canonical interaction table.</w:t>
      </w:r>
    </w:p>
    <w:p>
      <w:pPr>
        <w:pStyle w:val="ListBullet"/>
        <w:spacing w:after="40"/>
      </w:pPr>
      <w:r>
        <w:rPr>
          <w:b/>
        </w:rPr>
        <w:t xml:space="preserve">Operational event time: </w:t>
      </w:r>
      <w:r>
        <w:t>announced_on, interpreted as the funding-round announcement date rather than an exact cash-transfer or database-ingestion timestamp.</w:t>
      </w:r>
    </w:p>
    <w:p>
      <w:pPr>
        <w:pStyle w:val="ListBullet"/>
        <w:spacing w:after="40"/>
      </w:pPr>
      <w:r>
        <w:rPr>
          <w:b/>
        </w:rPr>
        <w:t xml:space="preserve">Primary paper reference: </w:t>
      </w:r>
      <w:r>
        <w:t>Chen et al. (2021), A Trend-aware Investment Target Recommendation System with Heterogeneous Graph.</w:t>
      </w:r>
    </w:p>
    <w:p>
      <w:pPr>
        <w:pStyle w:val="ListBullet"/>
        <w:spacing w:after="40"/>
      </w:pPr>
      <w:r>
        <w:rPr>
          <w:b/>
        </w:rPr>
        <w:t xml:space="preserve">Output: </w:t>
      </w:r>
      <w:r>
        <w:t>a frozen train/validation/test temporal experiment plus diagnostics and a holdout-pair manifest for later graph-leakage prevention.</w:t>
      </w:r>
    </w:p>
    <w:p>
      <w:pPr>
        <w:pStyle w:val="Heading1"/>
        <w:keepNext/>
      </w:pPr>
      <w:r>
        <w:t>2. Paper-Grounded ITRS Temporal Specification</w:t>
      </w:r>
    </w:p>
    <w:p>
      <w:pPr>
        <w:spacing w:after="80" w:line="252" w:lineRule="auto"/>
      </w:pPr>
      <w:r>
        <w:rPr>
          <w:i w:val="0"/>
        </w:rPr>
        <w:t>The ITRS paper defines an investment event as an investor, an investment target, and a timestamp. Its trend module first partitions timestamps into continuous time segments, assumes that investments inside the same segment have no meaningful sequential order, aggregates the invested items inside each segment, and then feeds the sequence of segment representations to a GRU.</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232"/>
            <w:vAlign w:val="center"/>
            <w:tcMar>
              <w:top w:w="90" w:type="dxa"/>
              <w:start w:w="110" w:type="dxa"/>
              <w:bottom w:w="90" w:type="dxa"/>
              <w:end w:w="110" w:type="dxa"/>
            </w:tcMar>
            <w:shd w:fill="D9E2F3"/>
          </w:tcPr>
          <w:p>
            <w:pPr>
              <w:spacing w:before="0" w:after="20"/>
            </w:pPr>
            <w:r>
              <w:rPr>
                <w:rFonts w:ascii="Aptos" w:hAnsi="Aptos"/>
                <w:b/>
                <w:color w:val="1F1F1F"/>
                <w:sz w:val="17"/>
              </w:rPr>
              <w:t>ITRS design element</w:t>
            </w:r>
          </w:p>
        </w:tc>
        <w:tc>
          <w:tcPr>
            <w:tcW w:type="dxa" w:w="3024"/>
            <w:vAlign w:val="center"/>
            <w:tcMar>
              <w:top w:w="90" w:type="dxa"/>
              <w:start w:w="110" w:type="dxa"/>
              <w:bottom w:w="90" w:type="dxa"/>
              <w:end w:w="110" w:type="dxa"/>
            </w:tcMar>
            <w:shd w:fill="D9E2F3"/>
          </w:tcPr>
          <w:p>
            <w:pPr>
              <w:spacing w:before="0" w:after="20"/>
            </w:pPr>
            <w:r>
              <w:rPr>
                <w:rFonts w:ascii="Aptos" w:hAnsi="Aptos"/>
                <w:b/>
                <w:color w:val="1F1F1F"/>
                <w:sz w:val="17"/>
              </w:rPr>
              <w:t>Paper specification</w:t>
            </w:r>
          </w:p>
        </w:tc>
        <w:tc>
          <w:tcPr>
            <w:tcW w:type="dxa" w:w="3024"/>
            <w:vAlign w:val="center"/>
            <w:tcMar>
              <w:top w:w="90" w:type="dxa"/>
              <w:start w:w="110" w:type="dxa"/>
              <w:bottom w:w="90" w:type="dxa"/>
              <w:end w:w="110" w:type="dxa"/>
            </w:tcMar>
            <w:shd w:fill="D9E2F3"/>
          </w:tcPr>
          <w:p>
            <w:pPr>
              <w:spacing w:before="0" w:after="20"/>
            </w:pPr>
            <w:r>
              <w:rPr>
                <w:rFonts w:ascii="Aptos" w:hAnsi="Aptos"/>
                <w:b/>
                <w:color w:val="1F1F1F"/>
                <w:sz w:val="17"/>
              </w:rPr>
              <w:t>Crunchbase reproduction</w:t>
            </w:r>
          </w:p>
        </w:tc>
      </w:tr>
      <w:tr>
        <w:tc>
          <w:tcPr>
            <w:tcW w:type="dxa" w:w="2232"/>
            <w:vAlign w:val="center"/>
            <w:tcMar>
              <w:top w:w="90" w:type="dxa"/>
              <w:start w:w="110" w:type="dxa"/>
              <w:bottom w:w="90" w:type="dxa"/>
              <w:end w:w="110" w:type="dxa"/>
            </w:tcMar>
          </w:tcPr>
          <w:p>
            <w:pPr>
              <w:spacing w:before="0" w:after="20"/>
            </w:pPr>
            <w:r>
              <w:rPr>
                <w:rFonts w:ascii="Aptos" w:hAnsi="Aptos"/>
                <w:sz w:val="17"/>
              </w:rPr>
              <w:t>Event timestamp</w:t>
            </w:r>
          </w:p>
        </w:tc>
        <w:tc>
          <w:tcPr>
            <w:tcW w:type="dxa" w:w="3024"/>
            <w:vAlign w:val="center"/>
            <w:tcMar>
              <w:top w:w="90" w:type="dxa"/>
              <w:start w:w="110" w:type="dxa"/>
              <w:bottom w:w="90" w:type="dxa"/>
              <w:end w:w="110" w:type="dxa"/>
            </w:tcMar>
          </w:tcPr>
          <w:p>
            <w:pPr>
              <w:spacing w:before="0" w:after="20"/>
            </w:pPr>
            <w:r>
              <w:rPr>
                <w:rFonts w:ascii="Aptos" w:hAnsi="Aptos"/>
                <w:sz w:val="17"/>
              </w:rPr>
              <w:t>Timestamp attached to investment event</w:t>
            </w:r>
          </w:p>
        </w:tc>
        <w:tc>
          <w:tcPr>
            <w:tcW w:type="dxa" w:w="3024"/>
            <w:vAlign w:val="center"/>
            <w:tcMar>
              <w:top w:w="90" w:type="dxa"/>
              <w:start w:w="110" w:type="dxa"/>
              <w:bottom w:w="90" w:type="dxa"/>
              <w:end w:w="110" w:type="dxa"/>
            </w:tcMar>
          </w:tcPr>
          <w:p>
            <w:pPr>
              <w:spacing w:before="0" w:after="20"/>
            </w:pPr>
            <w:r>
              <w:rPr>
                <w:rFonts w:ascii="Aptos" w:hAnsi="Aptos"/>
                <w:sz w:val="17"/>
              </w:rPr>
              <w:t>announced_on</w:t>
            </w:r>
          </w:p>
        </w:tc>
      </w:tr>
      <w:tr>
        <w:tc>
          <w:tcPr>
            <w:tcW w:type="dxa" w:w="2232"/>
            <w:vAlign w:val="center"/>
            <w:tcMar>
              <w:top w:w="90" w:type="dxa"/>
              <w:start w:w="110" w:type="dxa"/>
              <w:bottom w:w="90" w:type="dxa"/>
              <w:end w:w="110" w:type="dxa"/>
            </w:tcMar>
          </w:tcPr>
          <w:p>
            <w:pPr>
              <w:spacing w:before="0" w:after="20"/>
            </w:pPr>
            <w:r>
              <w:rPr>
                <w:rFonts w:ascii="Aptos" w:hAnsi="Aptos"/>
                <w:sz w:val="17"/>
              </w:rPr>
              <w:t>Detailed temporal segments</w:t>
            </w:r>
          </w:p>
        </w:tc>
        <w:tc>
          <w:tcPr>
            <w:tcW w:type="dxa" w:w="3024"/>
            <w:vAlign w:val="center"/>
            <w:tcMar>
              <w:top w:w="90" w:type="dxa"/>
              <w:start w:w="110" w:type="dxa"/>
              <w:bottom w:w="90" w:type="dxa"/>
              <w:end w:w="110" w:type="dxa"/>
            </w:tcMar>
          </w:tcPr>
          <w:p>
            <w:pPr>
              <w:spacing w:before="0" w:after="20"/>
            </w:pPr>
            <w:r>
              <w:rPr>
                <w:rFonts w:ascii="Aptos" w:hAnsi="Aptos"/>
                <w:sz w:val="17"/>
              </w:rPr>
              <w:t>t = 60 in main experiment</w:t>
            </w:r>
          </w:p>
        </w:tc>
        <w:tc>
          <w:tcPr>
            <w:tcW w:type="dxa" w:w="3024"/>
            <w:vAlign w:val="center"/>
            <w:tcMar>
              <w:top w:w="90" w:type="dxa"/>
              <w:start w:w="110" w:type="dxa"/>
              <w:bottom w:w="90" w:type="dxa"/>
              <w:end w:w="110" w:type="dxa"/>
            </w:tcMar>
          </w:tcPr>
          <w:p>
            <w:pPr>
              <w:spacing w:before="0" w:after="20"/>
            </w:pPr>
            <w:r>
              <w:rPr>
                <w:rFonts w:ascii="Aptos" w:hAnsi="Aptos"/>
                <w:sz w:val="17"/>
              </w:rPr>
              <w:t>60 segments</w:t>
            </w:r>
          </w:p>
        </w:tc>
      </w:tr>
      <w:tr>
        <w:tc>
          <w:tcPr>
            <w:tcW w:type="dxa" w:w="2232"/>
            <w:vAlign w:val="center"/>
            <w:tcMar>
              <w:top w:w="90" w:type="dxa"/>
              <w:start w:w="110" w:type="dxa"/>
              <w:bottom w:w="90" w:type="dxa"/>
              <w:end w:w="110" w:type="dxa"/>
            </w:tcMar>
          </w:tcPr>
          <w:p>
            <w:pPr>
              <w:spacing w:before="0" w:after="20"/>
            </w:pPr>
            <w:r>
              <w:rPr>
                <w:rFonts w:ascii="Aptos" w:hAnsi="Aptos"/>
                <w:sz w:val="17"/>
              </w:rPr>
              <w:t>Segment duration</w:t>
            </w:r>
          </w:p>
        </w:tc>
        <w:tc>
          <w:tcPr>
            <w:tcW w:type="dxa" w:w="3024"/>
            <w:vAlign w:val="center"/>
            <w:tcMar>
              <w:top w:w="90" w:type="dxa"/>
              <w:start w:w="110" w:type="dxa"/>
              <w:bottom w:w="90" w:type="dxa"/>
              <w:end w:w="110" w:type="dxa"/>
            </w:tcMar>
          </w:tcPr>
          <w:p>
            <w:pPr>
              <w:spacing w:before="0" w:after="20"/>
            </w:pPr>
            <w:r>
              <w:rPr>
                <w:rFonts w:ascii="Aptos" w:hAnsi="Aptos"/>
                <w:sz w:val="17"/>
              </w:rPr>
              <w:t>3 months when t = 60</w:t>
            </w:r>
          </w:p>
        </w:tc>
        <w:tc>
          <w:tcPr>
            <w:tcW w:type="dxa" w:w="3024"/>
            <w:vAlign w:val="center"/>
            <w:tcMar>
              <w:top w:w="90" w:type="dxa"/>
              <w:start w:w="110" w:type="dxa"/>
              <w:bottom w:w="90" w:type="dxa"/>
              <w:end w:w="110" w:type="dxa"/>
            </w:tcMar>
          </w:tcPr>
          <w:p>
            <w:pPr>
              <w:spacing w:before="0" w:after="20"/>
            </w:pPr>
            <w:r>
              <w:rPr>
                <w:rFonts w:ascii="Aptos" w:hAnsi="Aptos"/>
                <w:sz w:val="17"/>
              </w:rPr>
              <w:t>3 calendar months</w:t>
            </w:r>
          </w:p>
        </w:tc>
      </w:tr>
      <w:tr>
        <w:tc>
          <w:tcPr>
            <w:tcW w:type="dxa" w:w="2232"/>
            <w:vAlign w:val="center"/>
            <w:tcMar>
              <w:top w:w="90" w:type="dxa"/>
              <w:start w:w="110" w:type="dxa"/>
              <w:bottom w:w="90" w:type="dxa"/>
              <w:end w:w="110" w:type="dxa"/>
            </w:tcMar>
          </w:tcPr>
          <w:p>
            <w:pPr>
              <w:spacing w:before="0" w:after="20"/>
            </w:pPr>
            <w:r>
              <w:rPr>
                <w:rFonts w:ascii="Aptos" w:hAnsi="Aptos"/>
                <w:sz w:val="17"/>
              </w:rPr>
              <w:t>Detailed horizon</w:t>
            </w:r>
          </w:p>
        </w:tc>
        <w:tc>
          <w:tcPr>
            <w:tcW w:type="dxa" w:w="3024"/>
            <w:vAlign w:val="center"/>
            <w:tcMar>
              <w:top w:w="90" w:type="dxa"/>
              <w:start w:w="110" w:type="dxa"/>
              <w:bottom w:w="90" w:type="dxa"/>
              <w:end w:w="110" w:type="dxa"/>
            </w:tcMar>
          </w:tcPr>
          <w:p>
            <w:pPr>
              <w:spacing w:before="0" w:after="20"/>
            </w:pPr>
            <w:r>
              <w:rPr>
                <w:rFonts w:ascii="Aptos" w:hAnsi="Aptos"/>
                <w:sz w:val="17"/>
              </w:rPr>
              <w:t>60 x 3 months</w:t>
            </w:r>
          </w:p>
        </w:tc>
        <w:tc>
          <w:tcPr>
            <w:tcW w:type="dxa" w:w="3024"/>
            <w:vAlign w:val="center"/>
            <w:tcMar>
              <w:top w:w="90" w:type="dxa"/>
              <w:start w:w="110" w:type="dxa"/>
              <w:bottom w:w="90" w:type="dxa"/>
              <w:end w:w="110" w:type="dxa"/>
            </w:tcMar>
          </w:tcPr>
          <w:p>
            <w:pPr>
              <w:spacing w:before="0" w:after="20"/>
            </w:pPr>
            <w:r>
              <w:rPr>
                <w:rFonts w:ascii="Aptos" w:hAnsi="Aptos"/>
                <w:sz w:val="17"/>
              </w:rPr>
              <w:t>15 years</w:t>
            </w:r>
          </w:p>
        </w:tc>
      </w:tr>
      <w:tr>
        <w:tc>
          <w:tcPr>
            <w:tcW w:type="dxa" w:w="2232"/>
            <w:vAlign w:val="center"/>
            <w:tcMar>
              <w:top w:w="90" w:type="dxa"/>
              <w:start w:w="110" w:type="dxa"/>
              <w:bottom w:w="90" w:type="dxa"/>
              <w:end w:w="110" w:type="dxa"/>
            </w:tcMar>
          </w:tcPr>
          <w:p>
            <w:pPr>
              <w:spacing w:before="0" w:after="20"/>
            </w:pPr>
            <w:r>
              <w:rPr>
                <w:rFonts w:ascii="Aptos" w:hAnsi="Aptos"/>
                <w:sz w:val="17"/>
              </w:rPr>
              <w:t>Older history</w:t>
            </w:r>
          </w:p>
        </w:tc>
        <w:tc>
          <w:tcPr>
            <w:tcW w:type="dxa" w:w="3024"/>
            <w:vAlign w:val="center"/>
            <w:tcMar>
              <w:top w:w="90" w:type="dxa"/>
              <w:start w:w="110" w:type="dxa"/>
              <w:bottom w:w="90" w:type="dxa"/>
              <w:end w:w="110" w:type="dxa"/>
            </w:tcMar>
          </w:tcPr>
          <w:p>
            <w:pPr>
              <w:spacing w:before="0" w:after="20"/>
            </w:pPr>
            <w:r>
              <w:rPr>
                <w:rFonts w:ascii="Aptos" w:hAnsi="Aptos"/>
                <w:sz w:val="17"/>
              </w:rPr>
              <w:t>Events before the 15-year horizon put in T0</w:t>
            </w:r>
          </w:p>
        </w:tc>
        <w:tc>
          <w:tcPr>
            <w:tcW w:type="dxa" w:w="3024"/>
            <w:vAlign w:val="center"/>
            <w:tcMar>
              <w:top w:w="90" w:type="dxa"/>
              <w:start w:w="110" w:type="dxa"/>
              <w:bottom w:w="90" w:type="dxa"/>
              <w:end w:w="110" w:type="dxa"/>
            </w:tcMar>
          </w:tcPr>
          <w:p>
            <w:pPr>
              <w:spacing w:before="0" w:after="20"/>
            </w:pPr>
            <w:r>
              <w:rPr>
                <w:rFonts w:ascii="Aptos" w:hAnsi="Aptos"/>
                <w:sz w:val="17"/>
              </w:rPr>
              <w:t>Preserved in T0</w:t>
            </w:r>
          </w:p>
        </w:tc>
      </w:tr>
      <w:tr>
        <w:tc>
          <w:tcPr>
            <w:tcW w:type="dxa" w:w="2232"/>
            <w:vAlign w:val="center"/>
            <w:tcMar>
              <w:top w:w="90" w:type="dxa"/>
              <w:start w:w="110" w:type="dxa"/>
              <w:bottom w:w="90" w:type="dxa"/>
              <w:end w:w="110" w:type="dxa"/>
            </w:tcMar>
          </w:tcPr>
          <w:p>
            <w:pPr>
              <w:spacing w:before="0" w:after="20"/>
            </w:pPr>
            <w:r>
              <w:rPr>
                <w:rFonts w:ascii="Aptos" w:hAnsi="Aptos"/>
                <w:sz w:val="17"/>
              </w:rPr>
              <w:t>Intra-segment order</w:t>
            </w:r>
          </w:p>
        </w:tc>
        <w:tc>
          <w:tcPr>
            <w:tcW w:type="dxa" w:w="3024"/>
            <w:vAlign w:val="center"/>
            <w:tcMar>
              <w:top w:w="90" w:type="dxa"/>
              <w:start w:w="110" w:type="dxa"/>
              <w:bottom w:w="90" w:type="dxa"/>
              <w:end w:w="110" w:type="dxa"/>
            </w:tcMar>
          </w:tcPr>
          <w:p>
            <w:pPr>
              <w:spacing w:before="0" w:after="20"/>
            </w:pPr>
            <w:r>
              <w:rPr>
                <w:rFonts w:ascii="Aptos" w:hAnsi="Aptos"/>
                <w:sz w:val="17"/>
              </w:rPr>
              <w:t>Ignored</w:t>
            </w:r>
          </w:p>
        </w:tc>
        <w:tc>
          <w:tcPr>
            <w:tcW w:type="dxa" w:w="3024"/>
            <w:vAlign w:val="center"/>
            <w:tcMar>
              <w:top w:w="90" w:type="dxa"/>
              <w:start w:w="110" w:type="dxa"/>
              <w:bottom w:w="90" w:type="dxa"/>
              <w:end w:w="110" w:type="dxa"/>
            </w:tcMar>
          </w:tcPr>
          <w:p>
            <w:pPr>
              <w:spacing w:before="0" w:after="20"/>
            </w:pPr>
            <w:r>
              <w:rPr>
                <w:rFonts w:ascii="Aptos" w:hAnsi="Aptos"/>
                <w:sz w:val="17"/>
              </w:rPr>
              <w:t>No within-segment chronology assumed</w:t>
            </w:r>
          </w:p>
        </w:tc>
      </w:tr>
      <w:tr>
        <w:tc>
          <w:tcPr>
            <w:tcW w:type="dxa" w:w="2232"/>
            <w:vAlign w:val="center"/>
            <w:tcMar>
              <w:top w:w="90" w:type="dxa"/>
              <w:start w:w="110" w:type="dxa"/>
              <w:bottom w:w="90" w:type="dxa"/>
              <w:end w:w="110" w:type="dxa"/>
            </w:tcMar>
          </w:tcPr>
          <w:p>
            <w:pPr>
              <w:spacing w:before="0" w:after="20"/>
            </w:pPr>
            <w:r>
              <w:rPr>
                <w:rFonts w:ascii="Aptos" w:hAnsi="Aptos"/>
                <w:sz w:val="17"/>
              </w:rPr>
              <w:t>Final fragment</w:t>
            </w:r>
          </w:p>
        </w:tc>
        <w:tc>
          <w:tcPr>
            <w:tcW w:type="dxa" w:w="3024"/>
            <w:vAlign w:val="center"/>
            <w:tcMar>
              <w:top w:w="90" w:type="dxa"/>
              <w:start w:w="110" w:type="dxa"/>
              <w:bottom w:w="90" w:type="dxa"/>
              <w:end w:w="110" w:type="dxa"/>
            </w:tcMar>
          </w:tcPr>
          <w:p>
            <w:pPr>
              <w:spacing w:before="0" w:after="20"/>
            </w:pPr>
            <w:r>
              <w:rPr>
                <w:rFonts w:ascii="Aptos" w:hAnsi="Aptos"/>
                <w:sz w:val="17"/>
              </w:rPr>
              <w:t>Used for validation/test</w:t>
            </w:r>
          </w:p>
        </w:tc>
        <w:tc>
          <w:tcPr>
            <w:tcW w:type="dxa" w:w="3024"/>
            <w:vAlign w:val="center"/>
            <w:tcMar>
              <w:top w:w="90" w:type="dxa"/>
              <w:start w:w="110" w:type="dxa"/>
              <w:bottom w:w="90" w:type="dxa"/>
              <w:end w:w="110" w:type="dxa"/>
            </w:tcMar>
          </w:tcPr>
          <w:p>
            <w:pPr>
              <w:spacing w:before="0" w:after="20"/>
            </w:pPr>
            <w:r>
              <w:rPr>
                <w:rFonts w:ascii="Aptos" w:hAnsi="Aptos"/>
                <w:sz w:val="17"/>
              </w:rPr>
              <w:t>T60 = 2026Q1</w:t>
            </w:r>
          </w:p>
        </w:tc>
      </w:tr>
      <w:tr>
        <w:tc>
          <w:tcPr>
            <w:tcW w:type="dxa" w:w="2232"/>
            <w:vAlign w:val="center"/>
            <w:tcMar>
              <w:top w:w="90" w:type="dxa"/>
              <w:start w:w="110" w:type="dxa"/>
              <w:bottom w:w="90" w:type="dxa"/>
              <w:end w:w="110" w:type="dxa"/>
            </w:tcMar>
          </w:tcPr>
          <w:p>
            <w:pPr>
              <w:spacing w:before="0" w:after="20"/>
            </w:pPr>
            <w:r>
              <w:rPr>
                <w:rFonts w:ascii="Aptos" w:hAnsi="Aptos"/>
                <w:sz w:val="17"/>
              </w:rPr>
              <w:t>Validation allocation</w:t>
            </w:r>
          </w:p>
        </w:tc>
        <w:tc>
          <w:tcPr>
            <w:tcW w:type="dxa" w:w="3024"/>
            <w:vAlign w:val="center"/>
            <w:tcMar>
              <w:top w:w="90" w:type="dxa"/>
              <w:start w:w="110" w:type="dxa"/>
              <w:bottom w:w="90" w:type="dxa"/>
              <w:end w:w="110" w:type="dxa"/>
            </w:tcMar>
          </w:tcPr>
          <w:p>
            <w:pPr>
              <w:spacing w:before="0" w:after="20"/>
            </w:pPr>
            <w:r>
              <w:rPr>
                <w:rFonts w:ascii="Aptos" w:hAnsi="Aptos"/>
                <w:sz w:val="17"/>
              </w:rPr>
              <w:t>10% of final fragment</w:t>
            </w:r>
          </w:p>
        </w:tc>
        <w:tc>
          <w:tcPr>
            <w:tcW w:type="dxa" w:w="3024"/>
            <w:vAlign w:val="center"/>
            <w:tcMar>
              <w:top w:w="90" w:type="dxa"/>
              <w:start w:w="110" w:type="dxa"/>
              <w:bottom w:w="90" w:type="dxa"/>
              <w:end w:w="110" w:type="dxa"/>
            </w:tcMar>
          </w:tcPr>
          <w:p>
            <w:pPr>
              <w:spacing w:before="0" w:after="20"/>
            </w:pPr>
            <w:r>
              <w:rPr>
                <w:rFonts w:ascii="Aptos" w:hAnsi="Aptos"/>
                <w:sz w:val="17"/>
              </w:rPr>
              <w:t>2,251 events, floor rule</w:t>
            </w:r>
          </w:p>
        </w:tc>
      </w:tr>
      <w:tr>
        <w:tc>
          <w:tcPr>
            <w:tcW w:type="dxa" w:w="2232"/>
            <w:vAlign w:val="center"/>
            <w:tcMar>
              <w:top w:w="90" w:type="dxa"/>
              <w:start w:w="110" w:type="dxa"/>
              <w:bottom w:w="90" w:type="dxa"/>
              <w:end w:w="110" w:type="dxa"/>
            </w:tcMar>
          </w:tcPr>
          <w:p>
            <w:pPr>
              <w:spacing w:before="0" w:after="20"/>
            </w:pPr>
            <w:r>
              <w:rPr>
                <w:rFonts w:ascii="Aptos" w:hAnsi="Aptos"/>
                <w:sz w:val="17"/>
              </w:rPr>
              <w:t>Test allocation</w:t>
            </w:r>
          </w:p>
        </w:tc>
        <w:tc>
          <w:tcPr>
            <w:tcW w:type="dxa" w:w="3024"/>
            <w:vAlign w:val="center"/>
            <w:tcMar>
              <w:top w:w="90" w:type="dxa"/>
              <w:start w:w="110" w:type="dxa"/>
              <w:bottom w:w="90" w:type="dxa"/>
              <w:end w:w="110" w:type="dxa"/>
            </w:tcMar>
          </w:tcPr>
          <w:p>
            <w:pPr>
              <w:spacing w:before="0" w:after="20"/>
            </w:pPr>
            <w:r>
              <w:rPr>
                <w:rFonts w:ascii="Aptos" w:hAnsi="Aptos"/>
                <w:sz w:val="17"/>
              </w:rPr>
              <w:t>Remainder of final fragment</w:t>
            </w:r>
          </w:p>
        </w:tc>
        <w:tc>
          <w:tcPr>
            <w:tcW w:type="dxa" w:w="3024"/>
            <w:vAlign w:val="center"/>
            <w:tcMar>
              <w:top w:w="90" w:type="dxa"/>
              <w:start w:w="110" w:type="dxa"/>
              <w:bottom w:w="90" w:type="dxa"/>
              <w:end w:w="110" w:type="dxa"/>
            </w:tcMar>
          </w:tcPr>
          <w:p>
            <w:pPr>
              <w:spacing w:before="0" w:after="20"/>
            </w:pPr>
            <w:r>
              <w:rPr>
                <w:rFonts w:ascii="Aptos" w:hAnsi="Aptos"/>
                <w:sz w:val="17"/>
              </w:rPr>
              <w:t>20,264 events</w:t>
            </w:r>
          </w:p>
        </w:tc>
      </w:tr>
      <w:tr>
        <w:tc>
          <w:tcPr>
            <w:tcW w:type="dxa" w:w="2232"/>
            <w:vAlign w:val="center"/>
            <w:tcMar>
              <w:top w:w="90" w:type="dxa"/>
              <w:start w:w="110" w:type="dxa"/>
              <w:bottom w:w="90" w:type="dxa"/>
              <w:end w:w="110" w:type="dxa"/>
            </w:tcMar>
          </w:tcPr>
          <w:p>
            <w:pPr>
              <w:spacing w:before="0" w:after="20"/>
            </w:pPr>
            <w:r>
              <w:rPr>
                <w:rFonts w:ascii="Aptos" w:hAnsi="Aptos"/>
                <w:sz w:val="17"/>
              </w:rPr>
              <w:t>Evaluation negatives</w:t>
            </w:r>
          </w:p>
        </w:tc>
        <w:tc>
          <w:tcPr>
            <w:tcW w:type="dxa" w:w="3024"/>
            <w:vAlign w:val="center"/>
            <w:tcMar>
              <w:top w:w="90" w:type="dxa"/>
              <w:start w:w="110" w:type="dxa"/>
              <w:bottom w:w="90" w:type="dxa"/>
              <w:end w:w="110" w:type="dxa"/>
            </w:tcMar>
          </w:tcPr>
          <w:p>
            <w:pPr>
              <w:spacing w:before="0" w:after="20"/>
            </w:pPr>
            <w:r>
              <w:rPr>
                <w:rFonts w:ascii="Aptos" w:hAnsi="Aptos"/>
                <w:sz w:val="17"/>
              </w:rPr>
              <w:t>99 random negatives per positive</w:t>
            </w:r>
          </w:p>
        </w:tc>
        <w:tc>
          <w:tcPr>
            <w:tcW w:type="dxa" w:w="3024"/>
            <w:vAlign w:val="center"/>
            <w:tcMar>
              <w:top w:w="90" w:type="dxa"/>
              <w:start w:w="110" w:type="dxa"/>
              <w:bottom w:w="90" w:type="dxa"/>
              <w:end w:w="110" w:type="dxa"/>
            </w:tcMar>
          </w:tcPr>
          <w:p>
            <w:pPr>
              <w:spacing w:before="0" w:after="20"/>
            </w:pPr>
            <w:r>
              <w:rPr>
                <w:rFonts w:ascii="Aptos" w:hAnsi="Aptos"/>
                <w:sz w:val="17"/>
              </w:rPr>
              <w:t>Not yet sampled in Phase 2</w:t>
            </w:r>
          </w:p>
        </w:tc>
      </w:tr>
      <w:tr>
        <w:tc>
          <w:tcPr>
            <w:tcW w:type="dxa" w:w="2232"/>
            <w:vAlign w:val="center"/>
            <w:tcMar>
              <w:top w:w="90" w:type="dxa"/>
              <w:start w:w="110" w:type="dxa"/>
              <w:bottom w:w="90" w:type="dxa"/>
              <w:end w:w="110" w:type="dxa"/>
            </w:tcMar>
          </w:tcPr>
          <w:p>
            <w:pPr>
              <w:spacing w:before="0" w:after="20"/>
            </w:pPr>
            <w:r>
              <w:rPr>
                <w:rFonts w:ascii="Aptos" w:hAnsi="Aptos"/>
                <w:sz w:val="17"/>
              </w:rPr>
              <w:t>Minimum investor history</w:t>
            </w:r>
          </w:p>
        </w:tc>
        <w:tc>
          <w:tcPr>
            <w:tcW w:type="dxa" w:w="3024"/>
            <w:vAlign w:val="center"/>
            <w:tcMar>
              <w:top w:w="90" w:type="dxa"/>
              <w:start w:w="110" w:type="dxa"/>
              <w:bottom w:w="90" w:type="dxa"/>
              <w:end w:w="110" w:type="dxa"/>
            </w:tcMar>
          </w:tcPr>
          <w:p>
            <w:pPr>
              <w:spacing w:before="0" w:after="20"/>
            </w:pPr>
            <w:r>
              <w:rPr>
                <w:rFonts w:ascii="Aptos" w:hAnsi="Aptos"/>
                <w:sz w:val="17"/>
              </w:rPr>
              <w:t>Not explicitly specified</w:t>
            </w:r>
          </w:p>
        </w:tc>
        <w:tc>
          <w:tcPr>
            <w:tcW w:type="dxa" w:w="3024"/>
            <w:vAlign w:val="center"/>
            <w:tcMar>
              <w:top w:w="90" w:type="dxa"/>
              <w:start w:w="110" w:type="dxa"/>
              <w:bottom w:w="90" w:type="dxa"/>
              <w:end w:w="110" w:type="dxa"/>
            </w:tcMar>
          </w:tcPr>
          <w:p>
            <w:pPr>
              <w:spacing w:before="0" w:after="20"/>
            </w:pPr>
            <w:r>
              <w:rPr>
                <w:rFonts w:ascii="Aptos" w:hAnsi="Aptos"/>
                <w:sz w:val="17"/>
              </w:rPr>
              <w:t>No threshold imposed</w:t>
            </w:r>
          </w:p>
        </w:tc>
      </w:tr>
    </w:tbl>
    <w:p>
      <w:pPr>
        <w:spacing w:after="0"/>
      </w:pPr>
    </w:p>
    <w:tbl>
      <w:tblPr>
        <w:tblStyle w:val="TableGrid"/>
        <w:tblW w:type="auto" w:w="0"/>
        <w:jc w:val="center"/>
        <w:tblLook w:firstColumn="1" w:firstRow="1" w:lastColumn="0" w:lastRow="0" w:noHBand="0" w:noVBand="1" w:val="04A0"/>
      </w:tblPr>
      <w:tblGrid>
        <w:gridCol w:w="10166"/>
      </w:tblGrid>
      <w:tr>
        <w:tc>
          <w:tcPr>
            <w:tcW w:type="dxa" w:w="10166"/>
            <w:shd w:fill="FFF4E5"/>
            <w:tcMar>
              <w:top w:w="140" w:type="dxa"/>
              <w:start w:w="180" w:type="dxa"/>
              <w:bottom w:w="140" w:type="dxa"/>
              <w:end w:w="180" w:type="dxa"/>
            </w:tcMar>
          </w:tcPr>
          <w:p>
            <w:pPr>
              <w:spacing w:before="0" w:after="0"/>
            </w:pPr>
            <w:r>
              <w:rPr>
                <w:rFonts w:ascii="Aptos" w:hAnsi="Aptos"/>
                <w:b/>
                <w:sz w:val="20"/>
              </w:rPr>
              <w:t>Paper ambiguity recorded:</w:t>
            </w:r>
            <w:r>
              <w:rPr>
                <w:rFonts w:ascii="Aptos" w:hAnsi="Aptos"/>
                <w:sz w:val="20"/>
              </w:rPr>
              <w:t xml:space="preserve"> the paper is not perfectly consistent about indexing T0 versus the t fragments. The reproduction therefore implements the unambiguous algorithmic intent: one compressed prehistory bucket T0 plus 60 detailed three-month segments T1-T60.</w:t>
            </w:r>
          </w:p>
        </w:tc>
      </w:tr>
    </w:tbl>
    <w:p>
      <w:pPr>
        <w:spacing w:after="0"/>
      </w:pPr>
    </w:p>
    <w:p>
      <w:pPr>
        <w:pStyle w:val="Heading1"/>
        <w:keepNext/>
      </w:pPr>
      <w:r>
        <w:t>3. Phase 2 Pipeline</w:t>
      </w:r>
    </w:p>
    <w:tbl>
      <w:tblPr>
        <w:tblStyle w:val="TableGrid"/>
        <w:tblW w:type="auto" w:w="0"/>
        <w:jc w:val="center"/>
        <w:tblLook w:firstColumn="1" w:firstRow="1" w:lastColumn="0" w:lastRow="0" w:noHBand="0" w:noVBand="1" w:val="04A0"/>
      </w:tblPr>
      <w:tblGrid>
        <w:gridCol w:w="10166"/>
      </w:tblGrid>
      <w:tr>
        <w:tc>
          <w:tcPr>
            <w:tcW w:type="dxa" w:w="10166"/>
            <w:shd w:fill="F7F7F7"/>
            <w:tcMar>
              <w:top w:w="120" w:type="dxa"/>
              <w:start w:w="150" w:type="dxa"/>
              <w:bottom w:w="120" w:type="dxa"/>
              <w:end w:w="150" w:type="dxa"/>
            </w:tcMar>
          </w:tcPr>
          <w:p>
            <w:pPr>
              <w:spacing w:before="0" w:after="0"/>
            </w:pPr>
            <w:r>
              <w:rPr>
                <w:rFonts w:ascii="Aptos Mono" w:hAnsi="Aptos Mono"/>
                <w:sz w:val="17"/>
              </w:rPr>
              <w:t>PHASE 1 CANONICAL INTERACTIONS</w:t>
            </w:r>
            <w:r>
              <w:br/>
            </w:r>
            <w:r>
              <w:rPr>
                <w:rFonts w:ascii="Aptos Mono" w:hAnsi="Aptos Mono"/>
                <w:sz w:val="17"/>
              </w:rPr>
              <w:t>1,208,051 events</w:t>
            </w:r>
            <w:r>
              <w:br/>
            </w:r>
            <w:r>
              <w:rPr>
                <w:rFonts w:ascii="Aptos Mono" w:hAnsi="Aptos Mono"/>
                <w:sz w:val="17"/>
              </w:rPr>
              <w:t xml:space="preserve">        |</w:t>
            </w:r>
            <w:r>
              <w:br/>
            </w:r>
            <w:r>
              <w:rPr>
                <w:rFonts w:ascii="Aptos Mono" w:hAnsi="Aptos Mono"/>
                <w:sz w:val="17"/>
              </w:rPr>
              <w:t xml:space="preserve">        v</w:t>
            </w:r>
            <w:r>
              <w:br/>
            </w:r>
            <w:r>
              <w:rPr>
                <w:rFonts w:ascii="Aptos Mono" w:hAnsi="Aptos Mono"/>
                <w:sz w:val="17"/>
              </w:rPr>
              <w:t>2.1 Temporal distribution and censoring audits</w:t>
            </w:r>
            <w:r>
              <w:br/>
            </w:r>
            <w:r>
              <w:rPr>
                <w:rFonts w:ascii="Aptos Mono" w:hAnsi="Aptos Mono"/>
                <w:sz w:val="17"/>
              </w:rPr>
              <w:t xml:space="preserve">        |</w:t>
            </w:r>
            <w:r>
              <w:br/>
            </w:r>
            <w:r>
              <w:rPr>
                <w:rFonts w:ascii="Aptos Mono" w:hAnsi="Aptos Mono"/>
                <w:sz w:val="17"/>
              </w:rPr>
              <w:t xml:space="preserve">        v</w:t>
            </w:r>
            <w:r>
              <w:br/>
            </w:r>
            <w:r>
              <w:rPr>
                <w:rFonts w:ascii="Aptos Mono" w:hAnsi="Aptos Mono"/>
                <w:sz w:val="17"/>
              </w:rPr>
              <w:t>2.2 ITRS temporal-design audit + compatible-window comparison</w:t>
            </w:r>
            <w:r>
              <w:br/>
            </w:r>
            <w:r>
              <w:rPr>
                <w:rFonts w:ascii="Aptos Mono" w:hAnsi="Aptos Mono"/>
                <w:sz w:val="17"/>
              </w:rPr>
              <w:t xml:space="preserve">        |</w:t>
            </w:r>
            <w:r>
              <w:br/>
            </w:r>
            <w:r>
              <w:rPr>
                <w:rFonts w:ascii="Aptos Mono" w:hAnsi="Aptos Mono"/>
                <w:sz w:val="17"/>
              </w:rPr>
              <w:t xml:space="preserve">        v</w:t>
            </w:r>
            <w:r>
              <w:br/>
            </w:r>
            <w:r>
              <w:rPr>
                <w:rFonts w:ascii="Aptos Mono" w:hAnsi="Aptos Mono"/>
                <w:sz w:val="17"/>
              </w:rPr>
              <w:t>Selected endpoint: 2026-03-31</w:t>
            </w:r>
            <w:r>
              <w:br/>
            </w:r>
            <w:r>
              <w:rPr>
                <w:rFonts w:ascii="Aptos Mono" w:hAnsi="Aptos Mono"/>
                <w:sz w:val="17"/>
              </w:rPr>
              <w:t>Selected detailed horizon: 2011-04-01 -&gt; 2026-03-31</w:t>
            </w:r>
            <w:r>
              <w:br/>
            </w:r>
            <w:r>
              <w:rPr>
                <w:rFonts w:ascii="Aptos Mono" w:hAnsi="Aptos Mono"/>
                <w:sz w:val="17"/>
              </w:rPr>
              <w:t xml:space="preserve">        |</w:t>
            </w:r>
            <w:r>
              <w:br/>
            </w:r>
            <w:r>
              <w:rPr>
                <w:rFonts w:ascii="Aptos Mono" w:hAnsi="Aptos Mono"/>
                <w:sz w:val="17"/>
              </w:rPr>
              <w:t xml:space="preserve">        v</w:t>
            </w:r>
            <w:r>
              <w:br/>
            </w:r>
            <w:r>
              <w:rPr>
                <w:rFonts w:ascii="Aptos Mono" w:hAnsi="Aptos Mono"/>
                <w:sz w:val="17"/>
              </w:rPr>
              <w:t>T0 + T1 ... T60 materialization</w:t>
            </w:r>
            <w:r>
              <w:br/>
            </w:r>
            <w:r>
              <w:rPr>
                <w:rFonts w:ascii="Aptos Mono" w:hAnsi="Aptos Mono"/>
                <w:sz w:val="17"/>
              </w:rPr>
              <w:t xml:space="preserve">        |</w:t>
            </w:r>
            <w:r>
              <w:br/>
            </w:r>
            <w:r>
              <w:rPr>
                <w:rFonts w:ascii="Aptos Mono" w:hAnsi="Aptos Mono"/>
                <w:sz w:val="17"/>
              </w:rPr>
              <w:t xml:space="preserve">        +--&gt; T0-T59 historical pool: 1,173,422</w:t>
            </w:r>
            <w:r>
              <w:br/>
            </w:r>
            <w:r>
              <w:rPr>
                <w:rFonts w:ascii="Aptos Mono" w:hAnsi="Aptos Mono"/>
                <w:sz w:val="17"/>
              </w:rPr>
              <w:t xml:space="preserve">        |</w:t>
            </w:r>
            <w:r>
              <w:br/>
            </w:r>
            <w:r>
              <w:rPr>
                <w:rFonts w:ascii="Aptos Mono" w:hAnsi="Aptos Mono"/>
                <w:sz w:val="17"/>
              </w:rPr>
              <w:t xml:space="preserve">        +--&gt; T60 evaluation pool: 22,515</w:t>
            </w:r>
            <w:r>
              <w:br/>
            </w:r>
            <w:r>
              <w:rPr>
                <w:rFonts w:ascii="Aptos Mono" w:hAnsi="Aptos Mono"/>
                <w:sz w:val="17"/>
              </w:rPr>
              <w:t xml:space="preserve">                    |</w:t>
            </w:r>
            <w:r>
              <w:br/>
            </w:r>
            <w:r>
              <w:rPr>
                <w:rFonts w:ascii="Aptos Mono" w:hAnsi="Aptos Mono"/>
                <w:sz w:val="17"/>
              </w:rPr>
              <w:t xml:space="preserve">                    +--&gt; validation: 2,251</w:t>
            </w:r>
            <w:r>
              <w:br/>
            </w:r>
            <w:r>
              <w:rPr>
                <w:rFonts w:ascii="Aptos Mono" w:hAnsi="Aptos Mono"/>
                <w:sz w:val="17"/>
              </w:rPr>
              <w:t xml:space="preserve">                    |</w:t>
            </w:r>
            <w:r>
              <w:br/>
            </w:r>
            <w:r>
              <w:rPr>
                <w:rFonts w:ascii="Aptos Mono" w:hAnsi="Aptos Mono"/>
                <w:sz w:val="17"/>
              </w:rPr>
              <w:t xml:space="preserve">                    +--&gt; test: 20,264</w:t>
            </w:r>
            <w:r>
              <w:br/>
            </w:r>
            <w:r>
              <w:rPr>
                <w:rFonts w:ascii="Aptos Mono" w:hAnsi="Aptos Mono"/>
                <w:sz w:val="17"/>
              </w:rPr>
              <w:t xml:space="preserve">        |</w:t>
            </w:r>
            <w:r>
              <w:br/>
            </w:r>
            <w:r>
              <w:rPr>
                <w:rFonts w:ascii="Aptos Mono" w:hAnsi="Aptos Mono"/>
                <w:sz w:val="17"/>
              </w:rPr>
              <w:t xml:space="preserve">        +--&gt; post-endpoint tail preserved: 12,114</w:t>
            </w:r>
          </w:p>
        </w:tc>
      </w:tr>
    </w:tbl>
    <w:p>
      <w:pPr>
        <w:spacing w:after="0"/>
      </w:pP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080"/>
            <w:vAlign w:val="center"/>
            <w:tcMar>
              <w:top w:w="90" w:type="dxa"/>
              <w:start w:w="110" w:type="dxa"/>
              <w:bottom w:w="90" w:type="dxa"/>
              <w:end w:w="110" w:type="dxa"/>
            </w:tcMar>
            <w:shd w:fill="D9E2F3"/>
          </w:tcPr>
          <w:p>
            <w:pPr>
              <w:spacing w:before="0" w:after="20"/>
            </w:pPr>
            <w:r>
              <w:rPr>
                <w:rFonts w:ascii="Aptos" w:hAnsi="Aptos"/>
                <w:b/>
                <w:color w:val="1F1F1F"/>
                <w:sz w:val="16"/>
              </w:rPr>
              <w:t>Subphase</w:t>
            </w:r>
          </w:p>
        </w:tc>
        <w:tc>
          <w:tcPr>
            <w:tcW w:type="dxa" w:w="3312"/>
            <w:vAlign w:val="center"/>
            <w:tcMar>
              <w:top w:w="90" w:type="dxa"/>
              <w:start w:w="110" w:type="dxa"/>
              <w:bottom w:w="90" w:type="dxa"/>
              <w:end w:w="110" w:type="dxa"/>
            </w:tcMar>
            <w:shd w:fill="D9E2F3"/>
          </w:tcPr>
          <w:p>
            <w:pPr>
              <w:spacing w:before="0" w:after="20"/>
            </w:pPr>
            <w:r>
              <w:rPr>
                <w:rFonts w:ascii="Aptos" w:hAnsi="Aptos"/>
                <w:b/>
                <w:color w:val="1F1F1F"/>
                <w:sz w:val="16"/>
              </w:rPr>
              <w:t>Purpose</w:t>
            </w:r>
          </w:p>
        </w:tc>
        <w:tc>
          <w:tcPr>
            <w:tcW w:type="dxa" w:w="4176"/>
            <w:vAlign w:val="center"/>
            <w:tcMar>
              <w:top w:w="90" w:type="dxa"/>
              <w:start w:w="110" w:type="dxa"/>
              <w:bottom w:w="90" w:type="dxa"/>
              <w:end w:w="110" w:type="dxa"/>
            </w:tcMar>
            <w:shd w:fill="D9E2F3"/>
          </w:tcPr>
          <w:p>
            <w:pPr>
              <w:spacing w:before="0" w:after="20"/>
            </w:pPr>
            <w:r>
              <w:rPr>
                <w:rFonts w:ascii="Aptos" w:hAnsi="Aptos"/>
                <w:b/>
                <w:color w:val="1F1F1F"/>
                <w:sz w:val="16"/>
              </w:rPr>
              <w:t>Main result</w:t>
            </w:r>
          </w:p>
        </w:tc>
      </w:tr>
      <w:tr>
        <w:tc>
          <w:tcPr>
            <w:tcW w:type="dxa" w:w="1080"/>
            <w:vAlign w:val="center"/>
            <w:tcMar>
              <w:top w:w="90" w:type="dxa"/>
              <w:start w:w="110" w:type="dxa"/>
              <w:bottom w:w="90" w:type="dxa"/>
              <w:end w:w="110" w:type="dxa"/>
            </w:tcMar>
          </w:tcPr>
          <w:p>
            <w:pPr>
              <w:spacing w:before="0" w:after="20"/>
            </w:pPr>
            <w:r>
              <w:rPr>
                <w:rFonts w:ascii="Aptos" w:hAnsi="Aptos"/>
                <w:sz w:val="16"/>
              </w:rPr>
              <w:t>2.1.1</w:t>
            </w:r>
          </w:p>
        </w:tc>
        <w:tc>
          <w:tcPr>
            <w:tcW w:type="dxa" w:w="3312"/>
            <w:vAlign w:val="center"/>
            <w:tcMar>
              <w:top w:w="90" w:type="dxa"/>
              <w:start w:w="110" w:type="dxa"/>
              <w:bottom w:w="90" w:type="dxa"/>
              <w:end w:w="110" w:type="dxa"/>
            </w:tcMar>
          </w:tcPr>
          <w:p>
            <w:pPr>
              <w:spacing w:before="0" w:after="20"/>
            </w:pPr>
            <w:r>
              <w:rPr>
                <w:rFonts w:ascii="Aptos" w:hAnsi="Aptos"/>
                <w:sz w:val="16"/>
              </w:rPr>
              <w:t>Temporal schema and integrity</w:t>
            </w:r>
          </w:p>
        </w:tc>
        <w:tc>
          <w:tcPr>
            <w:tcW w:type="dxa" w:w="4176"/>
            <w:vAlign w:val="center"/>
            <w:tcMar>
              <w:top w:w="90" w:type="dxa"/>
              <w:start w:w="110" w:type="dxa"/>
              <w:bottom w:w="90" w:type="dxa"/>
              <w:end w:w="110" w:type="dxa"/>
            </w:tcMar>
          </w:tcPr>
          <w:p>
            <w:pPr>
              <w:spacing w:before="0" w:after="20"/>
            </w:pPr>
            <w:r>
              <w:rPr>
                <w:rFonts w:ascii="Aptos" w:hAnsi="Aptos"/>
                <w:sz w:val="16"/>
              </w:rPr>
              <w:t>announced_on selected; 100% parseable</w:t>
            </w:r>
          </w:p>
        </w:tc>
      </w:tr>
      <w:tr>
        <w:tc>
          <w:tcPr>
            <w:tcW w:type="dxa" w:w="1080"/>
            <w:vAlign w:val="center"/>
            <w:tcMar>
              <w:top w:w="90" w:type="dxa"/>
              <w:start w:w="110" w:type="dxa"/>
              <w:bottom w:w="90" w:type="dxa"/>
              <w:end w:w="110" w:type="dxa"/>
            </w:tcMar>
          </w:tcPr>
          <w:p>
            <w:pPr>
              <w:spacing w:before="0" w:after="20"/>
            </w:pPr>
            <w:r>
              <w:rPr>
                <w:rFonts w:ascii="Aptos" w:hAnsi="Aptos"/>
                <w:sz w:val="16"/>
              </w:rPr>
              <w:t>2.1.2</w:t>
            </w:r>
          </w:p>
        </w:tc>
        <w:tc>
          <w:tcPr>
            <w:tcW w:type="dxa" w:w="3312"/>
            <w:vAlign w:val="center"/>
            <w:tcMar>
              <w:top w:w="90" w:type="dxa"/>
              <w:start w:w="110" w:type="dxa"/>
              <w:bottom w:w="90" w:type="dxa"/>
              <w:end w:w="110" w:type="dxa"/>
            </w:tcMar>
          </w:tcPr>
          <w:p>
            <w:pPr>
              <w:spacing w:before="0" w:after="20"/>
            </w:pPr>
            <w:r>
              <w:rPr>
                <w:rFonts w:ascii="Aptos" w:hAnsi="Aptos"/>
                <w:sz w:val="16"/>
              </w:rPr>
              <w:t>Annual distribution</w:t>
            </w:r>
          </w:p>
        </w:tc>
        <w:tc>
          <w:tcPr>
            <w:tcW w:type="dxa" w:w="4176"/>
            <w:vAlign w:val="center"/>
            <w:tcMar>
              <w:top w:w="90" w:type="dxa"/>
              <w:start w:w="110" w:type="dxa"/>
              <w:bottom w:w="90" w:type="dxa"/>
              <w:end w:w="110" w:type="dxa"/>
            </w:tcMar>
          </w:tcPr>
          <w:p>
            <w:pPr>
              <w:spacing w:before="0" w:after="20"/>
            </w:pPr>
            <w:r>
              <w:rPr>
                <w:rFonts w:ascii="Aptos" w:hAnsi="Aptos"/>
                <w:sz w:val="16"/>
              </w:rPr>
              <w:t>Sparse early history; strong modern expansion</w:t>
            </w:r>
          </w:p>
        </w:tc>
      </w:tr>
      <w:tr>
        <w:tc>
          <w:tcPr>
            <w:tcW w:type="dxa" w:w="1080"/>
            <w:vAlign w:val="center"/>
            <w:tcMar>
              <w:top w:w="90" w:type="dxa"/>
              <w:start w:w="110" w:type="dxa"/>
              <w:bottom w:w="90" w:type="dxa"/>
              <w:end w:w="110" w:type="dxa"/>
            </w:tcMar>
          </w:tcPr>
          <w:p>
            <w:pPr>
              <w:spacing w:before="0" w:after="20"/>
            </w:pPr>
            <w:r>
              <w:rPr>
                <w:rFonts w:ascii="Aptos" w:hAnsi="Aptos"/>
                <w:sz w:val="16"/>
              </w:rPr>
              <w:t>2.1.3</w:t>
            </w:r>
          </w:p>
        </w:tc>
        <w:tc>
          <w:tcPr>
            <w:tcW w:type="dxa" w:w="3312"/>
            <w:vAlign w:val="center"/>
            <w:tcMar>
              <w:top w:w="90" w:type="dxa"/>
              <w:start w:w="110" w:type="dxa"/>
              <w:bottom w:w="90" w:type="dxa"/>
              <w:end w:w="110" w:type="dxa"/>
            </w:tcMar>
          </w:tcPr>
          <w:p>
            <w:pPr>
              <w:spacing w:before="0" w:after="20"/>
            </w:pPr>
            <w:r>
              <w:rPr>
                <w:rFonts w:ascii="Aptos" w:hAnsi="Aptos"/>
                <w:sz w:val="16"/>
              </w:rPr>
              <w:t>Monthly/quarterly distribution</w:t>
            </w:r>
          </w:p>
        </w:tc>
        <w:tc>
          <w:tcPr>
            <w:tcW w:type="dxa" w:w="4176"/>
            <w:vAlign w:val="center"/>
            <w:tcMar>
              <w:top w:w="90" w:type="dxa"/>
              <w:start w:w="110" w:type="dxa"/>
              <w:bottom w:w="90" w:type="dxa"/>
              <w:end w:w="110" w:type="dxa"/>
            </w:tcMar>
          </w:tcPr>
          <w:p>
            <w:pPr>
              <w:spacing w:before="0" w:after="20"/>
            </w:pPr>
            <w:r>
              <w:rPr>
                <w:rFonts w:ascii="Aptos" w:hAnsi="Aptos"/>
                <w:sz w:val="16"/>
              </w:rPr>
              <w:t>Continuous month coverage after 1993-07; June 2026 incomplete</w:t>
            </w:r>
          </w:p>
        </w:tc>
      </w:tr>
      <w:tr>
        <w:tc>
          <w:tcPr>
            <w:tcW w:type="dxa" w:w="1080"/>
            <w:vAlign w:val="center"/>
            <w:tcMar>
              <w:top w:w="90" w:type="dxa"/>
              <w:start w:w="110" w:type="dxa"/>
              <w:bottom w:w="90" w:type="dxa"/>
              <w:end w:w="110" w:type="dxa"/>
            </w:tcMar>
          </w:tcPr>
          <w:p>
            <w:pPr>
              <w:spacing w:before="0" w:after="20"/>
            </w:pPr>
            <w:r>
              <w:rPr>
                <w:rFonts w:ascii="Aptos" w:hAnsi="Aptos"/>
                <w:sz w:val="16"/>
              </w:rPr>
              <w:t>2.1.4</w:t>
            </w:r>
          </w:p>
        </w:tc>
        <w:tc>
          <w:tcPr>
            <w:tcW w:type="dxa" w:w="3312"/>
            <w:vAlign w:val="center"/>
            <w:tcMar>
              <w:top w:w="90" w:type="dxa"/>
              <w:start w:w="110" w:type="dxa"/>
              <w:bottom w:w="90" w:type="dxa"/>
              <w:end w:w="110" w:type="dxa"/>
            </w:tcMar>
          </w:tcPr>
          <w:p>
            <w:pPr>
              <w:spacing w:before="0" w:after="20"/>
            </w:pPr>
            <w:r>
              <w:rPr>
                <w:rFonts w:ascii="Aptos" w:hAnsi="Aptos"/>
                <w:sz w:val="16"/>
              </w:rPr>
              <w:t>Recent completeness</w:t>
            </w:r>
          </w:p>
        </w:tc>
        <w:tc>
          <w:tcPr>
            <w:tcW w:type="dxa" w:w="4176"/>
            <w:vAlign w:val="center"/>
            <w:tcMar>
              <w:top w:w="90" w:type="dxa"/>
              <w:start w:w="110" w:type="dxa"/>
              <w:bottom w:w="90" w:type="dxa"/>
              <w:end w:w="110" w:type="dxa"/>
            </w:tcMar>
          </w:tcPr>
          <w:p>
            <w:pPr>
              <w:spacing w:before="0" w:after="20"/>
            </w:pPr>
            <w:r>
              <w:rPr>
                <w:rFonts w:ascii="Aptos" w:hAnsi="Aptos"/>
                <w:sz w:val="16"/>
              </w:rPr>
              <w:t>Calendar completeness separated from database maturity</w:t>
            </w:r>
          </w:p>
        </w:tc>
      </w:tr>
      <w:tr>
        <w:tc>
          <w:tcPr>
            <w:tcW w:type="dxa" w:w="1080"/>
            <w:vAlign w:val="center"/>
            <w:tcMar>
              <w:top w:w="90" w:type="dxa"/>
              <w:start w:w="110" w:type="dxa"/>
              <w:bottom w:w="90" w:type="dxa"/>
              <w:end w:w="110" w:type="dxa"/>
            </w:tcMar>
          </w:tcPr>
          <w:p>
            <w:pPr>
              <w:spacing w:before="0" w:after="20"/>
            </w:pPr>
            <w:r>
              <w:rPr>
                <w:rFonts w:ascii="Aptos" w:hAnsi="Aptos"/>
                <w:sz w:val="16"/>
              </w:rPr>
              <w:t>2.1.5</w:t>
            </w:r>
          </w:p>
        </w:tc>
        <w:tc>
          <w:tcPr>
            <w:tcW w:type="dxa" w:w="3312"/>
            <w:vAlign w:val="center"/>
            <w:tcMar>
              <w:top w:w="90" w:type="dxa"/>
              <w:start w:w="110" w:type="dxa"/>
              <w:bottom w:w="90" w:type="dxa"/>
              <w:end w:w="110" w:type="dxa"/>
            </w:tcMar>
          </w:tcPr>
          <w:p>
            <w:pPr>
              <w:spacing w:before="0" w:after="20"/>
            </w:pPr>
            <w:r>
              <w:rPr>
                <w:rFonts w:ascii="Aptos" w:hAnsi="Aptos"/>
                <w:sz w:val="16"/>
              </w:rPr>
              <w:t>Investor sequence audit</w:t>
            </w:r>
          </w:p>
        </w:tc>
        <w:tc>
          <w:tcPr>
            <w:tcW w:type="dxa" w:w="4176"/>
            <w:vAlign w:val="center"/>
            <w:tcMar>
              <w:top w:w="90" w:type="dxa"/>
              <w:start w:w="110" w:type="dxa"/>
              <w:bottom w:w="90" w:type="dxa"/>
              <w:end w:w="110" w:type="dxa"/>
            </w:tcMar>
          </w:tcPr>
          <w:p>
            <w:pPr>
              <w:spacing w:before="0" w:after="20"/>
            </w:pPr>
            <w:r>
              <w:rPr>
                <w:rFonts w:ascii="Aptos" w:hAnsi="Aptos"/>
                <w:sz w:val="16"/>
              </w:rPr>
              <w:t>Median sequence = 1; heavy-tailed activity</w:t>
            </w:r>
          </w:p>
        </w:tc>
      </w:tr>
      <w:tr>
        <w:tc>
          <w:tcPr>
            <w:tcW w:type="dxa" w:w="1080"/>
            <w:vAlign w:val="center"/>
            <w:tcMar>
              <w:top w:w="90" w:type="dxa"/>
              <w:start w:w="110" w:type="dxa"/>
              <w:bottom w:w="90" w:type="dxa"/>
              <w:end w:w="110" w:type="dxa"/>
            </w:tcMar>
          </w:tcPr>
          <w:p>
            <w:pPr>
              <w:spacing w:before="0" w:after="20"/>
            </w:pPr>
            <w:r>
              <w:rPr>
                <w:rFonts w:ascii="Aptos" w:hAnsi="Aptos"/>
                <w:sz w:val="16"/>
              </w:rPr>
              <w:t>2.1.6</w:t>
            </w:r>
          </w:p>
        </w:tc>
        <w:tc>
          <w:tcPr>
            <w:tcW w:type="dxa" w:w="3312"/>
            <w:vAlign w:val="center"/>
            <w:tcMar>
              <w:top w:w="90" w:type="dxa"/>
              <w:start w:w="110" w:type="dxa"/>
              <w:bottom w:w="90" w:type="dxa"/>
              <w:end w:w="110" w:type="dxa"/>
            </w:tcMar>
          </w:tcPr>
          <w:p>
            <w:pPr>
              <w:spacing w:before="0" w:after="20"/>
            </w:pPr>
            <w:r>
              <w:rPr>
                <w:rFonts w:ascii="Aptos" w:hAnsi="Aptos"/>
                <w:sz w:val="16"/>
              </w:rPr>
              <w:t>Reporting-lag / censoring</w:t>
            </w:r>
          </w:p>
        </w:tc>
        <w:tc>
          <w:tcPr>
            <w:tcW w:type="dxa" w:w="4176"/>
            <w:vAlign w:val="center"/>
            <w:tcMar>
              <w:top w:w="90" w:type="dxa"/>
              <w:start w:w="110" w:type="dxa"/>
              <w:bottom w:w="90" w:type="dxa"/>
              <w:end w:w="110" w:type="dxa"/>
            </w:tcMar>
          </w:tcPr>
          <w:p>
            <w:pPr>
              <w:spacing w:before="0" w:after="20"/>
            </w:pPr>
            <w:r>
              <w:rPr>
                <w:rFonts w:ascii="Aptos" w:hAnsi="Aptos"/>
                <w:sz w:val="16"/>
              </w:rPr>
              <w:t>Actual lag unidentifiable; endpoint sensitivity quantified</w:t>
            </w:r>
          </w:p>
        </w:tc>
      </w:tr>
      <w:tr>
        <w:tc>
          <w:tcPr>
            <w:tcW w:type="dxa" w:w="1080"/>
            <w:vAlign w:val="center"/>
            <w:tcMar>
              <w:top w:w="90" w:type="dxa"/>
              <w:start w:w="110" w:type="dxa"/>
              <w:bottom w:w="90" w:type="dxa"/>
              <w:end w:w="110" w:type="dxa"/>
            </w:tcMar>
          </w:tcPr>
          <w:p>
            <w:pPr>
              <w:spacing w:before="0" w:after="20"/>
            </w:pPr>
            <w:r>
              <w:rPr>
                <w:rFonts w:ascii="Aptos" w:hAnsi="Aptos"/>
                <w:sz w:val="16"/>
              </w:rPr>
              <w:t>2.1.7</w:t>
            </w:r>
          </w:p>
        </w:tc>
        <w:tc>
          <w:tcPr>
            <w:tcW w:type="dxa" w:w="3312"/>
            <w:vAlign w:val="center"/>
            <w:tcMar>
              <w:top w:w="90" w:type="dxa"/>
              <w:start w:w="110" w:type="dxa"/>
              <w:bottom w:w="90" w:type="dxa"/>
              <w:end w:w="110" w:type="dxa"/>
            </w:tcMar>
          </w:tcPr>
          <w:p>
            <w:pPr>
              <w:spacing w:before="0" w:after="20"/>
            </w:pPr>
            <w:r>
              <w:rPr>
                <w:rFonts w:ascii="Aptos" w:hAnsi="Aptos"/>
                <w:sz w:val="16"/>
              </w:rPr>
              <w:t>Start-boundary diagnostics</w:t>
            </w:r>
          </w:p>
        </w:tc>
        <w:tc>
          <w:tcPr>
            <w:tcW w:type="dxa" w:w="4176"/>
            <w:vAlign w:val="center"/>
            <w:tcMar>
              <w:top w:w="90" w:type="dxa"/>
              <w:start w:w="110" w:type="dxa"/>
              <w:bottom w:w="90" w:type="dxa"/>
              <w:end w:w="110" w:type="dxa"/>
            </w:tcMar>
          </w:tcPr>
          <w:p>
            <w:pPr>
              <w:spacing w:before="0" w:after="20"/>
            </w:pPr>
            <w:r>
              <w:rPr>
                <w:rFonts w:ascii="Aptos" w:hAnsi="Aptos"/>
                <w:sz w:val="16"/>
              </w:rPr>
              <w:t>Later starts increase density but do not solve sequence sparsity</w:t>
            </w:r>
          </w:p>
        </w:tc>
      </w:tr>
      <w:tr>
        <w:tc>
          <w:tcPr>
            <w:tcW w:type="dxa" w:w="1080"/>
            <w:vAlign w:val="center"/>
            <w:tcMar>
              <w:top w:w="90" w:type="dxa"/>
              <w:start w:w="110" w:type="dxa"/>
              <w:bottom w:w="90" w:type="dxa"/>
              <w:end w:w="110" w:type="dxa"/>
            </w:tcMar>
          </w:tcPr>
          <w:p>
            <w:pPr>
              <w:spacing w:before="0" w:after="20"/>
            </w:pPr>
            <w:r>
              <w:rPr>
                <w:rFonts w:ascii="Aptos" w:hAnsi="Aptos"/>
                <w:sz w:val="16"/>
              </w:rPr>
              <w:t>2.1.8</w:t>
            </w:r>
          </w:p>
        </w:tc>
        <w:tc>
          <w:tcPr>
            <w:tcW w:type="dxa" w:w="3312"/>
            <w:vAlign w:val="center"/>
            <w:tcMar>
              <w:top w:w="90" w:type="dxa"/>
              <w:start w:w="110" w:type="dxa"/>
              <w:bottom w:w="90" w:type="dxa"/>
              <w:end w:w="110" w:type="dxa"/>
            </w:tcMar>
          </w:tcPr>
          <w:p>
            <w:pPr>
              <w:spacing w:before="0" w:after="20"/>
            </w:pPr>
            <w:r>
              <w:rPr>
                <w:rFonts w:ascii="Aptos" w:hAnsi="Aptos"/>
                <w:sz w:val="16"/>
              </w:rPr>
              <w:t>Temporal-audit synthesis</w:t>
            </w:r>
          </w:p>
        </w:tc>
        <w:tc>
          <w:tcPr>
            <w:tcW w:type="dxa" w:w="4176"/>
            <w:vAlign w:val="center"/>
            <w:tcMar>
              <w:top w:w="90" w:type="dxa"/>
              <w:start w:w="110" w:type="dxa"/>
              <w:bottom w:w="90" w:type="dxa"/>
              <w:end w:w="110" w:type="dxa"/>
            </w:tcMar>
          </w:tcPr>
          <w:p>
            <w:pPr>
              <w:spacing w:before="0" w:after="20"/>
            </w:pPr>
            <w:r>
              <w:rPr>
                <w:rFonts w:ascii="Aptos" w:hAnsi="Aptos"/>
                <w:sz w:val="16"/>
              </w:rPr>
              <w:t>Candidate start/end space narrowed</w:t>
            </w:r>
          </w:p>
        </w:tc>
      </w:tr>
      <w:tr>
        <w:tc>
          <w:tcPr>
            <w:tcW w:type="dxa" w:w="1080"/>
            <w:vAlign w:val="center"/>
            <w:tcMar>
              <w:top w:w="90" w:type="dxa"/>
              <w:start w:w="110" w:type="dxa"/>
              <w:bottom w:w="90" w:type="dxa"/>
              <w:end w:w="110" w:type="dxa"/>
            </w:tcMar>
          </w:tcPr>
          <w:p>
            <w:pPr>
              <w:spacing w:before="0" w:after="20"/>
            </w:pPr>
            <w:r>
              <w:rPr>
                <w:rFonts w:ascii="Aptos" w:hAnsi="Aptos"/>
                <w:sz w:val="16"/>
              </w:rPr>
              <w:t>2.2.1</w:t>
            </w:r>
          </w:p>
        </w:tc>
        <w:tc>
          <w:tcPr>
            <w:tcW w:type="dxa" w:w="3312"/>
            <w:vAlign w:val="center"/>
            <w:tcMar>
              <w:top w:w="90" w:type="dxa"/>
              <w:start w:w="110" w:type="dxa"/>
              <w:bottom w:w="90" w:type="dxa"/>
              <w:end w:w="110" w:type="dxa"/>
            </w:tcMar>
          </w:tcPr>
          <w:p>
            <w:pPr>
              <w:spacing w:before="0" w:after="20"/>
            </w:pPr>
            <w:r>
              <w:rPr>
                <w:rFonts w:ascii="Aptos" w:hAnsi="Aptos"/>
                <w:sz w:val="16"/>
              </w:rPr>
              <w:t>Exact ITRS paper audit</w:t>
            </w:r>
          </w:p>
        </w:tc>
        <w:tc>
          <w:tcPr>
            <w:tcW w:type="dxa" w:w="4176"/>
            <w:vAlign w:val="center"/>
            <w:tcMar>
              <w:top w:w="90" w:type="dxa"/>
              <w:start w:w="110" w:type="dxa"/>
              <w:bottom w:w="90" w:type="dxa"/>
              <w:end w:w="110" w:type="dxa"/>
            </w:tcMar>
          </w:tcPr>
          <w:p>
            <w:pPr>
              <w:spacing w:before="0" w:after="20"/>
            </w:pPr>
            <w:r>
              <w:rPr>
                <w:rFonts w:ascii="Aptos" w:hAnsi="Aptos"/>
                <w:sz w:val="16"/>
              </w:rPr>
              <w:t>t=60 means 3 months; 15-year horizon; older events -&gt; T0</w:t>
            </w:r>
          </w:p>
        </w:tc>
      </w:tr>
      <w:tr>
        <w:tc>
          <w:tcPr>
            <w:tcW w:type="dxa" w:w="1080"/>
            <w:vAlign w:val="center"/>
            <w:tcMar>
              <w:top w:w="90" w:type="dxa"/>
              <w:start w:w="110" w:type="dxa"/>
              <w:bottom w:w="90" w:type="dxa"/>
              <w:end w:w="110" w:type="dxa"/>
            </w:tcMar>
          </w:tcPr>
          <w:p>
            <w:pPr>
              <w:spacing w:before="0" w:after="20"/>
            </w:pPr>
            <w:r>
              <w:rPr>
                <w:rFonts w:ascii="Aptos" w:hAnsi="Aptos"/>
                <w:sz w:val="16"/>
              </w:rPr>
              <w:t>2.2.2</w:t>
            </w:r>
          </w:p>
        </w:tc>
        <w:tc>
          <w:tcPr>
            <w:tcW w:type="dxa" w:w="3312"/>
            <w:vAlign w:val="center"/>
            <w:tcMar>
              <w:top w:w="90" w:type="dxa"/>
              <w:start w:w="110" w:type="dxa"/>
              <w:bottom w:w="90" w:type="dxa"/>
              <w:end w:w="110" w:type="dxa"/>
            </w:tcMar>
          </w:tcPr>
          <w:p>
            <w:pPr>
              <w:spacing w:before="0" w:after="20"/>
            </w:pPr>
            <w:r>
              <w:rPr>
                <w:rFonts w:ascii="Aptos" w:hAnsi="Aptos"/>
                <w:sz w:val="16"/>
              </w:rPr>
              <w:t>Compatible-window comparison</w:t>
            </w:r>
          </w:p>
        </w:tc>
        <w:tc>
          <w:tcPr>
            <w:tcW w:type="dxa" w:w="4176"/>
            <w:vAlign w:val="center"/>
            <w:tcMar>
              <w:top w:w="90" w:type="dxa"/>
              <w:start w:w="110" w:type="dxa"/>
              <w:bottom w:w="90" w:type="dxa"/>
              <w:end w:w="110" w:type="dxa"/>
            </w:tcMar>
          </w:tcPr>
          <w:p>
            <w:pPr>
              <w:spacing w:before="0" w:after="20"/>
            </w:pPr>
            <w:r>
              <w:rPr>
                <w:rFonts w:ascii="Aptos" w:hAnsi="Aptos"/>
                <w:sz w:val="16"/>
              </w:rPr>
              <w:t>March 2026 best balance and quarter alignment</w:t>
            </w:r>
          </w:p>
        </w:tc>
      </w:tr>
      <w:tr>
        <w:tc>
          <w:tcPr>
            <w:tcW w:type="dxa" w:w="1080"/>
            <w:vAlign w:val="center"/>
            <w:tcMar>
              <w:top w:w="90" w:type="dxa"/>
              <w:start w:w="110" w:type="dxa"/>
              <w:bottom w:w="90" w:type="dxa"/>
              <w:end w:w="110" w:type="dxa"/>
            </w:tcMar>
          </w:tcPr>
          <w:p>
            <w:pPr>
              <w:spacing w:before="0" w:after="20"/>
            </w:pPr>
            <w:r>
              <w:rPr>
                <w:rFonts w:ascii="Aptos" w:hAnsi="Aptos"/>
                <w:sz w:val="16"/>
              </w:rPr>
              <w:t>2.2.3</w:t>
            </w:r>
          </w:p>
        </w:tc>
        <w:tc>
          <w:tcPr>
            <w:tcW w:type="dxa" w:w="3312"/>
            <w:vAlign w:val="center"/>
            <w:tcMar>
              <w:top w:w="90" w:type="dxa"/>
              <w:start w:w="110" w:type="dxa"/>
              <w:bottom w:w="90" w:type="dxa"/>
              <w:end w:w="110" w:type="dxa"/>
            </w:tcMar>
          </w:tcPr>
          <w:p>
            <w:pPr>
              <w:spacing w:before="0" w:after="20"/>
            </w:pPr>
            <w:r>
              <w:rPr>
                <w:rFonts w:ascii="Aptos" w:hAnsi="Aptos"/>
                <w:sz w:val="16"/>
              </w:rPr>
              <w:t>Window decision</w:t>
            </w:r>
          </w:p>
        </w:tc>
        <w:tc>
          <w:tcPr>
            <w:tcW w:type="dxa" w:w="4176"/>
            <w:vAlign w:val="center"/>
            <w:tcMar>
              <w:top w:w="90" w:type="dxa"/>
              <w:start w:w="110" w:type="dxa"/>
              <w:bottom w:w="90" w:type="dxa"/>
              <w:end w:w="110" w:type="dxa"/>
            </w:tcMar>
          </w:tcPr>
          <w:p>
            <w:pPr>
              <w:spacing w:before="0" w:after="20"/>
            </w:pPr>
            <w:r>
              <w:rPr>
                <w:rFonts w:ascii="Aptos" w:hAnsi="Aptos"/>
                <w:sz w:val="16"/>
              </w:rPr>
              <w:t>T0 &lt;= 2011-03-31; T1-T60 through 2026-03-31</w:t>
            </w:r>
          </w:p>
        </w:tc>
      </w:tr>
      <w:tr>
        <w:tc>
          <w:tcPr>
            <w:tcW w:type="dxa" w:w="1080"/>
            <w:vAlign w:val="center"/>
            <w:tcMar>
              <w:top w:w="90" w:type="dxa"/>
              <w:start w:w="110" w:type="dxa"/>
              <w:bottom w:w="90" w:type="dxa"/>
              <w:end w:w="110" w:type="dxa"/>
            </w:tcMar>
          </w:tcPr>
          <w:p>
            <w:pPr>
              <w:spacing w:before="0" w:after="20"/>
            </w:pPr>
            <w:r>
              <w:rPr>
                <w:rFonts w:ascii="Aptos" w:hAnsi="Aptos"/>
                <w:sz w:val="16"/>
              </w:rPr>
              <w:t>2.3.1</w:t>
            </w:r>
          </w:p>
        </w:tc>
        <w:tc>
          <w:tcPr>
            <w:tcW w:type="dxa" w:w="3312"/>
            <w:vAlign w:val="center"/>
            <w:tcMar>
              <w:top w:w="90" w:type="dxa"/>
              <w:start w:w="110" w:type="dxa"/>
              <w:bottom w:w="90" w:type="dxa"/>
              <w:end w:w="110" w:type="dxa"/>
            </w:tcMar>
          </w:tcPr>
          <w:p>
            <w:pPr>
              <w:spacing w:before="0" w:after="20"/>
            </w:pPr>
            <w:r>
              <w:rPr>
                <w:rFonts w:ascii="Aptos" w:hAnsi="Aptos"/>
                <w:sz w:val="16"/>
              </w:rPr>
              <w:t>Temporal layer materialization</w:t>
            </w:r>
          </w:p>
        </w:tc>
        <w:tc>
          <w:tcPr>
            <w:tcW w:type="dxa" w:w="4176"/>
            <w:vAlign w:val="center"/>
            <w:tcMar>
              <w:top w:w="90" w:type="dxa"/>
              <w:start w:w="110" w:type="dxa"/>
              <w:bottom w:w="90" w:type="dxa"/>
              <w:end w:w="110" w:type="dxa"/>
            </w:tcMar>
          </w:tcPr>
          <w:p>
            <w:pPr>
              <w:spacing w:before="0" w:after="20"/>
            </w:pPr>
            <w:r>
              <w:rPr>
                <w:rFonts w:ascii="Aptos" w:hAnsi="Aptos"/>
                <w:sz w:val="16"/>
              </w:rPr>
              <w:t>1,195,937 eligible events assigned to T0-T60</w:t>
            </w:r>
          </w:p>
        </w:tc>
      </w:tr>
      <w:tr>
        <w:tc>
          <w:tcPr>
            <w:tcW w:type="dxa" w:w="1080"/>
            <w:vAlign w:val="center"/>
            <w:tcMar>
              <w:top w:w="90" w:type="dxa"/>
              <w:start w:w="110" w:type="dxa"/>
              <w:bottom w:w="90" w:type="dxa"/>
              <w:end w:w="110" w:type="dxa"/>
            </w:tcMar>
          </w:tcPr>
          <w:p>
            <w:pPr>
              <w:spacing w:before="0" w:after="20"/>
            </w:pPr>
            <w:r>
              <w:rPr>
                <w:rFonts w:ascii="Aptos" w:hAnsi="Aptos"/>
                <w:sz w:val="16"/>
              </w:rPr>
              <w:t>2.3.2</w:t>
            </w:r>
          </w:p>
        </w:tc>
        <w:tc>
          <w:tcPr>
            <w:tcW w:type="dxa" w:w="3312"/>
            <w:vAlign w:val="center"/>
            <w:tcMar>
              <w:top w:w="90" w:type="dxa"/>
              <w:start w:w="110" w:type="dxa"/>
              <w:bottom w:w="90" w:type="dxa"/>
              <w:end w:w="110" w:type="dxa"/>
            </w:tcMar>
          </w:tcPr>
          <w:p>
            <w:pPr>
              <w:spacing w:before="0" w:after="20"/>
            </w:pPr>
            <w:r>
              <w:rPr>
                <w:rFonts w:ascii="Aptos" w:hAnsi="Aptos"/>
                <w:sz w:val="16"/>
              </w:rPr>
              <w:t>T60 cold-start/pair novelty</w:t>
            </w:r>
          </w:p>
        </w:tc>
        <w:tc>
          <w:tcPr>
            <w:tcW w:type="dxa" w:w="4176"/>
            <w:vAlign w:val="center"/>
            <w:tcMar>
              <w:top w:w="90" w:type="dxa"/>
              <w:start w:w="110" w:type="dxa"/>
              <w:bottom w:w="90" w:type="dxa"/>
              <w:end w:w="110" w:type="dxa"/>
            </w:tcMar>
          </w:tcPr>
          <w:p>
            <w:pPr>
              <w:spacing w:before="0" w:after="20"/>
            </w:pPr>
            <w:r>
              <w:rPr>
                <w:rFonts w:ascii="Aptos" w:hAnsi="Aptos"/>
                <w:sz w:val="16"/>
              </w:rPr>
              <w:t>Cold-start and repeat-pair structure quantified</w:t>
            </w:r>
          </w:p>
        </w:tc>
      </w:tr>
      <w:tr>
        <w:tc>
          <w:tcPr>
            <w:tcW w:type="dxa" w:w="1080"/>
            <w:vAlign w:val="center"/>
            <w:tcMar>
              <w:top w:w="90" w:type="dxa"/>
              <w:start w:w="110" w:type="dxa"/>
              <w:bottom w:w="90" w:type="dxa"/>
              <w:end w:w="110" w:type="dxa"/>
            </w:tcMar>
          </w:tcPr>
          <w:p>
            <w:pPr>
              <w:spacing w:before="0" w:after="20"/>
            </w:pPr>
            <w:r>
              <w:rPr>
                <w:rFonts w:ascii="Aptos" w:hAnsi="Aptos"/>
                <w:sz w:val="16"/>
              </w:rPr>
              <w:t>2.3.3</w:t>
            </w:r>
          </w:p>
        </w:tc>
        <w:tc>
          <w:tcPr>
            <w:tcW w:type="dxa" w:w="3312"/>
            <w:vAlign w:val="center"/>
            <w:tcMar>
              <w:top w:w="90" w:type="dxa"/>
              <w:start w:w="110" w:type="dxa"/>
              <w:bottom w:w="90" w:type="dxa"/>
              <w:end w:w="110" w:type="dxa"/>
            </w:tcMar>
          </w:tcPr>
          <w:p>
            <w:pPr>
              <w:spacing w:before="0" w:after="20"/>
            </w:pPr>
            <w:r>
              <w:rPr>
                <w:rFonts w:ascii="Aptos" w:hAnsi="Aptos"/>
                <w:sz w:val="16"/>
              </w:rPr>
              <w:t>Validation/test split</w:t>
            </w:r>
          </w:p>
        </w:tc>
        <w:tc>
          <w:tcPr>
            <w:tcW w:type="dxa" w:w="4176"/>
            <w:vAlign w:val="center"/>
            <w:tcMar>
              <w:top w:w="90" w:type="dxa"/>
              <w:start w:w="110" w:type="dxa"/>
              <w:bottom w:w="90" w:type="dxa"/>
              <w:end w:w="110" w:type="dxa"/>
            </w:tcMar>
          </w:tcPr>
          <w:p>
            <w:pPr>
              <w:spacing w:before="0" w:after="20"/>
            </w:pPr>
            <w:r>
              <w:rPr>
                <w:rFonts w:ascii="Aptos" w:hAnsi="Aptos"/>
                <w:sz w:val="16"/>
              </w:rPr>
              <w:t>2,251 validation; 20,264 test; seed 42</w:t>
            </w:r>
          </w:p>
        </w:tc>
      </w:tr>
      <w:tr>
        <w:tc>
          <w:tcPr>
            <w:tcW w:type="dxa" w:w="1080"/>
            <w:vAlign w:val="center"/>
            <w:tcMar>
              <w:top w:w="90" w:type="dxa"/>
              <w:start w:w="110" w:type="dxa"/>
              <w:bottom w:w="90" w:type="dxa"/>
              <w:end w:w="110" w:type="dxa"/>
            </w:tcMar>
          </w:tcPr>
          <w:p>
            <w:pPr>
              <w:spacing w:before="0" w:after="20"/>
            </w:pPr>
            <w:r>
              <w:rPr>
                <w:rFonts w:ascii="Aptos" w:hAnsi="Aptos"/>
                <w:sz w:val="16"/>
              </w:rPr>
              <w:t>2.3.4</w:t>
            </w:r>
          </w:p>
        </w:tc>
        <w:tc>
          <w:tcPr>
            <w:tcW w:type="dxa" w:w="3312"/>
            <w:vAlign w:val="center"/>
            <w:tcMar>
              <w:top w:w="90" w:type="dxa"/>
              <w:start w:w="110" w:type="dxa"/>
              <w:bottom w:w="90" w:type="dxa"/>
              <w:end w:w="110" w:type="dxa"/>
            </w:tcMar>
          </w:tcPr>
          <w:p>
            <w:pPr>
              <w:spacing w:before="0" w:after="20"/>
            </w:pPr>
            <w:r>
              <w:rPr>
                <w:rFonts w:ascii="Aptos" w:hAnsi="Aptos"/>
                <w:sz w:val="16"/>
              </w:rPr>
              <w:t>Final integrity audit</w:t>
            </w:r>
          </w:p>
        </w:tc>
        <w:tc>
          <w:tcPr>
            <w:tcW w:type="dxa" w:w="4176"/>
            <w:vAlign w:val="center"/>
            <w:tcMar>
              <w:top w:w="90" w:type="dxa"/>
              <w:start w:w="110" w:type="dxa"/>
              <w:bottom w:w="90" w:type="dxa"/>
              <w:end w:w="110" w:type="dxa"/>
            </w:tcMar>
          </w:tcPr>
          <w:p>
            <w:pPr>
              <w:spacing w:before="0" w:after="20"/>
            </w:pPr>
            <w:r>
              <w:rPr>
                <w:rFonts w:ascii="Aptos" w:hAnsi="Aptos"/>
                <w:sz w:val="16"/>
              </w:rPr>
              <w:t>All checks PASS; final model-ready artifacts written</w:t>
            </w:r>
          </w:p>
        </w:tc>
      </w:tr>
    </w:tbl>
    <w:p>
      <w:pPr>
        <w:spacing w:after="0"/>
      </w:pPr>
    </w:p>
    <w:p>
      <w:pPr>
        <w:pStyle w:val="Heading1"/>
        <w:keepNext/>
      </w:pPr>
      <w:r>
        <w:t>4. Temporal Distribution and Data-Quality Findings</w:t>
      </w:r>
    </w:p>
    <w:p>
      <w:pPr>
        <w:pStyle w:val="Heading2"/>
        <w:keepNext/>
      </w:pPr>
      <w:r>
        <w:t>4.1 Temporal schema</w:t>
      </w:r>
    </w:p>
    <w:p>
      <w:pPr>
        <w:spacing w:after="80" w:line="252" w:lineRule="auto"/>
      </w:pPr>
      <w:r>
        <w:rPr>
          <w:i w:val="0"/>
        </w:rPr>
        <w:t>The canonical table contains one usable temporal candidate, announced_on. It is complete and 100% parseable in the canonical interaction layer, with an observed range from 1945-01-01 through 2026-06-01. It is used as an operational event-time field only; it is not interpreted as the exact legal closing date or as the date the event became available in Crunchbase.</w:t>
      </w:r>
    </w:p>
    <w:p>
      <w:pPr>
        <w:pStyle w:val="Heading2"/>
        <w:keepNext/>
      </w:pPr>
      <w:r>
        <w:t>4.2 Historical density</w:t>
      </w:r>
    </w:p>
    <w:p>
      <w:pPr>
        <w:spacing w:after="80" w:line="252" w:lineRule="auto"/>
      </w:pPr>
      <w:r>
        <w:rPr>
          <w:i w:val="0"/>
        </w:rPr>
        <w:t>Very early history is extremely sparse. The annual audit showed only isolated events across much of the pre-1990 period, followed by a major expansion around 1999-2000 and sustained modern growth after 2010. The monthly audit found 978 calendar months across the full range, of which 500 contain interactions and 478 contain none. The last zero-interaction month is 1993-07; however, simple nonzero continuity was explicitly rejected as sufficient evidence for a modeling cutoff.</w:t>
      </w:r>
    </w:p>
    <w:p>
      <w:pPr>
        <w:pStyle w:val="Heading2"/>
        <w:keepNext/>
      </w:pPr>
      <w:r>
        <w:t>4.3 Recent-period completeness and reporting maturity</w:t>
      </w:r>
    </w:p>
    <w:p>
      <w:pPr>
        <w:spacing w:after="80" w:line="252" w:lineRule="auto"/>
      </w:pPr>
      <w:r>
        <w:rPr>
          <w:i w:val="0"/>
        </w:rPr>
        <w:t>June 2026 is objectively calendar-incomplete: only 2026-06-01 is present. May 2026 contains events throughout the month and is therefore calendar-complete, but its database maturity cannot be established from the snapshot. The available funding export does not contain a created_at, updated_at, published_at, ingestion timestamp, or equivalent field that would allow actual reporting delay to be measured.</w:t>
      </w:r>
    </w:p>
    <w:tbl>
      <w:tblPr>
        <w:tblStyle w:val="TableGrid"/>
        <w:tblW w:type="auto" w:w="0"/>
        <w:jc w:val="center"/>
        <w:tblLook w:firstColumn="1" w:firstRow="1" w:lastColumn="0" w:lastRow="0" w:noHBand="0" w:noVBand="1" w:val="04A0"/>
      </w:tblPr>
      <w:tblGrid>
        <w:gridCol w:w="10166"/>
      </w:tblGrid>
      <w:tr>
        <w:tc>
          <w:tcPr>
            <w:tcW w:type="dxa" w:w="10166"/>
            <w:shd w:fill="FFF4E5"/>
            <w:tcMar>
              <w:top w:w="140" w:type="dxa"/>
              <w:start w:w="180" w:type="dxa"/>
              <w:bottom w:w="140" w:type="dxa"/>
              <w:end w:w="180" w:type="dxa"/>
            </w:tcMar>
          </w:tcPr>
          <w:p>
            <w:pPr>
              <w:spacing w:before="0" w:after="0"/>
            </w:pPr>
            <w:r>
              <w:rPr>
                <w:rFonts w:ascii="Aptos" w:hAnsi="Aptos"/>
                <w:b/>
                <w:sz w:val="20"/>
              </w:rPr>
              <w:t>Reporting-lag conclusion:</w:t>
            </w:r>
            <w:r>
              <w:rPr>
                <w:rFonts w:ascii="Aptos" w:hAnsi="Aptos"/>
                <w:sz w:val="20"/>
              </w:rPr>
              <w:t xml:space="preserve"> actual Crunchbase reporting lag cannot be directly estimated from this single snapshot. Endpoint buffers used in Phase 2 are hypothetical sensitivity scenarios, not estimates of a true lag distribution.</w:t>
            </w:r>
          </w:p>
        </w:tc>
      </w:tr>
    </w:tbl>
    <w:p>
      <w:pPr>
        <w:spacing w:after="0"/>
      </w:pPr>
    </w:p>
    <w:p>
      <w:pPr>
        <w:pStyle w:val="Heading1"/>
        <w:keepNext/>
      </w:pPr>
      <w:r>
        <w:t>5. Investor Sequence and Temporal-Depth Findings</w:t>
      </w:r>
    </w:p>
    <w:p>
      <w:pPr>
        <w:spacing w:after="80" w:line="252" w:lineRule="auto"/>
      </w:pPr>
      <w:r>
        <w:rPr>
          <w:i w:val="0"/>
        </w:rPr>
        <w:t>The canonical investor population is highly heavy-tailed. Across 165,975 investors, the median number of investment events is 1, the mean is approximately 7.28, and the maximum is 8,362. About 70.33% of investors have at most two events, while investors with richer histories account for a disproportionate share of interaction volume.</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1872"/>
            <w:vAlign w:val="center"/>
            <w:tcMar>
              <w:top w:w="90" w:type="dxa"/>
              <w:start w:w="110" w:type="dxa"/>
              <w:bottom w:w="90" w:type="dxa"/>
              <w:end w:w="110" w:type="dxa"/>
            </w:tcMar>
            <w:shd w:fill="D9E2F3"/>
          </w:tcPr>
          <w:p>
            <w:pPr>
              <w:spacing w:before="0" w:after="20"/>
            </w:pPr>
            <w:r>
              <w:rPr>
                <w:rFonts w:ascii="Aptos" w:hAnsi="Aptos"/>
                <w:b/>
                <w:color w:val="1F1F1F"/>
                <w:sz w:val="17"/>
              </w:rPr>
              <w:t>Sequence bucket</w:t>
            </w:r>
          </w:p>
        </w:tc>
        <w:tc>
          <w:tcPr>
            <w:tcW w:type="dxa" w:w="1728"/>
            <w:vAlign w:val="center"/>
            <w:tcMar>
              <w:top w:w="90" w:type="dxa"/>
              <w:start w:w="110" w:type="dxa"/>
              <w:bottom w:w="90" w:type="dxa"/>
              <w:end w:w="110" w:type="dxa"/>
            </w:tcMar>
            <w:shd w:fill="D9E2F3"/>
          </w:tcPr>
          <w:p>
            <w:pPr>
              <w:spacing w:before="0" w:after="20"/>
            </w:pPr>
            <w:r>
              <w:rPr>
                <w:rFonts w:ascii="Aptos" w:hAnsi="Aptos"/>
                <w:b/>
                <w:color w:val="1F1F1F"/>
                <w:sz w:val="17"/>
              </w:rPr>
              <w:t>Investors</w:t>
            </w:r>
          </w:p>
        </w:tc>
        <w:tc>
          <w:tcPr>
            <w:tcW w:type="dxa" w:w="1728"/>
            <w:vAlign w:val="center"/>
            <w:tcMar>
              <w:top w:w="90" w:type="dxa"/>
              <w:start w:w="110" w:type="dxa"/>
              <w:bottom w:w="90" w:type="dxa"/>
              <w:end w:w="110" w:type="dxa"/>
            </w:tcMar>
            <w:shd w:fill="D9E2F3"/>
          </w:tcPr>
          <w:p>
            <w:pPr>
              <w:spacing w:before="0" w:after="20"/>
            </w:pPr>
            <w:r>
              <w:rPr>
                <w:rFonts w:ascii="Aptos" w:hAnsi="Aptos"/>
                <w:b/>
                <w:color w:val="1F1F1F"/>
                <w:sz w:val="17"/>
              </w:rPr>
              <w:t>Investor share</w:t>
            </w:r>
          </w:p>
        </w:tc>
        <w:tc>
          <w:tcPr>
            <w:tcW w:type="dxa" w:w="1872"/>
            <w:vAlign w:val="center"/>
            <w:tcMar>
              <w:top w:w="90" w:type="dxa"/>
              <w:start w:w="110" w:type="dxa"/>
              <w:bottom w:w="90" w:type="dxa"/>
              <w:end w:w="110" w:type="dxa"/>
            </w:tcMar>
            <w:shd w:fill="D9E2F3"/>
          </w:tcPr>
          <w:p>
            <w:pPr>
              <w:spacing w:before="0" w:after="20"/>
            </w:pPr>
            <w:r>
              <w:rPr>
                <w:rFonts w:ascii="Aptos" w:hAnsi="Aptos"/>
                <w:b/>
                <w:color w:val="1F1F1F"/>
                <w:sz w:val="17"/>
              </w:rPr>
              <w:t>Interaction share</w:t>
            </w:r>
          </w:p>
        </w:tc>
      </w:tr>
      <w:tr>
        <w:tc>
          <w:tcPr>
            <w:tcW w:type="dxa" w:w="1872"/>
            <w:vAlign w:val="center"/>
            <w:tcMar>
              <w:top w:w="90" w:type="dxa"/>
              <w:start w:w="110" w:type="dxa"/>
              <w:bottom w:w="90" w:type="dxa"/>
              <w:end w:w="110" w:type="dxa"/>
            </w:tcMar>
          </w:tcPr>
          <w:p>
            <w:pPr>
              <w:spacing w:before="0" w:after="20"/>
            </w:pPr>
            <w:r>
              <w:rPr>
                <w:rFonts w:ascii="Aptos" w:hAnsi="Aptos"/>
                <w:sz w:val="17"/>
              </w:rPr>
              <w:t>1 event</w:t>
            </w:r>
          </w:p>
        </w:tc>
        <w:tc>
          <w:tcPr>
            <w:tcW w:type="dxa" w:w="1728"/>
            <w:vAlign w:val="center"/>
            <w:tcMar>
              <w:top w:w="90" w:type="dxa"/>
              <w:start w:w="110" w:type="dxa"/>
              <w:bottom w:w="90" w:type="dxa"/>
              <w:end w:w="110" w:type="dxa"/>
            </w:tcMar>
          </w:tcPr>
          <w:p>
            <w:pPr>
              <w:spacing w:before="0" w:after="20"/>
            </w:pPr>
            <w:r>
              <w:rPr>
                <w:rFonts w:ascii="Aptos" w:hAnsi="Aptos"/>
                <w:sz w:val="17"/>
              </w:rPr>
              <w:t>93,854</w:t>
            </w:r>
          </w:p>
        </w:tc>
        <w:tc>
          <w:tcPr>
            <w:tcW w:type="dxa" w:w="1728"/>
            <w:vAlign w:val="center"/>
            <w:tcMar>
              <w:top w:w="90" w:type="dxa"/>
              <w:start w:w="110" w:type="dxa"/>
              <w:bottom w:w="90" w:type="dxa"/>
              <w:end w:w="110" w:type="dxa"/>
            </w:tcMar>
          </w:tcPr>
          <w:p>
            <w:pPr>
              <w:spacing w:before="0" w:after="20"/>
            </w:pPr>
            <w:r>
              <w:rPr>
                <w:rFonts w:ascii="Aptos" w:hAnsi="Aptos"/>
                <w:sz w:val="17"/>
              </w:rPr>
              <w:t>56.55%</w:t>
            </w:r>
          </w:p>
        </w:tc>
        <w:tc>
          <w:tcPr>
            <w:tcW w:type="dxa" w:w="1872"/>
            <w:vAlign w:val="center"/>
            <w:tcMar>
              <w:top w:w="90" w:type="dxa"/>
              <w:start w:w="110" w:type="dxa"/>
              <w:bottom w:w="90" w:type="dxa"/>
              <w:end w:w="110" w:type="dxa"/>
            </w:tcMar>
          </w:tcPr>
          <w:p>
            <w:pPr>
              <w:spacing w:before="0" w:after="20"/>
            </w:pPr>
            <w:r>
              <w:rPr>
                <w:rFonts w:ascii="Aptos" w:hAnsi="Aptos"/>
                <w:sz w:val="17"/>
              </w:rPr>
              <w:t>7.77%</w:t>
            </w:r>
          </w:p>
        </w:tc>
      </w:tr>
      <w:tr>
        <w:tc>
          <w:tcPr>
            <w:tcW w:type="dxa" w:w="1872"/>
            <w:vAlign w:val="center"/>
            <w:tcMar>
              <w:top w:w="90" w:type="dxa"/>
              <w:start w:w="110" w:type="dxa"/>
              <w:bottom w:w="90" w:type="dxa"/>
              <w:end w:w="110" w:type="dxa"/>
            </w:tcMar>
          </w:tcPr>
          <w:p>
            <w:pPr>
              <w:spacing w:before="0" w:after="20"/>
            </w:pPr>
            <w:r>
              <w:rPr>
                <w:rFonts w:ascii="Aptos" w:hAnsi="Aptos"/>
                <w:sz w:val="17"/>
              </w:rPr>
              <w:t>2 events</w:t>
            </w:r>
          </w:p>
        </w:tc>
        <w:tc>
          <w:tcPr>
            <w:tcW w:type="dxa" w:w="1728"/>
            <w:vAlign w:val="center"/>
            <w:tcMar>
              <w:top w:w="90" w:type="dxa"/>
              <w:start w:w="110" w:type="dxa"/>
              <w:bottom w:w="90" w:type="dxa"/>
              <w:end w:w="110" w:type="dxa"/>
            </w:tcMar>
          </w:tcPr>
          <w:p>
            <w:pPr>
              <w:spacing w:before="0" w:after="20"/>
            </w:pPr>
            <w:r>
              <w:rPr>
                <w:rFonts w:ascii="Aptos" w:hAnsi="Aptos"/>
                <w:sz w:val="17"/>
              </w:rPr>
              <w:t>22,871</w:t>
            </w:r>
          </w:p>
        </w:tc>
        <w:tc>
          <w:tcPr>
            <w:tcW w:type="dxa" w:w="1728"/>
            <w:vAlign w:val="center"/>
            <w:tcMar>
              <w:top w:w="90" w:type="dxa"/>
              <w:start w:w="110" w:type="dxa"/>
              <w:bottom w:w="90" w:type="dxa"/>
              <w:end w:w="110" w:type="dxa"/>
            </w:tcMar>
          </w:tcPr>
          <w:p>
            <w:pPr>
              <w:spacing w:before="0" w:after="20"/>
            </w:pPr>
            <w:r>
              <w:rPr>
                <w:rFonts w:ascii="Aptos" w:hAnsi="Aptos"/>
                <w:sz w:val="17"/>
              </w:rPr>
              <w:t>13.78%</w:t>
            </w:r>
          </w:p>
        </w:tc>
        <w:tc>
          <w:tcPr>
            <w:tcW w:type="dxa" w:w="1872"/>
            <w:vAlign w:val="center"/>
            <w:tcMar>
              <w:top w:w="90" w:type="dxa"/>
              <w:start w:w="110" w:type="dxa"/>
              <w:bottom w:w="90" w:type="dxa"/>
              <w:end w:w="110" w:type="dxa"/>
            </w:tcMar>
          </w:tcPr>
          <w:p>
            <w:pPr>
              <w:spacing w:before="0" w:after="20"/>
            </w:pPr>
            <w:r>
              <w:rPr>
                <w:rFonts w:ascii="Aptos" w:hAnsi="Aptos"/>
                <w:sz w:val="17"/>
              </w:rPr>
              <w:t>3.79%</w:t>
            </w:r>
          </w:p>
        </w:tc>
      </w:tr>
      <w:tr>
        <w:tc>
          <w:tcPr>
            <w:tcW w:type="dxa" w:w="1872"/>
            <w:vAlign w:val="center"/>
            <w:tcMar>
              <w:top w:w="90" w:type="dxa"/>
              <w:start w:w="110" w:type="dxa"/>
              <w:bottom w:w="90" w:type="dxa"/>
              <w:end w:w="110" w:type="dxa"/>
            </w:tcMar>
          </w:tcPr>
          <w:p>
            <w:pPr>
              <w:spacing w:before="0" w:after="20"/>
            </w:pPr>
            <w:r>
              <w:rPr>
                <w:rFonts w:ascii="Aptos" w:hAnsi="Aptos"/>
                <w:sz w:val="17"/>
              </w:rPr>
              <w:t>3-5</w:t>
            </w:r>
          </w:p>
        </w:tc>
        <w:tc>
          <w:tcPr>
            <w:tcW w:type="dxa" w:w="1728"/>
            <w:vAlign w:val="center"/>
            <w:tcMar>
              <w:top w:w="90" w:type="dxa"/>
              <w:start w:w="110" w:type="dxa"/>
              <w:bottom w:w="90" w:type="dxa"/>
              <w:end w:w="110" w:type="dxa"/>
            </w:tcMar>
          </w:tcPr>
          <w:p>
            <w:pPr>
              <w:spacing w:before="0" w:after="20"/>
            </w:pPr>
            <w:r>
              <w:rPr>
                <w:rFonts w:ascii="Aptos" w:hAnsi="Aptos"/>
                <w:sz w:val="17"/>
              </w:rPr>
              <w:t>20,919</w:t>
            </w:r>
          </w:p>
        </w:tc>
        <w:tc>
          <w:tcPr>
            <w:tcW w:type="dxa" w:w="1728"/>
            <w:vAlign w:val="center"/>
            <w:tcMar>
              <w:top w:w="90" w:type="dxa"/>
              <w:start w:w="110" w:type="dxa"/>
              <w:bottom w:w="90" w:type="dxa"/>
              <w:end w:w="110" w:type="dxa"/>
            </w:tcMar>
          </w:tcPr>
          <w:p>
            <w:pPr>
              <w:spacing w:before="0" w:after="20"/>
            </w:pPr>
            <w:r>
              <w:rPr>
                <w:rFonts w:ascii="Aptos" w:hAnsi="Aptos"/>
                <w:sz w:val="17"/>
              </w:rPr>
              <w:t>12.60%</w:t>
            </w:r>
          </w:p>
        </w:tc>
        <w:tc>
          <w:tcPr>
            <w:tcW w:type="dxa" w:w="1872"/>
            <w:vAlign w:val="center"/>
            <w:tcMar>
              <w:top w:w="90" w:type="dxa"/>
              <w:start w:w="110" w:type="dxa"/>
              <w:bottom w:w="90" w:type="dxa"/>
              <w:end w:w="110" w:type="dxa"/>
            </w:tcMar>
          </w:tcPr>
          <w:p>
            <w:pPr>
              <w:spacing w:before="0" w:after="20"/>
            </w:pPr>
            <w:r>
              <w:rPr>
                <w:rFonts w:ascii="Aptos" w:hAnsi="Aptos"/>
                <w:sz w:val="17"/>
              </w:rPr>
              <w:t>6.41%</w:t>
            </w:r>
          </w:p>
        </w:tc>
      </w:tr>
      <w:tr>
        <w:tc>
          <w:tcPr>
            <w:tcW w:type="dxa" w:w="1872"/>
            <w:vAlign w:val="center"/>
            <w:tcMar>
              <w:top w:w="90" w:type="dxa"/>
              <w:start w:w="110" w:type="dxa"/>
              <w:bottom w:w="90" w:type="dxa"/>
              <w:end w:w="110" w:type="dxa"/>
            </w:tcMar>
          </w:tcPr>
          <w:p>
            <w:pPr>
              <w:spacing w:before="0" w:after="20"/>
            </w:pPr>
            <w:r>
              <w:rPr>
                <w:rFonts w:ascii="Aptos" w:hAnsi="Aptos"/>
                <w:sz w:val="17"/>
              </w:rPr>
              <w:t>6-10</w:t>
            </w:r>
          </w:p>
        </w:tc>
        <w:tc>
          <w:tcPr>
            <w:tcW w:type="dxa" w:w="1728"/>
            <w:vAlign w:val="center"/>
            <w:tcMar>
              <w:top w:w="90" w:type="dxa"/>
              <w:start w:w="110" w:type="dxa"/>
              <w:bottom w:w="90" w:type="dxa"/>
              <w:end w:w="110" w:type="dxa"/>
            </w:tcMar>
          </w:tcPr>
          <w:p>
            <w:pPr>
              <w:spacing w:before="0" w:after="20"/>
            </w:pPr>
            <w:r>
              <w:rPr>
                <w:rFonts w:ascii="Aptos" w:hAnsi="Aptos"/>
                <w:sz w:val="17"/>
              </w:rPr>
              <w:t>10,747</w:t>
            </w:r>
          </w:p>
        </w:tc>
        <w:tc>
          <w:tcPr>
            <w:tcW w:type="dxa" w:w="1728"/>
            <w:vAlign w:val="center"/>
            <w:tcMar>
              <w:top w:w="90" w:type="dxa"/>
              <w:start w:w="110" w:type="dxa"/>
              <w:bottom w:w="90" w:type="dxa"/>
              <w:end w:w="110" w:type="dxa"/>
            </w:tcMar>
          </w:tcPr>
          <w:p>
            <w:pPr>
              <w:spacing w:before="0" w:after="20"/>
            </w:pPr>
            <w:r>
              <w:rPr>
                <w:rFonts w:ascii="Aptos" w:hAnsi="Aptos"/>
                <w:sz w:val="17"/>
              </w:rPr>
              <w:t>6.48%</w:t>
            </w:r>
          </w:p>
        </w:tc>
        <w:tc>
          <w:tcPr>
            <w:tcW w:type="dxa" w:w="1872"/>
            <w:vAlign w:val="center"/>
            <w:tcMar>
              <w:top w:w="90" w:type="dxa"/>
              <w:start w:w="110" w:type="dxa"/>
              <w:bottom w:w="90" w:type="dxa"/>
              <w:end w:w="110" w:type="dxa"/>
            </w:tcMar>
          </w:tcPr>
          <w:p>
            <w:pPr>
              <w:spacing w:before="0" w:after="20"/>
            </w:pPr>
            <w:r>
              <w:rPr>
                <w:rFonts w:ascii="Aptos" w:hAnsi="Aptos"/>
                <w:sz w:val="17"/>
              </w:rPr>
              <w:t>6.75%</w:t>
            </w:r>
          </w:p>
        </w:tc>
      </w:tr>
      <w:tr>
        <w:tc>
          <w:tcPr>
            <w:tcW w:type="dxa" w:w="1872"/>
            <w:vAlign w:val="center"/>
            <w:tcMar>
              <w:top w:w="90" w:type="dxa"/>
              <w:start w:w="110" w:type="dxa"/>
              <w:bottom w:w="90" w:type="dxa"/>
              <w:end w:w="110" w:type="dxa"/>
            </w:tcMar>
          </w:tcPr>
          <w:p>
            <w:pPr>
              <w:spacing w:before="0" w:after="20"/>
            </w:pPr>
            <w:r>
              <w:rPr>
                <w:rFonts w:ascii="Aptos" w:hAnsi="Aptos"/>
                <w:sz w:val="17"/>
              </w:rPr>
              <w:t>11-20</w:t>
            </w:r>
          </w:p>
        </w:tc>
        <w:tc>
          <w:tcPr>
            <w:tcW w:type="dxa" w:w="1728"/>
            <w:vAlign w:val="center"/>
            <w:tcMar>
              <w:top w:w="90" w:type="dxa"/>
              <w:start w:w="110" w:type="dxa"/>
              <w:bottom w:w="90" w:type="dxa"/>
              <w:end w:w="110" w:type="dxa"/>
            </w:tcMar>
          </w:tcPr>
          <w:p>
            <w:pPr>
              <w:spacing w:before="0" w:after="20"/>
            </w:pPr>
            <w:r>
              <w:rPr>
                <w:rFonts w:ascii="Aptos" w:hAnsi="Aptos"/>
                <w:sz w:val="17"/>
              </w:rPr>
              <w:t>7,468</w:t>
            </w:r>
          </w:p>
        </w:tc>
        <w:tc>
          <w:tcPr>
            <w:tcW w:type="dxa" w:w="1728"/>
            <w:vAlign w:val="center"/>
            <w:tcMar>
              <w:top w:w="90" w:type="dxa"/>
              <w:start w:w="110" w:type="dxa"/>
              <w:bottom w:w="90" w:type="dxa"/>
              <w:end w:w="110" w:type="dxa"/>
            </w:tcMar>
          </w:tcPr>
          <w:p>
            <w:pPr>
              <w:spacing w:before="0" w:after="20"/>
            </w:pPr>
            <w:r>
              <w:rPr>
                <w:rFonts w:ascii="Aptos" w:hAnsi="Aptos"/>
                <w:sz w:val="17"/>
              </w:rPr>
              <w:t>4.50%</w:t>
            </w:r>
          </w:p>
        </w:tc>
        <w:tc>
          <w:tcPr>
            <w:tcW w:type="dxa" w:w="1872"/>
            <w:vAlign w:val="center"/>
            <w:tcMar>
              <w:top w:w="90" w:type="dxa"/>
              <w:start w:w="110" w:type="dxa"/>
              <w:bottom w:w="90" w:type="dxa"/>
              <w:end w:w="110" w:type="dxa"/>
            </w:tcMar>
          </w:tcPr>
          <w:p>
            <w:pPr>
              <w:spacing w:before="0" w:after="20"/>
            </w:pPr>
            <w:r>
              <w:rPr>
                <w:rFonts w:ascii="Aptos" w:hAnsi="Aptos"/>
                <w:sz w:val="17"/>
              </w:rPr>
              <w:t>9.06%</w:t>
            </w:r>
          </w:p>
        </w:tc>
      </w:tr>
      <w:tr>
        <w:tc>
          <w:tcPr>
            <w:tcW w:type="dxa" w:w="1872"/>
            <w:vAlign w:val="center"/>
            <w:tcMar>
              <w:top w:w="90" w:type="dxa"/>
              <w:start w:w="110" w:type="dxa"/>
              <w:bottom w:w="90" w:type="dxa"/>
              <w:end w:w="110" w:type="dxa"/>
            </w:tcMar>
          </w:tcPr>
          <w:p>
            <w:pPr>
              <w:spacing w:before="0" w:after="20"/>
            </w:pPr>
            <w:r>
              <w:rPr>
                <w:rFonts w:ascii="Aptos" w:hAnsi="Aptos"/>
                <w:sz w:val="17"/>
              </w:rPr>
              <w:t>21-50</w:t>
            </w:r>
          </w:p>
        </w:tc>
        <w:tc>
          <w:tcPr>
            <w:tcW w:type="dxa" w:w="1728"/>
            <w:vAlign w:val="center"/>
            <w:tcMar>
              <w:top w:w="90" w:type="dxa"/>
              <w:start w:w="110" w:type="dxa"/>
              <w:bottom w:w="90" w:type="dxa"/>
              <w:end w:w="110" w:type="dxa"/>
            </w:tcMar>
          </w:tcPr>
          <w:p>
            <w:pPr>
              <w:spacing w:before="0" w:after="20"/>
            </w:pPr>
            <w:r>
              <w:rPr>
                <w:rFonts w:ascii="Aptos" w:hAnsi="Aptos"/>
                <w:sz w:val="17"/>
              </w:rPr>
              <w:t>6,046</w:t>
            </w:r>
          </w:p>
        </w:tc>
        <w:tc>
          <w:tcPr>
            <w:tcW w:type="dxa" w:w="1728"/>
            <w:vAlign w:val="center"/>
            <w:tcMar>
              <w:top w:w="90" w:type="dxa"/>
              <w:start w:w="110" w:type="dxa"/>
              <w:bottom w:w="90" w:type="dxa"/>
              <w:end w:w="110" w:type="dxa"/>
            </w:tcMar>
          </w:tcPr>
          <w:p>
            <w:pPr>
              <w:spacing w:before="0" w:after="20"/>
            </w:pPr>
            <w:r>
              <w:rPr>
                <w:rFonts w:ascii="Aptos" w:hAnsi="Aptos"/>
                <w:sz w:val="17"/>
              </w:rPr>
              <w:t>3.64%</w:t>
            </w:r>
          </w:p>
        </w:tc>
        <w:tc>
          <w:tcPr>
            <w:tcW w:type="dxa" w:w="1872"/>
            <w:vAlign w:val="center"/>
            <w:tcMar>
              <w:top w:w="90" w:type="dxa"/>
              <w:start w:w="110" w:type="dxa"/>
              <w:bottom w:w="90" w:type="dxa"/>
              <w:end w:w="110" w:type="dxa"/>
            </w:tcMar>
          </w:tcPr>
          <w:p>
            <w:pPr>
              <w:spacing w:before="0" w:after="20"/>
            </w:pPr>
            <w:r>
              <w:rPr>
                <w:rFonts w:ascii="Aptos" w:hAnsi="Aptos"/>
                <w:sz w:val="17"/>
              </w:rPr>
              <w:t>15.86%</w:t>
            </w:r>
          </w:p>
        </w:tc>
      </w:tr>
      <w:tr>
        <w:tc>
          <w:tcPr>
            <w:tcW w:type="dxa" w:w="1872"/>
            <w:vAlign w:val="center"/>
            <w:tcMar>
              <w:top w:w="90" w:type="dxa"/>
              <w:start w:w="110" w:type="dxa"/>
              <w:bottom w:w="90" w:type="dxa"/>
              <w:end w:w="110" w:type="dxa"/>
            </w:tcMar>
          </w:tcPr>
          <w:p>
            <w:pPr>
              <w:spacing w:before="0" w:after="20"/>
            </w:pPr>
            <w:r>
              <w:rPr>
                <w:rFonts w:ascii="Aptos" w:hAnsi="Aptos"/>
                <w:sz w:val="17"/>
              </w:rPr>
              <w:t>51-100</w:t>
            </w:r>
          </w:p>
        </w:tc>
        <w:tc>
          <w:tcPr>
            <w:tcW w:type="dxa" w:w="1728"/>
            <w:vAlign w:val="center"/>
            <w:tcMar>
              <w:top w:w="90" w:type="dxa"/>
              <w:start w:w="110" w:type="dxa"/>
              <w:bottom w:w="90" w:type="dxa"/>
              <w:end w:w="110" w:type="dxa"/>
            </w:tcMar>
          </w:tcPr>
          <w:p>
            <w:pPr>
              <w:spacing w:before="0" w:after="20"/>
            </w:pPr>
            <w:r>
              <w:rPr>
                <w:rFonts w:ascii="Aptos" w:hAnsi="Aptos"/>
                <w:sz w:val="17"/>
              </w:rPr>
              <w:t>2,365</w:t>
            </w:r>
          </w:p>
        </w:tc>
        <w:tc>
          <w:tcPr>
            <w:tcW w:type="dxa" w:w="1728"/>
            <w:vAlign w:val="center"/>
            <w:tcMar>
              <w:top w:w="90" w:type="dxa"/>
              <w:start w:w="110" w:type="dxa"/>
              <w:bottom w:w="90" w:type="dxa"/>
              <w:end w:w="110" w:type="dxa"/>
            </w:tcMar>
          </w:tcPr>
          <w:p>
            <w:pPr>
              <w:spacing w:before="0" w:after="20"/>
            </w:pPr>
            <w:r>
              <w:rPr>
                <w:rFonts w:ascii="Aptos" w:hAnsi="Aptos"/>
                <w:sz w:val="17"/>
              </w:rPr>
              <w:t>1.42%</w:t>
            </w:r>
          </w:p>
        </w:tc>
        <w:tc>
          <w:tcPr>
            <w:tcW w:type="dxa" w:w="1872"/>
            <w:vAlign w:val="center"/>
            <w:tcMar>
              <w:top w:w="90" w:type="dxa"/>
              <w:start w:w="110" w:type="dxa"/>
              <w:bottom w:w="90" w:type="dxa"/>
              <w:end w:w="110" w:type="dxa"/>
            </w:tcMar>
          </w:tcPr>
          <w:p>
            <w:pPr>
              <w:spacing w:before="0" w:after="20"/>
            </w:pPr>
            <w:r>
              <w:rPr>
                <w:rFonts w:ascii="Aptos" w:hAnsi="Aptos"/>
                <w:sz w:val="17"/>
              </w:rPr>
              <w:t>13.67%</w:t>
            </w:r>
          </w:p>
        </w:tc>
      </w:tr>
      <w:tr>
        <w:tc>
          <w:tcPr>
            <w:tcW w:type="dxa" w:w="1872"/>
            <w:vAlign w:val="center"/>
            <w:tcMar>
              <w:top w:w="90" w:type="dxa"/>
              <w:start w:w="110" w:type="dxa"/>
              <w:bottom w:w="90" w:type="dxa"/>
              <w:end w:w="110" w:type="dxa"/>
            </w:tcMar>
          </w:tcPr>
          <w:p>
            <w:pPr>
              <w:spacing w:before="0" w:after="20"/>
            </w:pPr>
            <w:r>
              <w:rPr>
                <w:rFonts w:ascii="Aptos" w:hAnsi="Aptos"/>
                <w:sz w:val="17"/>
              </w:rPr>
              <w:t>101-250</w:t>
            </w:r>
          </w:p>
        </w:tc>
        <w:tc>
          <w:tcPr>
            <w:tcW w:type="dxa" w:w="1728"/>
            <w:vAlign w:val="center"/>
            <w:tcMar>
              <w:top w:w="90" w:type="dxa"/>
              <w:start w:w="110" w:type="dxa"/>
              <w:bottom w:w="90" w:type="dxa"/>
              <w:end w:w="110" w:type="dxa"/>
            </w:tcMar>
          </w:tcPr>
          <w:p>
            <w:pPr>
              <w:spacing w:before="0" w:after="20"/>
            </w:pPr>
            <w:r>
              <w:rPr>
                <w:rFonts w:ascii="Aptos" w:hAnsi="Aptos"/>
                <w:sz w:val="17"/>
              </w:rPr>
              <w:t>1,256</w:t>
            </w:r>
          </w:p>
        </w:tc>
        <w:tc>
          <w:tcPr>
            <w:tcW w:type="dxa" w:w="1728"/>
            <w:vAlign w:val="center"/>
            <w:tcMar>
              <w:top w:w="90" w:type="dxa"/>
              <w:start w:w="110" w:type="dxa"/>
              <w:bottom w:w="90" w:type="dxa"/>
              <w:end w:w="110" w:type="dxa"/>
            </w:tcMar>
          </w:tcPr>
          <w:p>
            <w:pPr>
              <w:spacing w:before="0" w:after="20"/>
            </w:pPr>
            <w:r>
              <w:rPr>
                <w:rFonts w:ascii="Aptos" w:hAnsi="Aptos"/>
                <w:sz w:val="17"/>
              </w:rPr>
              <w:t>0.76%</w:t>
            </w:r>
          </w:p>
        </w:tc>
        <w:tc>
          <w:tcPr>
            <w:tcW w:type="dxa" w:w="1872"/>
            <w:vAlign w:val="center"/>
            <w:tcMar>
              <w:top w:w="90" w:type="dxa"/>
              <w:start w:w="110" w:type="dxa"/>
              <w:bottom w:w="90" w:type="dxa"/>
              <w:end w:w="110" w:type="dxa"/>
            </w:tcMar>
          </w:tcPr>
          <w:p>
            <w:pPr>
              <w:spacing w:before="0" w:after="20"/>
            </w:pPr>
            <w:r>
              <w:rPr>
                <w:rFonts w:ascii="Aptos" w:hAnsi="Aptos"/>
                <w:sz w:val="17"/>
              </w:rPr>
              <w:t>15.60%</w:t>
            </w:r>
          </w:p>
        </w:tc>
      </w:tr>
      <w:tr>
        <w:tc>
          <w:tcPr>
            <w:tcW w:type="dxa" w:w="1872"/>
            <w:vAlign w:val="center"/>
            <w:tcMar>
              <w:top w:w="90" w:type="dxa"/>
              <w:start w:w="110" w:type="dxa"/>
              <w:bottom w:w="90" w:type="dxa"/>
              <w:end w:w="110" w:type="dxa"/>
            </w:tcMar>
          </w:tcPr>
          <w:p>
            <w:pPr>
              <w:spacing w:before="0" w:after="20"/>
            </w:pPr>
            <w:r>
              <w:rPr>
                <w:rFonts w:ascii="Aptos" w:hAnsi="Aptos"/>
                <w:sz w:val="17"/>
              </w:rPr>
              <w:t>251-500</w:t>
            </w:r>
          </w:p>
        </w:tc>
        <w:tc>
          <w:tcPr>
            <w:tcW w:type="dxa" w:w="1728"/>
            <w:vAlign w:val="center"/>
            <w:tcMar>
              <w:top w:w="90" w:type="dxa"/>
              <w:start w:w="110" w:type="dxa"/>
              <w:bottom w:w="90" w:type="dxa"/>
              <w:end w:w="110" w:type="dxa"/>
            </w:tcMar>
          </w:tcPr>
          <w:p>
            <w:pPr>
              <w:spacing w:before="0" w:after="20"/>
            </w:pPr>
            <w:r>
              <w:rPr>
                <w:rFonts w:ascii="Aptos" w:hAnsi="Aptos"/>
                <w:sz w:val="17"/>
              </w:rPr>
              <w:t>298</w:t>
            </w:r>
          </w:p>
        </w:tc>
        <w:tc>
          <w:tcPr>
            <w:tcW w:type="dxa" w:w="1728"/>
            <w:vAlign w:val="center"/>
            <w:tcMar>
              <w:top w:w="90" w:type="dxa"/>
              <w:start w:w="110" w:type="dxa"/>
              <w:bottom w:w="90" w:type="dxa"/>
              <w:end w:w="110" w:type="dxa"/>
            </w:tcMar>
          </w:tcPr>
          <w:p>
            <w:pPr>
              <w:spacing w:before="0" w:after="20"/>
            </w:pPr>
            <w:r>
              <w:rPr>
                <w:rFonts w:ascii="Aptos" w:hAnsi="Aptos"/>
                <w:sz w:val="17"/>
              </w:rPr>
              <w:t>0.18%</w:t>
            </w:r>
          </w:p>
        </w:tc>
        <w:tc>
          <w:tcPr>
            <w:tcW w:type="dxa" w:w="1872"/>
            <w:vAlign w:val="center"/>
            <w:tcMar>
              <w:top w:w="90" w:type="dxa"/>
              <w:start w:w="110" w:type="dxa"/>
              <w:bottom w:w="90" w:type="dxa"/>
              <w:end w:w="110" w:type="dxa"/>
            </w:tcMar>
          </w:tcPr>
          <w:p>
            <w:pPr>
              <w:spacing w:before="0" w:after="20"/>
            </w:pPr>
            <w:r>
              <w:rPr>
                <w:rFonts w:ascii="Aptos" w:hAnsi="Aptos"/>
                <w:sz w:val="17"/>
              </w:rPr>
              <w:t>8.31%</w:t>
            </w:r>
          </w:p>
        </w:tc>
      </w:tr>
      <w:tr>
        <w:tc>
          <w:tcPr>
            <w:tcW w:type="dxa" w:w="1872"/>
            <w:vAlign w:val="center"/>
            <w:tcMar>
              <w:top w:w="90" w:type="dxa"/>
              <w:start w:w="110" w:type="dxa"/>
              <w:bottom w:w="90" w:type="dxa"/>
              <w:end w:w="110" w:type="dxa"/>
            </w:tcMar>
          </w:tcPr>
          <w:p>
            <w:pPr>
              <w:spacing w:before="0" w:after="20"/>
            </w:pPr>
            <w:r>
              <w:rPr>
                <w:rFonts w:ascii="Aptos" w:hAnsi="Aptos"/>
                <w:sz w:val="17"/>
              </w:rPr>
              <w:t>501+</w:t>
            </w:r>
          </w:p>
        </w:tc>
        <w:tc>
          <w:tcPr>
            <w:tcW w:type="dxa" w:w="1728"/>
            <w:vAlign w:val="center"/>
            <w:tcMar>
              <w:top w:w="90" w:type="dxa"/>
              <w:start w:w="110" w:type="dxa"/>
              <w:bottom w:w="90" w:type="dxa"/>
              <w:end w:w="110" w:type="dxa"/>
            </w:tcMar>
          </w:tcPr>
          <w:p>
            <w:pPr>
              <w:spacing w:before="0" w:after="20"/>
            </w:pPr>
            <w:r>
              <w:rPr>
                <w:rFonts w:ascii="Aptos" w:hAnsi="Aptos"/>
                <w:sz w:val="17"/>
              </w:rPr>
              <w:t>151</w:t>
            </w:r>
          </w:p>
        </w:tc>
        <w:tc>
          <w:tcPr>
            <w:tcW w:type="dxa" w:w="1728"/>
            <w:vAlign w:val="center"/>
            <w:tcMar>
              <w:top w:w="90" w:type="dxa"/>
              <w:start w:w="110" w:type="dxa"/>
              <w:bottom w:w="90" w:type="dxa"/>
              <w:end w:w="110" w:type="dxa"/>
            </w:tcMar>
          </w:tcPr>
          <w:p>
            <w:pPr>
              <w:spacing w:before="0" w:after="20"/>
            </w:pPr>
            <w:r>
              <w:rPr>
                <w:rFonts w:ascii="Aptos" w:hAnsi="Aptos"/>
                <w:sz w:val="17"/>
              </w:rPr>
              <w:t>0.09%</w:t>
            </w:r>
          </w:p>
        </w:tc>
        <w:tc>
          <w:tcPr>
            <w:tcW w:type="dxa" w:w="1872"/>
            <w:vAlign w:val="center"/>
            <w:tcMar>
              <w:top w:w="90" w:type="dxa"/>
              <w:start w:w="110" w:type="dxa"/>
              <w:bottom w:w="90" w:type="dxa"/>
              <w:end w:w="110" w:type="dxa"/>
            </w:tcMar>
          </w:tcPr>
          <w:p>
            <w:pPr>
              <w:spacing w:before="0" w:after="20"/>
            </w:pPr>
            <w:r>
              <w:rPr>
                <w:rFonts w:ascii="Aptos" w:hAnsi="Aptos"/>
                <w:sz w:val="17"/>
              </w:rPr>
              <w:t>12.78%</w:t>
            </w:r>
          </w:p>
        </w:tc>
      </w:tr>
    </w:tbl>
    <w:p>
      <w:pPr>
        <w:spacing w:after="0"/>
      </w:pPr>
    </w:p>
    <w:p>
      <w:pPr>
        <w:spacing w:after="80" w:line="252" w:lineRule="auto"/>
      </w:pPr>
      <w:r>
        <w:rPr>
          <w:i w:val="0"/>
        </w:rPr>
        <w:t>A key Phase-2 finding is that moving the start boundary later never improves the median investor sequence length: it remains 1 across the candidate start-year curve. Later windows increase temporal density but progressively discard known history and increase left censoring. Therefore temporal-window selection and investor-history eligibility must be treated as separate experimental decisions.</w:t>
      </w:r>
    </w:p>
    <w:p>
      <w:pPr>
        <w:pStyle w:val="Heading2"/>
        <w:keepNext/>
      </w:pPr>
      <w:r>
        <w:t>5.1 Same-day ties</w:t>
      </w:r>
    </w:p>
    <w:p>
      <w:pPr>
        <w:spacing w:after="80" w:line="252" w:lineRule="auto"/>
      </w:pPr>
      <w:r>
        <w:rPr>
          <w:i w:val="0"/>
        </w:rPr>
        <w:t>About 14.47% of consecutive investor-event gaps are zero days, and approximately 17.5% of canonical interactions belong to same-day investor tie groups. The reproduction therefore never interprets deterministic storage ordering as real within-day chronology. This aligns naturally with ITRS, which intentionally ignores order inside each temporal segment.</w:t>
      </w:r>
    </w:p>
    <w:p>
      <w:pPr>
        <w:pStyle w:val="Heading1"/>
        <w:keepNext/>
      </w:pPr>
      <w:r>
        <w:t>6. Start-Boundary and Endpoint Sensitivity</w:t>
      </w:r>
    </w:p>
    <w:p>
      <w:pPr>
        <w:spacing w:after="80" w:line="252" w:lineRule="auto"/>
      </w:pPr>
      <w:r>
        <w:rPr>
          <w:i w:val="0"/>
        </w:rPr>
        <w:t>The start-year audit evaluated every calendar-year boundary rather than hand-picking dates. A 2000 start retained 99.59% of interactions, while a 2010 start retained 93.19%. More recent starts quickly sacrificed interaction mass and introduced left censoring: approximately 11.25% of active investors were left-censored at a 2015 start and 25.04% at a 2020 start.</w:t>
      </w:r>
    </w:p>
    <w:tbl>
      <w:tblPr>
        <w:tblStyle w:val="TableGrid"/>
        <w:tblW w:type="auto" w:w="0"/>
        <w:jc w:val="center"/>
        <w:tblLook w:firstColumn="1" w:firstRow="1" w:lastColumn="0" w:lastRow="0" w:noHBand="0" w:noVBand="1" w:val="04A0"/>
      </w:tblPr>
      <w:tblGrid>
        <w:gridCol w:w="2033"/>
        <w:gridCol w:w="2033"/>
        <w:gridCol w:w="2033"/>
        <w:gridCol w:w="2033"/>
        <w:gridCol w:w="2033"/>
      </w:tblGrid>
      <w:tr>
        <w:trPr>
          <w:tblHeader w:val="true"/>
        </w:trPr>
        <w:tc>
          <w:tcPr>
            <w:tcW w:type="dxa" w:w="1296"/>
            <w:vAlign w:val="center"/>
            <w:tcMar>
              <w:top w:w="90" w:type="dxa"/>
              <w:start w:w="110" w:type="dxa"/>
              <w:bottom w:w="90" w:type="dxa"/>
              <w:end w:w="110" w:type="dxa"/>
            </w:tcMar>
            <w:shd w:fill="D9E2F3"/>
          </w:tcPr>
          <w:p>
            <w:pPr>
              <w:spacing w:before="0" w:after="20"/>
            </w:pPr>
            <w:r>
              <w:rPr>
                <w:rFonts w:ascii="Aptos" w:hAnsi="Aptos"/>
                <w:b/>
                <w:color w:val="1F1F1F"/>
                <w:sz w:val="17"/>
              </w:rPr>
              <w:t>Start</w:t>
            </w:r>
          </w:p>
        </w:tc>
        <w:tc>
          <w:tcPr>
            <w:tcW w:type="dxa" w:w="2160"/>
            <w:vAlign w:val="center"/>
            <w:tcMar>
              <w:top w:w="90" w:type="dxa"/>
              <w:start w:w="110" w:type="dxa"/>
              <w:bottom w:w="90" w:type="dxa"/>
              <w:end w:w="110" w:type="dxa"/>
            </w:tcMar>
            <w:shd w:fill="D9E2F3"/>
          </w:tcPr>
          <w:p>
            <w:pPr>
              <w:spacing w:before="0" w:after="20"/>
            </w:pPr>
            <w:r>
              <w:rPr>
                <w:rFonts w:ascii="Aptos" w:hAnsi="Aptos"/>
                <w:b/>
                <w:color w:val="1F1F1F"/>
                <w:sz w:val="17"/>
              </w:rPr>
              <w:t>Interaction retention</w:t>
            </w:r>
          </w:p>
        </w:tc>
        <w:tc>
          <w:tcPr>
            <w:tcW w:type="dxa" w:w="1944"/>
            <w:vAlign w:val="center"/>
            <w:tcMar>
              <w:top w:w="90" w:type="dxa"/>
              <w:start w:w="110" w:type="dxa"/>
              <w:bottom w:w="90" w:type="dxa"/>
              <w:end w:w="110" w:type="dxa"/>
            </w:tcMar>
            <w:shd w:fill="D9E2F3"/>
          </w:tcPr>
          <w:p>
            <w:pPr>
              <w:spacing w:before="0" w:after="20"/>
            </w:pPr>
            <w:r>
              <w:rPr>
                <w:rFonts w:ascii="Aptos" w:hAnsi="Aptos"/>
                <w:b/>
                <w:color w:val="1F1F1F"/>
                <w:sz w:val="17"/>
              </w:rPr>
              <w:t>Investor retention</w:t>
            </w:r>
          </w:p>
        </w:tc>
        <w:tc>
          <w:tcPr>
            <w:tcW w:type="dxa" w:w="1800"/>
            <w:vAlign w:val="center"/>
            <w:tcMar>
              <w:top w:w="90" w:type="dxa"/>
              <w:start w:w="110" w:type="dxa"/>
              <w:bottom w:w="90" w:type="dxa"/>
              <w:end w:w="110" w:type="dxa"/>
            </w:tcMar>
            <w:shd w:fill="D9E2F3"/>
          </w:tcPr>
          <w:p>
            <w:pPr>
              <w:spacing w:before="0" w:after="20"/>
            </w:pPr>
            <w:r>
              <w:rPr>
                <w:rFonts w:ascii="Aptos" w:hAnsi="Aptos"/>
                <w:b/>
                <w:color w:val="1F1F1F"/>
                <w:sz w:val="17"/>
              </w:rPr>
              <w:t>Left censoring</w:t>
            </w:r>
          </w:p>
        </w:tc>
        <w:tc>
          <w:tcPr>
            <w:tcW w:type="dxa" w:w="1584"/>
            <w:vAlign w:val="center"/>
            <w:tcMar>
              <w:top w:w="90" w:type="dxa"/>
              <w:start w:w="110" w:type="dxa"/>
              <w:bottom w:w="90" w:type="dxa"/>
              <w:end w:w="110" w:type="dxa"/>
            </w:tcMar>
            <w:shd w:fill="D9E2F3"/>
          </w:tcPr>
          <w:p>
            <w:pPr>
              <w:spacing w:before="0" w:after="20"/>
            </w:pPr>
            <w:r>
              <w:rPr>
                <w:rFonts w:ascii="Aptos" w:hAnsi="Aptos"/>
                <w:b/>
                <w:color w:val="1F1F1F"/>
                <w:sz w:val="17"/>
              </w:rPr>
              <w:t>Median sequence</w:t>
            </w:r>
          </w:p>
        </w:tc>
      </w:tr>
      <w:tr>
        <w:tc>
          <w:tcPr>
            <w:tcW w:type="dxa" w:w="1296"/>
            <w:vAlign w:val="center"/>
            <w:tcMar>
              <w:top w:w="90" w:type="dxa"/>
              <w:start w:w="110" w:type="dxa"/>
              <w:bottom w:w="90" w:type="dxa"/>
              <w:end w:w="110" w:type="dxa"/>
            </w:tcMar>
          </w:tcPr>
          <w:p>
            <w:pPr>
              <w:spacing w:before="0" w:after="20"/>
            </w:pPr>
            <w:r>
              <w:rPr>
                <w:rFonts w:ascii="Aptos" w:hAnsi="Aptos"/>
                <w:sz w:val="17"/>
              </w:rPr>
              <w:t>2001</w:t>
            </w:r>
          </w:p>
        </w:tc>
        <w:tc>
          <w:tcPr>
            <w:tcW w:type="dxa" w:w="2160"/>
            <w:vAlign w:val="center"/>
            <w:tcMar>
              <w:top w:w="90" w:type="dxa"/>
              <w:start w:w="110" w:type="dxa"/>
              <w:bottom w:w="90" w:type="dxa"/>
              <w:end w:w="110" w:type="dxa"/>
            </w:tcMar>
          </w:tcPr>
          <w:p>
            <w:pPr>
              <w:spacing w:before="0" w:after="20"/>
            </w:pPr>
            <w:r>
              <w:rPr>
                <w:rFonts w:ascii="Aptos" w:hAnsi="Aptos"/>
                <w:sz w:val="17"/>
              </w:rPr>
              <w:t>98.67%</w:t>
            </w:r>
          </w:p>
        </w:tc>
        <w:tc>
          <w:tcPr>
            <w:tcW w:type="dxa" w:w="1944"/>
            <w:vAlign w:val="center"/>
            <w:tcMar>
              <w:top w:w="90" w:type="dxa"/>
              <w:start w:w="110" w:type="dxa"/>
              <w:bottom w:w="90" w:type="dxa"/>
              <w:end w:w="110" w:type="dxa"/>
            </w:tcMar>
          </w:tcPr>
          <w:p>
            <w:pPr>
              <w:spacing w:before="0" w:after="20"/>
            </w:pPr>
            <w:r>
              <w:rPr>
                <w:rFonts w:ascii="Aptos" w:hAnsi="Aptos"/>
                <w:sz w:val="17"/>
              </w:rPr>
              <w:t>99.00%</w:t>
            </w:r>
          </w:p>
        </w:tc>
        <w:tc>
          <w:tcPr>
            <w:tcW w:type="dxa" w:w="1800"/>
            <w:vAlign w:val="center"/>
            <w:tcMar>
              <w:top w:w="90" w:type="dxa"/>
              <w:start w:w="110" w:type="dxa"/>
              <w:bottom w:w="90" w:type="dxa"/>
              <w:end w:w="110" w:type="dxa"/>
            </w:tcMar>
          </w:tcPr>
          <w:p>
            <w:pPr>
              <w:spacing w:before="0" w:after="20"/>
            </w:pPr>
            <w:r>
              <w:rPr>
                <w:rFonts w:ascii="Aptos" w:hAnsi="Aptos"/>
                <w:sz w:val="17"/>
              </w:rPr>
              <w:t>1.74%</w:t>
            </w:r>
          </w:p>
        </w:tc>
        <w:tc>
          <w:tcPr>
            <w:tcW w:type="dxa" w:w="1584"/>
            <w:vAlign w:val="center"/>
            <w:tcMar>
              <w:top w:w="90" w:type="dxa"/>
              <w:start w:w="110" w:type="dxa"/>
              <w:bottom w:w="90" w:type="dxa"/>
              <w:end w:w="110" w:type="dxa"/>
            </w:tcMar>
          </w:tcPr>
          <w:p>
            <w:pPr>
              <w:spacing w:before="0" w:after="20"/>
            </w:pPr>
            <w:r>
              <w:rPr>
                <w:rFonts w:ascii="Aptos" w:hAnsi="Aptos"/>
                <w:sz w:val="17"/>
              </w:rPr>
              <w:t>1</w:t>
            </w:r>
          </w:p>
        </w:tc>
      </w:tr>
      <w:tr>
        <w:tc>
          <w:tcPr>
            <w:tcW w:type="dxa" w:w="1296"/>
            <w:vAlign w:val="center"/>
            <w:tcMar>
              <w:top w:w="90" w:type="dxa"/>
              <w:start w:w="110" w:type="dxa"/>
              <w:bottom w:w="90" w:type="dxa"/>
              <w:end w:w="110" w:type="dxa"/>
            </w:tcMar>
          </w:tcPr>
          <w:p>
            <w:pPr>
              <w:spacing w:before="0" w:after="20"/>
            </w:pPr>
            <w:r>
              <w:rPr>
                <w:rFonts w:ascii="Aptos" w:hAnsi="Aptos"/>
                <w:sz w:val="17"/>
              </w:rPr>
              <w:t>2008</w:t>
            </w:r>
          </w:p>
        </w:tc>
        <w:tc>
          <w:tcPr>
            <w:tcW w:type="dxa" w:w="2160"/>
            <w:vAlign w:val="center"/>
            <w:tcMar>
              <w:top w:w="90" w:type="dxa"/>
              <w:start w:w="110" w:type="dxa"/>
              <w:bottom w:w="90" w:type="dxa"/>
              <w:end w:w="110" w:type="dxa"/>
            </w:tcMar>
          </w:tcPr>
          <w:p>
            <w:pPr>
              <w:spacing w:before="0" w:after="20"/>
            </w:pPr>
            <w:r>
              <w:rPr>
                <w:rFonts w:ascii="Aptos" w:hAnsi="Aptos"/>
                <w:sz w:val="17"/>
              </w:rPr>
              <w:t>94.88%</w:t>
            </w:r>
          </w:p>
        </w:tc>
        <w:tc>
          <w:tcPr>
            <w:tcW w:type="dxa" w:w="1944"/>
            <w:vAlign w:val="center"/>
            <w:tcMar>
              <w:top w:w="90" w:type="dxa"/>
              <w:start w:w="110" w:type="dxa"/>
              <w:bottom w:w="90" w:type="dxa"/>
              <w:end w:w="110" w:type="dxa"/>
            </w:tcMar>
          </w:tcPr>
          <w:p>
            <w:pPr>
              <w:spacing w:before="0" w:after="20"/>
            </w:pPr>
            <w:r>
              <w:rPr>
                <w:rFonts w:ascii="Aptos" w:hAnsi="Aptos"/>
                <w:sz w:val="17"/>
              </w:rPr>
              <w:t>97.37%</w:t>
            </w:r>
          </w:p>
        </w:tc>
        <w:tc>
          <w:tcPr>
            <w:tcW w:type="dxa" w:w="1800"/>
            <w:vAlign w:val="center"/>
            <w:tcMar>
              <w:top w:w="90" w:type="dxa"/>
              <w:start w:w="110" w:type="dxa"/>
              <w:bottom w:w="90" w:type="dxa"/>
              <w:end w:w="110" w:type="dxa"/>
            </w:tcMar>
          </w:tcPr>
          <w:p>
            <w:pPr>
              <w:spacing w:before="0" w:after="20"/>
            </w:pPr>
            <w:r>
              <w:rPr>
                <w:rFonts w:ascii="Aptos" w:hAnsi="Aptos"/>
                <w:sz w:val="17"/>
              </w:rPr>
              <w:t>3.82%</w:t>
            </w:r>
          </w:p>
        </w:tc>
        <w:tc>
          <w:tcPr>
            <w:tcW w:type="dxa" w:w="1584"/>
            <w:vAlign w:val="center"/>
            <w:tcMar>
              <w:top w:w="90" w:type="dxa"/>
              <w:start w:w="110" w:type="dxa"/>
              <w:bottom w:w="90" w:type="dxa"/>
              <w:end w:w="110" w:type="dxa"/>
            </w:tcMar>
          </w:tcPr>
          <w:p>
            <w:pPr>
              <w:spacing w:before="0" w:after="20"/>
            </w:pPr>
            <w:r>
              <w:rPr>
                <w:rFonts w:ascii="Aptos" w:hAnsi="Aptos"/>
                <w:sz w:val="17"/>
              </w:rPr>
              <w:t>1</w:t>
            </w:r>
          </w:p>
        </w:tc>
      </w:tr>
      <w:tr>
        <w:tc>
          <w:tcPr>
            <w:tcW w:type="dxa" w:w="1296"/>
            <w:vAlign w:val="center"/>
            <w:tcMar>
              <w:top w:w="90" w:type="dxa"/>
              <w:start w:w="110" w:type="dxa"/>
              <w:bottom w:w="90" w:type="dxa"/>
              <w:end w:w="110" w:type="dxa"/>
            </w:tcMar>
          </w:tcPr>
          <w:p>
            <w:pPr>
              <w:spacing w:before="0" w:after="20"/>
            </w:pPr>
            <w:r>
              <w:rPr>
                <w:rFonts w:ascii="Aptos" w:hAnsi="Aptos"/>
                <w:sz w:val="17"/>
              </w:rPr>
              <w:t>2011</w:t>
            </w:r>
          </w:p>
        </w:tc>
        <w:tc>
          <w:tcPr>
            <w:tcW w:type="dxa" w:w="2160"/>
            <w:vAlign w:val="center"/>
            <w:tcMar>
              <w:top w:w="90" w:type="dxa"/>
              <w:start w:w="110" w:type="dxa"/>
              <w:bottom w:w="90" w:type="dxa"/>
              <w:end w:w="110" w:type="dxa"/>
            </w:tcMar>
          </w:tcPr>
          <w:p>
            <w:pPr>
              <w:spacing w:before="0" w:after="20"/>
            </w:pPr>
            <w:r>
              <w:rPr>
                <w:rFonts w:ascii="Aptos" w:hAnsi="Aptos"/>
                <w:sz w:val="17"/>
              </w:rPr>
              <w:t>92.10%</w:t>
            </w:r>
          </w:p>
        </w:tc>
        <w:tc>
          <w:tcPr>
            <w:tcW w:type="dxa" w:w="1944"/>
            <w:vAlign w:val="center"/>
            <w:tcMar>
              <w:top w:w="90" w:type="dxa"/>
              <w:start w:w="110" w:type="dxa"/>
              <w:bottom w:w="90" w:type="dxa"/>
              <w:end w:w="110" w:type="dxa"/>
            </w:tcMar>
          </w:tcPr>
          <w:p>
            <w:pPr>
              <w:spacing w:before="0" w:after="20"/>
            </w:pPr>
            <w:r>
              <w:rPr>
                <w:rFonts w:ascii="Aptos" w:hAnsi="Aptos"/>
                <w:sz w:val="17"/>
              </w:rPr>
              <w:t>95.79%</w:t>
            </w:r>
          </w:p>
        </w:tc>
        <w:tc>
          <w:tcPr>
            <w:tcW w:type="dxa" w:w="1800"/>
            <w:vAlign w:val="center"/>
            <w:tcMar>
              <w:top w:w="90" w:type="dxa"/>
              <w:start w:w="110" w:type="dxa"/>
              <w:bottom w:w="90" w:type="dxa"/>
              <w:end w:w="110" w:type="dxa"/>
            </w:tcMar>
          </w:tcPr>
          <w:p>
            <w:pPr>
              <w:spacing w:before="0" w:after="20"/>
            </w:pPr>
            <w:r>
              <w:rPr>
                <w:rFonts w:ascii="Aptos" w:hAnsi="Aptos"/>
                <w:sz w:val="17"/>
              </w:rPr>
              <w:t>5.43%</w:t>
            </w:r>
          </w:p>
        </w:tc>
        <w:tc>
          <w:tcPr>
            <w:tcW w:type="dxa" w:w="1584"/>
            <w:vAlign w:val="center"/>
            <w:tcMar>
              <w:top w:w="90" w:type="dxa"/>
              <w:start w:w="110" w:type="dxa"/>
              <w:bottom w:w="90" w:type="dxa"/>
              <w:end w:w="110" w:type="dxa"/>
            </w:tcMar>
          </w:tcPr>
          <w:p>
            <w:pPr>
              <w:spacing w:before="0" w:after="20"/>
            </w:pPr>
            <w:r>
              <w:rPr>
                <w:rFonts w:ascii="Aptos" w:hAnsi="Aptos"/>
                <w:sz w:val="17"/>
              </w:rPr>
              <w:t>1</w:t>
            </w:r>
          </w:p>
        </w:tc>
      </w:tr>
      <w:tr>
        <w:tc>
          <w:tcPr>
            <w:tcW w:type="dxa" w:w="1296"/>
            <w:vAlign w:val="center"/>
            <w:tcMar>
              <w:top w:w="90" w:type="dxa"/>
              <w:start w:w="110" w:type="dxa"/>
              <w:bottom w:w="90" w:type="dxa"/>
              <w:end w:w="110" w:type="dxa"/>
            </w:tcMar>
          </w:tcPr>
          <w:p>
            <w:pPr>
              <w:spacing w:before="0" w:after="20"/>
            </w:pPr>
            <w:r>
              <w:rPr>
                <w:rFonts w:ascii="Aptos" w:hAnsi="Aptos"/>
                <w:sz w:val="17"/>
              </w:rPr>
              <w:t>2013</w:t>
            </w:r>
          </w:p>
        </w:tc>
        <w:tc>
          <w:tcPr>
            <w:tcW w:type="dxa" w:w="2160"/>
            <w:vAlign w:val="center"/>
            <w:tcMar>
              <w:top w:w="90" w:type="dxa"/>
              <w:start w:w="110" w:type="dxa"/>
              <w:bottom w:w="90" w:type="dxa"/>
              <w:end w:w="110" w:type="dxa"/>
            </w:tcMar>
          </w:tcPr>
          <w:p>
            <w:pPr>
              <w:spacing w:before="0" w:after="20"/>
            </w:pPr>
            <w:r>
              <w:rPr>
                <w:rFonts w:ascii="Aptos" w:hAnsi="Aptos"/>
                <w:sz w:val="17"/>
              </w:rPr>
              <w:t>88.64%</w:t>
            </w:r>
          </w:p>
        </w:tc>
        <w:tc>
          <w:tcPr>
            <w:tcW w:type="dxa" w:w="1944"/>
            <w:vAlign w:val="center"/>
            <w:tcMar>
              <w:top w:w="90" w:type="dxa"/>
              <w:start w:w="110" w:type="dxa"/>
              <w:bottom w:w="90" w:type="dxa"/>
              <w:end w:w="110" w:type="dxa"/>
            </w:tcMar>
          </w:tcPr>
          <w:p>
            <w:pPr>
              <w:spacing w:before="0" w:after="20"/>
            </w:pPr>
            <w:r>
              <w:rPr>
                <w:rFonts w:ascii="Aptos" w:hAnsi="Aptos"/>
                <w:sz w:val="17"/>
              </w:rPr>
              <w:t>93.70%</w:t>
            </w:r>
          </w:p>
        </w:tc>
        <w:tc>
          <w:tcPr>
            <w:tcW w:type="dxa" w:w="1800"/>
            <w:vAlign w:val="center"/>
            <w:tcMar>
              <w:top w:w="90" w:type="dxa"/>
              <w:start w:w="110" w:type="dxa"/>
              <w:bottom w:w="90" w:type="dxa"/>
              <w:end w:w="110" w:type="dxa"/>
            </w:tcMar>
          </w:tcPr>
          <w:p>
            <w:pPr>
              <w:spacing w:before="0" w:after="20"/>
            </w:pPr>
            <w:r>
              <w:rPr>
                <w:rFonts w:ascii="Aptos" w:hAnsi="Aptos"/>
                <w:sz w:val="17"/>
              </w:rPr>
              <w:t>7.82%</w:t>
            </w:r>
          </w:p>
        </w:tc>
        <w:tc>
          <w:tcPr>
            <w:tcW w:type="dxa" w:w="1584"/>
            <w:vAlign w:val="center"/>
            <w:tcMar>
              <w:top w:w="90" w:type="dxa"/>
              <w:start w:w="110" w:type="dxa"/>
              <w:bottom w:w="90" w:type="dxa"/>
              <w:end w:w="110" w:type="dxa"/>
            </w:tcMar>
          </w:tcPr>
          <w:p>
            <w:pPr>
              <w:spacing w:before="0" w:after="20"/>
            </w:pPr>
            <w:r>
              <w:rPr>
                <w:rFonts w:ascii="Aptos" w:hAnsi="Aptos"/>
                <w:sz w:val="17"/>
              </w:rPr>
              <w:t>1</w:t>
            </w:r>
          </w:p>
        </w:tc>
      </w:tr>
      <w:tr>
        <w:tc>
          <w:tcPr>
            <w:tcW w:type="dxa" w:w="1296"/>
            <w:vAlign w:val="center"/>
            <w:tcMar>
              <w:top w:w="90" w:type="dxa"/>
              <w:start w:w="110" w:type="dxa"/>
              <w:bottom w:w="90" w:type="dxa"/>
              <w:end w:w="110" w:type="dxa"/>
            </w:tcMar>
          </w:tcPr>
          <w:p>
            <w:pPr>
              <w:spacing w:before="0" w:after="20"/>
            </w:pPr>
            <w:r>
              <w:rPr>
                <w:rFonts w:ascii="Aptos" w:hAnsi="Aptos"/>
                <w:sz w:val="17"/>
              </w:rPr>
              <w:t>2015</w:t>
            </w:r>
          </w:p>
        </w:tc>
        <w:tc>
          <w:tcPr>
            <w:tcW w:type="dxa" w:w="2160"/>
            <w:vAlign w:val="center"/>
            <w:tcMar>
              <w:top w:w="90" w:type="dxa"/>
              <w:start w:w="110" w:type="dxa"/>
              <w:bottom w:w="90" w:type="dxa"/>
              <w:end w:w="110" w:type="dxa"/>
            </w:tcMar>
          </w:tcPr>
          <w:p>
            <w:pPr>
              <w:spacing w:before="0" w:after="20"/>
            </w:pPr>
            <w:r>
              <w:rPr>
                <w:rFonts w:ascii="Aptos" w:hAnsi="Aptos"/>
                <w:sz w:val="17"/>
              </w:rPr>
              <w:t>82.61%</w:t>
            </w:r>
          </w:p>
        </w:tc>
        <w:tc>
          <w:tcPr>
            <w:tcW w:type="dxa" w:w="1944"/>
            <w:vAlign w:val="center"/>
            <w:tcMar>
              <w:top w:w="90" w:type="dxa"/>
              <w:start w:w="110" w:type="dxa"/>
              <w:bottom w:w="90" w:type="dxa"/>
              <w:end w:w="110" w:type="dxa"/>
            </w:tcMar>
          </w:tcPr>
          <w:p>
            <w:pPr>
              <w:spacing w:before="0" w:after="20"/>
            </w:pPr>
            <w:r>
              <w:rPr>
                <w:rFonts w:ascii="Aptos" w:hAnsi="Aptos"/>
                <w:sz w:val="17"/>
              </w:rPr>
              <w:t>89.68%</w:t>
            </w:r>
          </w:p>
        </w:tc>
        <w:tc>
          <w:tcPr>
            <w:tcW w:type="dxa" w:w="1800"/>
            <w:vAlign w:val="center"/>
            <w:tcMar>
              <w:top w:w="90" w:type="dxa"/>
              <w:start w:w="110" w:type="dxa"/>
              <w:bottom w:w="90" w:type="dxa"/>
              <w:end w:w="110" w:type="dxa"/>
            </w:tcMar>
          </w:tcPr>
          <w:p>
            <w:pPr>
              <w:spacing w:before="0" w:after="20"/>
            </w:pPr>
            <w:r>
              <w:rPr>
                <w:rFonts w:ascii="Aptos" w:hAnsi="Aptos"/>
                <w:sz w:val="17"/>
              </w:rPr>
              <w:t>11.25%</w:t>
            </w:r>
          </w:p>
        </w:tc>
        <w:tc>
          <w:tcPr>
            <w:tcW w:type="dxa" w:w="1584"/>
            <w:vAlign w:val="center"/>
            <w:tcMar>
              <w:top w:w="90" w:type="dxa"/>
              <w:start w:w="110" w:type="dxa"/>
              <w:bottom w:w="90" w:type="dxa"/>
              <w:end w:w="110" w:type="dxa"/>
            </w:tcMar>
          </w:tcPr>
          <w:p>
            <w:pPr>
              <w:spacing w:before="0" w:after="20"/>
            </w:pPr>
            <w:r>
              <w:rPr>
                <w:rFonts w:ascii="Aptos" w:hAnsi="Aptos"/>
                <w:sz w:val="17"/>
              </w:rPr>
              <w:t>1</w:t>
            </w:r>
          </w:p>
        </w:tc>
      </w:tr>
      <w:tr>
        <w:tc>
          <w:tcPr>
            <w:tcW w:type="dxa" w:w="1296"/>
            <w:vAlign w:val="center"/>
            <w:tcMar>
              <w:top w:w="90" w:type="dxa"/>
              <w:start w:w="110" w:type="dxa"/>
              <w:bottom w:w="90" w:type="dxa"/>
              <w:end w:w="110" w:type="dxa"/>
            </w:tcMar>
          </w:tcPr>
          <w:p>
            <w:pPr>
              <w:spacing w:before="0" w:after="20"/>
            </w:pPr>
            <w:r>
              <w:rPr>
                <w:rFonts w:ascii="Aptos" w:hAnsi="Aptos"/>
                <w:sz w:val="17"/>
              </w:rPr>
              <w:t>2020</w:t>
            </w:r>
          </w:p>
        </w:tc>
        <w:tc>
          <w:tcPr>
            <w:tcW w:type="dxa" w:w="2160"/>
            <w:vAlign w:val="center"/>
            <w:tcMar>
              <w:top w:w="90" w:type="dxa"/>
              <w:start w:w="110" w:type="dxa"/>
              <w:bottom w:w="90" w:type="dxa"/>
              <w:end w:w="110" w:type="dxa"/>
            </w:tcMar>
          </w:tcPr>
          <w:p>
            <w:pPr>
              <w:spacing w:before="0" w:after="20"/>
            </w:pPr>
            <w:r>
              <w:rPr>
                <w:rFonts w:ascii="Aptos" w:hAnsi="Aptos"/>
                <w:sz w:val="17"/>
              </w:rPr>
              <w:t>55.76%</w:t>
            </w:r>
          </w:p>
        </w:tc>
        <w:tc>
          <w:tcPr>
            <w:tcW w:type="dxa" w:w="1944"/>
            <w:vAlign w:val="center"/>
            <w:tcMar>
              <w:top w:w="90" w:type="dxa"/>
              <w:start w:w="110" w:type="dxa"/>
              <w:bottom w:w="90" w:type="dxa"/>
              <w:end w:w="110" w:type="dxa"/>
            </w:tcMar>
          </w:tcPr>
          <w:p>
            <w:pPr>
              <w:spacing w:before="0" w:after="20"/>
            </w:pPr>
            <w:r>
              <w:rPr>
                <w:rFonts w:ascii="Aptos" w:hAnsi="Aptos"/>
                <w:sz w:val="17"/>
              </w:rPr>
              <w:t>68.46%</w:t>
            </w:r>
          </w:p>
        </w:tc>
        <w:tc>
          <w:tcPr>
            <w:tcW w:type="dxa" w:w="1800"/>
            <w:vAlign w:val="center"/>
            <w:tcMar>
              <w:top w:w="90" w:type="dxa"/>
              <w:start w:w="110" w:type="dxa"/>
              <w:bottom w:w="90" w:type="dxa"/>
              <w:end w:w="110" w:type="dxa"/>
            </w:tcMar>
          </w:tcPr>
          <w:p>
            <w:pPr>
              <w:spacing w:before="0" w:after="20"/>
            </w:pPr>
            <w:r>
              <w:rPr>
                <w:rFonts w:ascii="Aptos" w:hAnsi="Aptos"/>
                <w:sz w:val="17"/>
              </w:rPr>
              <w:t>25.04%</w:t>
            </w:r>
          </w:p>
        </w:tc>
        <w:tc>
          <w:tcPr>
            <w:tcW w:type="dxa" w:w="1584"/>
            <w:vAlign w:val="center"/>
            <w:tcMar>
              <w:top w:w="90" w:type="dxa"/>
              <w:start w:w="110" w:type="dxa"/>
              <w:bottom w:w="90" w:type="dxa"/>
              <w:end w:w="110" w:type="dxa"/>
            </w:tcMar>
          </w:tcPr>
          <w:p>
            <w:pPr>
              <w:spacing w:before="0" w:after="20"/>
            </w:pPr>
            <w:r>
              <w:rPr>
                <w:rFonts w:ascii="Aptos" w:hAnsi="Aptos"/>
                <w:sz w:val="17"/>
              </w:rPr>
              <w:t>1</w:t>
            </w:r>
          </w:p>
        </w:tc>
      </w:tr>
    </w:tbl>
    <w:p>
      <w:pPr>
        <w:spacing w:after="0"/>
      </w:pPr>
    </w:p>
    <w:p>
      <w:pPr>
        <w:spacing w:after="80" w:line="252" w:lineRule="auto"/>
      </w:pPr>
      <w:r>
        <w:rPr>
          <w:i w:val="0"/>
        </w:rPr>
        <w:t>The endpoint-sensitivity audit then moved the latest eligible complete month backward under 0-, 7-, 14-, 30-, 60-, 90-, 120-, and 180-day hypothetical buffers. The relative start-boundary conclusions were stable across these scenarios. Even a 180-day endpoint shift retained 96.48% of canonical interactions, showing that conservative endpoint handling is comparatively inexpensive.</w:t>
      </w:r>
    </w:p>
    <w:p>
      <w:pPr>
        <w:pStyle w:val="Heading1"/>
        <w:keepNext/>
      </w:pPr>
      <w:r>
        <w:t>7. Final ITRS-Compatible Window Decision</w:t>
      </w:r>
    </w:p>
    <w:p>
      <w:pPr>
        <w:spacing w:after="80" w:line="252" w:lineRule="auto"/>
      </w:pPr>
      <w:r>
        <w:rPr>
          <w:i w:val="0"/>
        </w:rPr>
        <w:t>After auditing the paper, the problem changed from selecting an arbitrary historical cutoff to selecting the most defensible endpoint for a fixed 15-year, 60-segment ITRS structure. The March 31, 2026 endpoint was selected because it provides a meaningful maturity interval relative to collection, retains approximately 99.0% of canonical interactions, and is the tested endpoint that aligns exactly with standard calendar quarters.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3024"/>
            <w:vAlign w:val="center"/>
            <w:tcMar>
              <w:top w:w="90" w:type="dxa"/>
              <w:start w:w="110" w:type="dxa"/>
              <w:bottom w:w="90" w:type="dxa"/>
              <w:end w:w="110" w:type="dxa"/>
            </w:tcMar>
            <w:shd w:fill="D9E2F3"/>
          </w:tcPr>
          <w:p>
            <w:pPr>
              <w:spacing w:before="0" w:after="20"/>
            </w:pPr>
            <w:r>
              <w:rPr>
                <w:rFonts w:ascii="Aptos" w:hAnsi="Aptos"/>
                <w:b/>
                <w:color w:val="1F1F1F"/>
                <w:sz w:val="18"/>
              </w:rPr>
              <w:t>Component</w:t>
            </w:r>
          </w:p>
        </w:tc>
        <w:tc>
          <w:tcPr>
            <w:tcW w:type="dxa" w:w="5040"/>
            <w:vAlign w:val="center"/>
            <w:tcMar>
              <w:top w:w="90" w:type="dxa"/>
              <w:start w:w="110" w:type="dxa"/>
              <w:bottom w:w="90" w:type="dxa"/>
              <w:end w:w="110" w:type="dxa"/>
            </w:tcMar>
            <w:shd w:fill="D9E2F3"/>
          </w:tcPr>
          <w:p>
            <w:pPr>
              <w:spacing w:before="0" w:after="20"/>
            </w:pPr>
            <w:r>
              <w:rPr>
                <w:rFonts w:ascii="Aptos" w:hAnsi="Aptos"/>
                <w:b/>
                <w:color w:val="1F1F1F"/>
                <w:sz w:val="18"/>
              </w:rPr>
              <w:t>Final Phase-2 decision</w:t>
            </w:r>
          </w:p>
        </w:tc>
      </w:tr>
      <w:tr>
        <w:tc>
          <w:tcPr>
            <w:tcW w:type="dxa" w:w="3024"/>
            <w:vAlign w:val="center"/>
            <w:tcMar>
              <w:top w:w="90" w:type="dxa"/>
              <w:start w:w="110" w:type="dxa"/>
              <w:bottom w:w="90" w:type="dxa"/>
              <w:end w:w="110" w:type="dxa"/>
            </w:tcMar>
          </w:tcPr>
          <w:p>
            <w:pPr>
              <w:spacing w:before="0" w:after="20"/>
            </w:pPr>
            <w:r>
              <w:rPr>
                <w:rFonts w:ascii="Aptos" w:hAnsi="Aptos"/>
                <w:sz w:val="18"/>
              </w:rPr>
              <w:t>Experimental endpoint</w:t>
            </w:r>
          </w:p>
        </w:tc>
        <w:tc>
          <w:tcPr>
            <w:tcW w:type="dxa" w:w="5040"/>
            <w:vAlign w:val="center"/>
            <w:tcMar>
              <w:top w:w="90" w:type="dxa"/>
              <w:start w:w="110" w:type="dxa"/>
              <w:bottom w:w="90" w:type="dxa"/>
              <w:end w:w="110" w:type="dxa"/>
            </w:tcMar>
          </w:tcPr>
          <w:p>
            <w:pPr>
              <w:spacing w:before="0" w:after="20"/>
            </w:pPr>
            <w:r>
              <w:rPr>
                <w:rFonts w:ascii="Aptos" w:hAnsi="Aptos"/>
                <w:sz w:val="18"/>
              </w:rPr>
              <w:t>2026-03-31</w:t>
            </w:r>
          </w:p>
        </w:tc>
      </w:tr>
      <w:tr>
        <w:tc>
          <w:tcPr>
            <w:tcW w:type="dxa" w:w="3024"/>
            <w:vAlign w:val="center"/>
            <w:tcMar>
              <w:top w:w="90" w:type="dxa"/>
              <w:start w:w="110" w:type="dxa"/>
              <w:bottom w:w="90" w:type="dxa"/>
              <w:end w:w="110" w:type="dxa"/>
            </w:tcMar>
          </w:tcPr>
          <w:p>
            <w:pPr>
              <w:spacing w:before="0" w:after="20"/>
            </w:pPr>
            <w:r>
              <w:rPr>
                <w:rFonts w:ascii="Aptos" w:hAnsi="Aptos"/>
                <w:sz w:val="18"/>
              </w:rPr>
              <w:t>Detailed start</w:t>
            </w:r>
          </w:p>
        </w:tc>
        <w:tc>
          <w:tcPr>
            <w:tcW w:type="dxa" w:w="5040"/>
            <w:vAlign w:val="center"/>
            <w:tcMar>
              <w:top w:w="90" w:type="dxa"/>
              <w:start w:w="110" w:type="dxa"/>
              <w:bottom w:w="90" w:type="dxa"/>
              <w:end w:w="110" w:type="dxa"/>
            </w:tcMar>
          </w:tcPr>
          <w:p>
            <w:pPr>
              <w:spacing w:before="0" w:after="20"/>
            </w:pPr>
            <w:r>
              <w:rPr>
                <w:rFonts w:ascii="Aptos" w:hAnsi="Aptos"/>
                <w:sz w:val="18"/>
              </w:rPr>
              <w:t>2011-04-01</w:t>
            </w:r>
          </w:p>
        </w:tc>
      </w:tr>
      <w:tr>
        <w:tc>
          <w:tcPr>
            <w:tcW w:type="dxa" w:w="3024"/>
            <w:vAlign w:val="center"/>
            <w:tcMar>
              <w:top w:w="90" w:type="dxa"/>
              <w:start w:w="110" w:type="dxa"/>
              <w:bottom w:w="90" w:type="dxa"/>
              <w:end w:w="110" w:type="dxa"/>
            </w:tcMar>
          </w:tcPr>
          <w:p>
            <w:pPr>
              <w:spacing w:before="0" w:after="20"/>
            </w:pPr>
            <w:r>
              <w:rPr>
                <w:rFonts w:ascii="Aptos" w:hAnsi="Aptos"/>
                <w:sz w:val="18"/>
              </w:rPr>
              <w:t>T0</w:t>
            </w:r>
          </w:p>
        </w:tc>
        <w:tc>
          <w:tcPr>
            <w:tcW w:type="dxa" w:w="5040"/>
            <w:vAlign w:val="center"/>
            <w:tcMar>
              <w:top w:w="90" w:type="dxa"/>
              <w:start w:w="110" w:type="dxa"/>
              <w:bottom w:w="90" w:type="dxa"/>
              <w:end w:w="110" w:type="dxa"/>
            </w:tcMar>
          </w:tcPr>
          <w:p>
            <w:pPr>
              <w:spacing w:before="0" w:after="20"/>
            </w:pPr>
            <w:r>
              <w:rPr>
                <w:rFonts w:ascii="Aptos" w:hAnsi="Aptos"/>
                <w:sz w:val="18"/>
              </w:rPr>
              <w:t>All eligible events &lt;= 2011-03-31</w:t>
            </w:r>
          </w:p>
        </w:tc>
      </w:tr>
      <w:tr>
        <w:tc>
          <w:tcPr>
            <w:tcW w:type="dxa" w:w="3024"/>
            <w:vAlign w:val="center"/>
            <w:tcMar>
              <w:top w:w="90" w:type="dxa"/>
              <w:start w:w="110" w:type="dxa"/>
              <w:bottom w:w="90" w:type="dxa"/>
              <w:end w:w="110" w:type="dxa"/>
            </w:tcMar>
          </w:tcPr>
          <w:p>
            <w:pPr>
              <w:spacing w:before="0" w:after="20"/>
            </w:pPr>
            <w:r>
              <w:rPr>
                <w:rFonts w:ascii="Aptos" w:hAnsi="Aptos"/>
                <w:sz w:val="18"/>
              </w:rPr>
              <w:t>T1-T60</w:t>
            </w:r>
          </w:p>
        </w:tc>
        <w:tc>
          <w:tcPr>
            <w:tcW w:type="dxa" w:w="5040"/>
            <w:vAlign w:val="center"/>
            <w:tcMar>
              <w:top w:w="90" w:type="dxa"/>
              <w:start w:w="110" w:type="dxa"/>
              <w:bottom w:w="90" w:type="dxa"/>
              <w:end w:w="110" w:type="dxa"/>
            </w:tcMar>
          </w:tcPr>
          <w:p>
            <w:pPr>
              <w:spacing w:before="0" w:after="20"/>
            </w:pPr>
            <w:r>
              <w:rPr>
                <w:rFonts w:ascii="Aptos" w:hAnsi="Aptos"/>
                <w:sz w:val="18"/>
              </w:rPr>
              <w:t>2011-04-01 through 2026-03-31</w:t>
            </w:r>
          </w:p>
        </w:tc>
      </w:tr>
      <w:tr>
        <w:tc>
          <w:tcPr>
            <w:tcW w:type="dxa" w:w="3024"/>
            <w:vAlign w:val="center"/>
            <w:tcMar>
              <w:top w:w="90" w:type="dxa"/>
              <w:start w:w="110" w:type="dxa"/>
              <w:bottom w:w="90" w:type="dxa"/>
              <w:end w:w="110" w:type="dxa"/>
            </w:tcMar>
          </w:tcPr>
          <w:p>
            <w:pPr>
              <w:spacing w:before="0" w:after="20"/>
            </w:pPr>
            <w:r>
              <w:rPr>
                <w:rFonts w:ascii="Aptos" w:hAnsi="Aptos"/>
                <w:sz w:val="18"/>
              </w:rPr>
              <w:t>Segment duration</w:t>
            </w:r>
          </w:p>
        </w:tc>
        <w:tc>
          <w:tcPr>
            <w:tcW w:type="dxa" w:w="5040"/>
            <w:vAlign w:val="center"/>
            <w:tcMar>
              <w:top w:w="90" w:type="dxa"/>
              <w:start w:w="110" w:type="dxa"/>
              <w:bottom w:w="90" w:type="dxa"/>
              <w:end w:w="110" w:type="dxa"/>
            </w:tcMar>
          </w:tcPr>
          <w:p>
            <w:pPr>
              <w:spacing w:before="0" w:after="20"/>
            </w:pPr>
            <w:r>
              <w:rPr>
                <w:rFonts w:ascii="Aptos" w:hAnsi="Aptos"/>
                <w:sz w:val="18"/>
              </w:rPr>
              <w:t>3 calendar months</w:t>
            </w:r>
          </w:p>
        </w:tc>
      </w:tr>
      <w:tr>
        <w:tc>
          <w:tcPr>
            <w:tcW w:type="dxa" w:w="3024"/>
            <w:vAlign w:val="center"/>
            <w:tcMar>
              <w:top w:w="90" w:type="dxa"/>
              <w:start w:w="110" w:type="dxa"/>
              <w:bottom w:w="90" w:type="dxa"/>
              <w:end w:w="110" w:type="dxa"/>
            </w:tcMar>
          </w:tcPr>
          <w:p>
            <w:pPr>
              <w:spacing w:before="0" w:after="20"/>
            </w:pPr>
            <w:r>
              <w:rPr>
                <w:rFonts w:ascii="Aptos" w:hAnsi="Aptos"/>
                <w:sz w:val="18"/>
              </w:rPr>
              <w:t>Detailed segment count</w:t>
            </w:r>
          </w:p>
        </w:tc>
        <w:tc>
          <w:tcPr>
            <w:tcW w:type="dxa" w:w="5040"/>
            <w:vAlign w:val="center"/>
            <w:tcMar>
              <w:top w:w="90" w:type="dxa"/>
              <w:start w:w="110" w:type="dxa"/>
              <w:bottom w:w="90" w:type="dxa"/>
              <w:end w:w="110" w:type="dxa"/>
            </w:tcMar>
          </w:tcPr>
          <w:p>
            <w:pPr>
              <w:spacing w:before="0" w:after="20"/>
            </w:pPr>
            <w:r>
              <w:rPr>
                <w:rFonts w:ascii="Aptos" w:hAnsi="Aptos"/>
                <w:sz w:val="18"/>
              </w:rPr>
              <w:t>60</w:t>
            </w:r>
          </w:p>
        </w:tc>
      </w:tr>
      <w:tr>
        <w:tc>
          <w:tcPr>
            <w:tcW w:type="dxa" w:w="3024"/>
            <w:vAlign w:val="center"/>
            <w:tcMar>
              <w:top w:w="90" w:type="dxa"/>
              <w:start w:w="110" w:type="dxa"/>
              <w:bottom w:w="90" w:type="dxa"/>
              <w:end w:w="110" w:type="dxa"/>
            </w:tcMar>
          </w:tcPr>
          <w:p>
            <w:pPr>
              <w:spacing w:before="0" w:after="20"/>
            </w:pPr>
            <w:r>
              <w:rPr>
                <w:rFonts w:ascii="Aptos" w:hAnsi="Aptos"/>
                <w:sz w:val="18"/>
              </w:rPr>
              <w:t>Calendar alignment</w:t>
            </w:r>
          </w:p>
        </w:tc>
        <w:tc>
          <w:tcPr>
            <w:tcW w:type="dxa" w:w="5040"/>
            <w:vAlign w:val="center"/>
            <w:tcMar>
              <w:top w:w="90" w:type="dxa"/>
              <w:start w:w="110" w:type="dxa"/>
              <w:bottom w:w="90" w:type="dxa"/>
              <w:end w:w="110" w:type="dxa"/>
            </w:tcMar>
          </w:tcPr>
          <w:p>
            <w:pPr>
              <w:spacing w:before="0" w:after="20"/>
            </w:pPr>
            <w:r>
              <w:rPr>
                <w:rFonts w:ascii="Aptos" w:hAnsi="Aptos"/>
                <w:sz w:val="18"/>
              </w:rPr>
              <w:t>Standard quarters</w:t>
            </w:r>
          </w:p>
        </w:tc>
      </w:tr>
      <w:tr>
        <w:tc>
          <w:tcPr>
            <w:tcW w:type="dxa" w:w="3024"/>
            <w:vAlign w:val="center"/>
            <w:tcMar>
              <w:top w:w="90" w:type="dxa"/>
              <w:start w:w="110" w:type="dxa"/>
              <w:bottom w:w="90" w:type="dxa"/>
              <w:end w:w="110" w:type="dxa"/>
            </w:tcMar>
          </w:tcPr>
          <w:p>
            <w:pPr>
              <w:spacing w:before="0" w:after="20"/>
            </w:pPr>
            <w:r>
              <w:rPr>
                <w:rFonts w:ascii="Aptos" w:hAnsi="Aptos"/>
                <w:sz w:val="18"/>
              </w:rPr>
              <w:t>T60</w:t>
            </w:r>
          </w:p>
        </w:tc>
        <w:tc>
          <w:tcPr>
            <w:tcW w:type="dxa" w:w="5040"/>
            <w:vAlign w:val="center"/>
            <w:tcMar>
              <w:top w:w="90" w:type="dxa"/>
              <w:start w:w="110" w:type="dxa"/>
              <w:bottom w:w="90" w:type="dxa"/>
              <w:end w:w="110" w:type="dxa"/>
            </w:tcMar>
          </w:tcPr>
          <w:p>
            <w:pPr>
              <w:spacing w:before="0" w:after="20"/>
            </w:pPr>
            <w:r>
              <w:rPr>
                <w:rFonts w:ascii="Aptos" w:hAnsi="Aptos"/>
                <w:sz w:val="18"/>
              </w:rPr>
              <w:t>2026-01-01 through 2026-03-31</w:t>
            </w:r>
          </w:p>
        </w:tc>
      </w:tr>
      <w:tr>
        <w:tc>
          <w:tcPr>
            <w:tcW w:type="dxa" w:w="3024"/>
            <w:vAlign w:val="center"/>
            <w:tcMar>
              <w:top w:w="90" w:type="dxa"/>
              <w:start w:w="110" w:type="dxa"/>
              <w:bottom w:w="90" w:type="dxa"/>
              <w:end w:w="110" w:type="dxa"/>
            </w:tcMar>
          </w:tcPr>
          <w:p>
            <w:pPr>
              <w:spacing w:before="0" w:after="20"/>
            </w:pPr>
            <w:r>
              <w:rPr>
                <w:rFonts w:ascii="Aptos" w:hAnsi="Aptos"/>
                <w:sz w:val="18"/>
              </w:rPr>
              <w:t>Post-endpoint events</w:t>
            </w:r>
          </w:p>
        </w:tc>
        <w:tc>
          <w:tcPr>
            <w:tcW w:type="dxa" w:w="5040"/>
            <w:vAlign w:val="center"/>
            <w:tcMar>
              <w:top w:w="90" w:type="dxa"/>
              <w:start w:w="110" w:type="dxa"/>
              <w:bottom w:w="90" w:type="dxa"/>
              <w:end w:w="110" w:type="dxa"/>
            </w:tcMar>
          </w:tcPr>
          <w:p>
            <w:pPr>
              <w:spacing w:before="0" w:after="20"/>
            </w:pPr>
            <w:r>
              <w:rPr>
                <w:rFonts w:ascii="Aptos" w:hAnsi="Aptos"/>
                <w:sz w:val="18"/>
              </w:rPr>
              <w:t>Preserved outside the experiment</w:t>
            </w:r>
          </w:p>
        </w:tc>
      </w:tr>
    </w:tbl>
    <w:p>
      <w:pPr>
        <w:spacing w:after="0"/>
      </w:pPr>
    </w:p>
    <w:tbl>
      <w:tblPr>
        <w:tblStyle w:val="TableGrid"/>
        <w:tblW w:type="auto" w:w="0"/>
        <w:jc w:val="center"/>
        <w:tblLook w:firstColumn="1" w:firstRow="1" w:lastColumn="0" w:lastRow="0" w:noHBand="0" w:noVBand="1" w:val="04A0"/>
      </w:tblPr>
      <w:tblGrid>
        <w:gridCol w:w="10166"/>
      </w:tblGrid>
      <w:tr>
        <w:tc>
          <w:tcPr>
            <w:tcW w:type="dxa" w:w="10166"/>
            <w:shd w:fill="F7F7F7"/>
            <w:tcMar>
              <w:top w:w="120" w:type="dxa"/>
              <w:start w:w="150" w:type="dxa"/>
              <w:bottom w:w="120" w:type="dxa"/>
              <w:end w:w="150" w:type="dxa"/>
            </w:tcMar>
          </w:tcPr>
          <w:p>
            <w:pPr>
              <w:spacing w:before="0" w:after="0"/>
            </w:pPr>
            <w:r>
              <w:rPr>
                <w:rFonts w:ascii="Aptos Mono" w:hAnsi="Aptos Mono"/>
                <w:sz w:val="17"/>
              </w:rPr>
              <w:t>T0      &lt;= 2011-03-31              compressed prehistory</w:t>
            </w:r>
            <w:r>
              <w:br/>
            </w:r>
            <w:r>
              <w:rPr>
                <w:rFonts w:ascii="Aptos Mono" w:hAnsi="Aptos Mono"/>
                <w:sz w:val="17"/>
              </w:rPr>
            </w:r>
            <w:r>
              <w:br/>
            </w:r>
            <w:r>
              <w:rPr>
                <w:rFonts w:ascii="Aptos Mono" w:hAnsi="Aptos Mono"/>
                <w:sz w:val="17"/>
              </w:rPr>
              <w:t>T1      2011-04-01 -&gt; 2011-06-30</w:t>
            </w:r>
            <w:r>
              <w:br/>
            </w:r>
            <w:r>
              <w:rPr>
                <w:rFonts w:ascii="Aptos Mono" w:hAnsi="Aptos Mono"/>
                <w:sz w:val="17"/>
              </w:rPr>
              <w:t>T2      2011-07-01 -&gt; 2011-09-30</w:t>
            </w:r>
            <w:r>
              <w:br/>
            </w:r>
            <w:r>
              <w:rPr>
                <w:rFonts w:ascii="Aptos Mono" w:hAnsi="Aptos Mono"/>
                <w:sz w:val="17"/>
              </w:rPr>
              <w:t>...</w:t>
            </w:r>
            <w:r>
              <w:br/>
            </w:r>
            <w:r>
              <w:rPr>
                <w:rFonts w:ascii="Aptos Mono" w:hAnsi="Aptos Mono"/>
                <w:sz w:val="17"/>
              </w:rPr>
              <w:t>T57     2025-04-01 -&gt; 2025-06-30</w:t>
            </w:r>
            <w:r>
              <w:br/>
            </w:r>
            <w:r>
              <w:rPr>
                <w:rFonts w:ascii="Aptos Mono" w:hAnsi="Aptos Mono"/>
                <w:sz w:val="17"/>
              </w:rPr>
              <w:t>T58     2025-07-01 -&gt; 2025-09-30</w:t>
            </w:r>
            <w:r>
              <w:br/>
            </w:r>
            <w:r>
              <w:rPr>
                <w:rFonts w:ascii="Aptos Mono" w:hAnsi="Aptos Mono"/>
                <w:sz w:val="17"/>
              </w:rPr>
              <w:t>T59     2025-10-01 -&gt; 2025-12-31</w:t>
            </w:r>
            <w:r>
              <w:br/>
            </w:r>
            <w:r>
              <w:rPr>
                <w:rFonts w:ascii="Aptos Mono" w:hAnsi="Aptos Mono"/>
                <w:sz w:val="17"/>
              </w:rPr>
              <w:t>T60     2026-01-01 -&gt; 2026-03-31   evaluation pool</w:t>
            </w:r>
          </w:p>
        </w:tc>
      </w:tr>
    </w:tbl>
    <w:p>
      <w:pPr>
        <w:spacing w:after="0"/>
      </w:pPr>
    </w:p>
    <w:p>
      <w:pPr>
        <w:pStyle w:val="Heading1"/>
        <w:keepNext/>
      </w:pPr>
      <w:r>
        <w:t>8. Temporal Layer Materialization</w:t>
      </w:r>
    </w:p>
    <w:p>
      <w:pPr>
        <w:spacing w:after="80" w:line="252" w:lineRule="auto"/>
      </w:pPr>
      <w:r>
        <w:rPr>
          <w:i w:val="0"/>
        </w:rPr>
        <w:t>The selected architecture was materialized as an experimental layer without modifying data/processed/interactions.parquet. The final temporal experiment contains 1,195,937 events. T0 contains 100,173 events, T1-T60 contain 1,095,764, and T60 contains 22,515. Every detailed segment contains interactions; the least populated detailed segment has 4,342 events.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232"/>
            <w:vAlign w:val="center"/>
            <w:tcMar>
              <w:top w:w="90" w:type="dxa"/>
              <w:start w:w="110" w:type="dxa"/>
              <w:bottom w:w="90" w:type="dxa"/>
              <w:end w:w="110" w:type="dxa"/>
            </w:tcMar>
            <w:shd w:fill="D9E2F3"/>
          </w:tcPr>
          <w:p>
            <w:pPr>
              <w:spacing w:before="0" w:after="20"/>
            </w:pPr>
            <w:r>
              <w:rPr>
                <w:rFonts w:ascii="Aptos" w:hAnsi="Aptos"/>
                <w:b/>
                <w:color w:val="1F1F1F"/>
                <w:sz w:val="18"/>
              </w:rPr>
              <w:t>Layer</w:t>
            </w:r>
          </w:p>
        </w:tc>
        <w:tc>
          <w:tcPr>
            <w:tcW w:type="dxa" w:w="1728"/>
            <w:vAlign w:val="center"/>
            <w:tcMar>
              <w:top w:w="90" w:type="dxa"/>
              <w:start w:w="110" w:type="dxa"/>
              <w:bottom w:w="90" w:type="dxa"/>
              <w:end w:w="110" w:type="dxa"/>
            </w:tcMar>
            <w:shd w:fill="D9E2F3"/>
          </w:tcPr>
          <w:p>
            <w:pPr>
              <w:spacing w:before="0" w:after="20"/>
            </w:pPr>
            <w:r>
              <w:rPr>
                <w:rFonts w:ascii="Aptos" w:hAnsi="Aptos"/>
                <w:b/>
                <w:color w:val="1F1F1F"/>
                <w:sz w:val="18"/>
              </w:rPr>
              <w:t>Rows</w:t>
            </w:r>
          </w:p>
        </w:tc>
        <w:tc>
          <w:tcPr>
            <w:tcW w:type="dxa" w:w="4176"/>
            <w:vAlign w:val="center"/>
            <w:tcMar>
              <w:top w:w="90" w:type="dxa"/>
              <w:start w:w="110" w:type="dxa"/>
              <w:bottom w:w="90" w:type="dxa"/>
              <w:end w:w="110" w:type="dxa"/>
            </w:tcMar>
            <w:shd w:fill="D9E2F3"/>
          </w:tcPr>
          <w:p>
            <w:pPr>
              <w:spacing w:before="0" w:after="20"/>
            </w:pPr>
            <w:r>
              <w:rPr>
                <w:rFonts w:ascii="Aptos" w:hAnsi="Aptos"/>
                <w:b/>
                <w:color w:val="1F1F1F"/>
                <w:sz w:val="18"/>
              </w:rPr>
              <w:t>Date / segment scope</w:t>
            </w:r>
          </w:p>
        </w:tc>
      </w:tr>
      <w:tr>
        <w:tc>
          <w:tcPr>
            <w:tcW w:type="dxa" w:w="2232"/>
            <w:vAlign w:val="center"/>
            <w:tcMar>
              <w:top w:w="90" w:type="dxa"/>
              <w:start w:w="110" w:type="dxa"/>
              <w:bottom w:w="90" w:type="dxa"/>
              <w:end w:w="110" w:type="dxa"/>
            </w:tcMar>
          </w:tcPr>
          <w:p>
            <w:pPr>
              <w:spacing w:before="0" w:after="20"/>
            </w:pPr>
            <w:r>
              <w:rPr>
                <w:rFonts w:ascii="Aptos" w:hAnsi="Aptos"/>
                <w:sz w:val="18"/>
              </w:rPr>
              <w:t>Canonical</w:t>
            </w:r>
          </w:p>
        </w:tc>
        <w:tc>
          <w:tcPr>
            <w:tcW w:type="dxa" w:w="1728"/>
            <w:vAlign w:val="center"/>
            <w:tcMar>
              <w:top w:w="90" w:type="dxa"/>
              <w:start w:w="110" w:type="dxa"/>
              <w:bottom w:w="90" w:type="dxa"/>
              <w:end w:w="110" w:type="dxa"/>
            </w:tcMar>
          </w:tcPr>
          <w:p>
            <w:pPr>
              <w:spacing w:before="0" w:after="20"/>
            </w:pPr>
            <w:r>
              <w:rPr>
                <w:rFonts w:ascii="Aptos" w:hAnsi="Aptos"/>
                <w:sz w:val="18"/>
              </w:rPr>
              <w:t>1,208,051</w:t>
            </w:r>
          </w:p>
        </w:tc>
        <w:tc>
          <w:tcPr>
            <w:tcW w:type="dxa" w:w="4176"/>
            <w:vAlign w:val="center"/>
            <w:tcMar>
              <w:top w:w="90" w:type="dxa"/>
              <w:start w:w="110" w:type="dxa"/>
              <w:bottom w:w="90" w:type="dxa"/>
              <w:end w:w="110" w:type="dxa"/>
            </w:tcMar>
          </w:tcPr>
          <w:p>
            <w:pPr>
              <w:spacing w:before="0" w:after="20"/>
            </w:pPr>
            <w:r>
              <w:rPr>
                <w:rFonts w:ascii="Aptos" w:hAnsi="Aptos"/>
                <w:sz w:val="18"/>
              </w:rPr>
              <w:t>1945-01-01 -&gt; 2026-06-01</w:t>
            </w:r>
          </w:p>
        </w:tc>
      </w:tr>
      <w:tr>
        <w:tc>
          <w:tcPr>
            <w:tcW w:type="dxa" w:w="2232"/>
            <w:vAlign w:val="center"/>
            <w:tcMar>
              <w:top w:w="90" w:type="dxa"/>
              <w:start w:w="110" w:type="dxa"/>
              <w:bottom w:w="90" w:type="dxa"/>
              <w:end w:w="110" w:type="dxa"/>
            </w:tcMar>
          </w:tcPr>
          <w:p>
            <w:pPr>
              <w:spacing w:before="0" w:after="20"/>
            </w:pPr>
            <w:r>
              <w:rPr>
                <w:rFonts w:ascii="Aptos" w:hAnsi="Aptos"/>
                <w:sz w:val="18"/>
              </w:rPr>
              <w:t>Temporal experiment</w:t>
            </w:r>
          </w:p>
        </w:tc>
        <w:tc>
          <w:tcPr>
            <w:tcW w:type="dxa" w:w="1728"/>
            <w:vAlign w:val="center"/>
            <w:tcMar>
              <w:top w:w="90" w:type="dxa"/>
              <w:start w:w="110" w:type="dxa"/>
              <w:bottom w:w="90" w:type="dxa"/>
              <w:end w:w="110" w:type="dxa"/>
            </w:tcMar>
          </w:tcPr>
          <w:p>
            <w:pPr>
              <w:spacing w:before="0" w:after="20"/>
            </w:pPr>
            <w:r>
              <w:rPr>
                <w:rFonts w:ascii="Aptos" w:hAnsi="Aptos"/>
                <w:sz w:val="18"/>
              </w:rPr>
              <w:t>1,195,937</w:t>
            </w:r>
          </w:p>
        </w:tc>
        <w:tc>
          <w:tcPr>
            <w:tcW w:type="dxa" w:w="4176"/>
            <w:vAlign w:val="center"/>
            <w:tcMar>
              <w:top w:w="90" w:type="dxa"/>
              <w:start w:w="110" w:type="dxa"/>
              <w:bottom w:w="90" w:type="dxa"/>
              <w:end w:w="110" w:type="dxa"/>
            </w:tcMar>
          </w:tcPr>
          <w:p>
            <w:pPr>
              <w:spacing w:before="0" w:after="20"/>
            </w:pPr>
            <w:r>
              <w:rPr>
                <w:rFonts w:ascii="Aptos" w:hAnsi="Aptos"/>
                <w:sz w:val="18"/>
              </w:rPr>
              <w:t>&lt;= 2026-03-31</w:t>
            </w:r>
          </w:p>
        </w:tc>
      </w:tr>
      <w:tr>
        <w:tc>
          <w:tcPr>
            <w:tcW w:type="dxa" w:w="2232"/>
            <w:vAlign w:val="center"/>
            <w:tcMar>
              <w:top w:w="90" w:type="dxa"/>
              <w:start w:w="110" w:type="dxa"/>
              <w:bottom w:w="90" w:type="dxa"/>
              <w:end w:w="110" w:type="dxa"/>
            </w:tcMar>
          </w:tcPr>
          <w:p>
            <w:pPr>
              <w:spacing w:before="0" w:after="20"/>
            </w:pPr>
            <w:r>
              <w:rPr>
                <w:rFonts w:ascii="Aptos" w:hAnsi="Aptos"/>
                <w:sz w:val="18"/>
              </w:rPr>
              <w:t>T0</w:t>
            </w:r>
          </w:p>
        </w:tc>
        <w:tc>
          <w:tcPr>
            <w:tcW w:type="dxa" w:w="1728"/>
            <w:vAlign w:val="center"/>
            <w:tcMar>
              <w:top w:w="90" w:type="dxa"/>
              <w:start w:w="110" w:type="dxa"/>
              <w:bottom w:w="90" w:type="dxa"/>
              <w:end w:w="110" w:type="dxa"/>
            </w:tcMar>
          </w:tcPr>
          <w:p>
            <w:pPr>
              <w:spacing w:before="0" w:after="20"/>
            </w:pPr>
            <w:r>
              <w:rPr>
                <w:rFonts w:ascii="Aptos" w:hAnsi="Aptos"/>
                <w:sz w:val="18"/>
              </w:rPr>
              <w:t>100,173</w:t>
            </w:r>
          </w:p>
        </w:tc>
        <w:tc>
          <w:tcPr>
            <w:tcW w:type="dxa" w:w="4176"/>
            <w:vAlign w:val="center"/>
            <w:tcMar>
              <w:top w:w="90" w:type="dxa"/>
              <w:start w:w="110" w:type="dxa"/>
              <w:bottom w:w="90" w:type="dxa"/>
              <w:end w:w="110" w:type="dxa"/>
            </w:tcMar>
          </w:tcPr>
          <w:p>
            <w:pPr>
              <w:spacing w:before="0" w:after="20"/>
            </w:pPr>
            <w:r>
              <w:rPr>
                <w:rFonts w:ascii="Aptos" w:hAnsi="Aptos"/>
                <w:sz w:val="18"/>
              </w:rPr>
              <w:t>&lt;= 2011-03-31</w:t>
            </w:r>
          </w:p>
        </w:tc>
      </w:tr>
      <w:tr>
        <w:tc>
          <w:tcPr>
            <w:tcW w:type="dxa" w:w="2232"/>
            <w:vAlign w:val="center"/>
            <w:tcMar>
              <w:top w:w="90" w:type="dxa"/>
              <w:start w:w="110" w:type="dxa"/>
              <w:bottom w:w="90" w:type="dxa"/>
              <w:end w:w="110" w:type="dxa"/>
            </w:tcMar>
          </w:tcPr>
          <w:p>
            <w:pPr>
              <w:spacing w:before="0" w:after="20"/>
            </w:pPr>
            <w:r>
              <w:rPr>
                <w:rFonts w:ascii="Aptos" w:hAnsi="Aptos"/>
                <w:sz w:val="18"/>
              </w:rPr>
              <w:t>T1-T59</w:t>
            </w:r>
          </w:p>
        </w:tc>
        <w:tc>
          <w:tcPr>
            <w:tcW w:type="dxa" w:w="1728"/>
            <w:vAlign w:val="center"/>
            <w:tcMar>
              <w:top w:w="90" w:type="dxa"/>
              <w:start w:w="110" w:type="dxa"/>
              <w:bottom w:w="90" w:type="dxa"/>
              <w:end w:w="110" w:type="dxa"/>
            </w:tcMar>
          </w:tcPr>
          <w:p>
            <w:pPr>
              <w:spacing w:before="0" w:after="20"/>
            </w:pPr>
            <w:r>
              <w:rPr>
                <w:rFonts w:ascii="Aptos" w:hAnsi="Aptos"/>
                <w:sz w:val="18"/>
              </w:rPr>
              <w:t>1,073,249</w:t>
            </w:r>
          </w:p>
        </w:tc>
        <w:tc>
          <w:tcPr>
            <w:tcW w:type="dxa" w:w="4176"/>
            <w:vAlign w:val="center"/>
            <w:tcMar>
              <w:top w:w="90" w:type="dxa"/>
              <w:start w:w="110" w:type="dxa"/>
              <w:bottom w:w="90" w:type="dxa"/>
              <w:end w:w="110" w:type="dxa"/>
            </w:tcMar>
          </w:tcPr>
          <w:p>
            <w:pPr>
              <w:spacing w:before="0" w:after="20"/>
            </w:pPr>
            <w:r>
              <w:rPr>
                <w:rFonts w:ascii="Aptos" w:hAnsi="Aptos"/>
                <w:sz w:val="18"/>
              </w:rPr>
              <w:t>2011Q2 -&gt; 2025Q4</w:t>
            </w:r>
          </w:p>
        </w:tc>
      </w:tr>
      <w:tr>
        <w:tc>
          <w:tcPr>
            <w:tcW w:type="dxa" w:w="2232"/>
            <w:vAlign w:val="center"/>
            <w:tcMar>
              <w:top w:w="90" w:type="dxa"/>
              <w:start w:w="110" w:type="dxa"/>
              <w:bottom w:w="90" w:type="dxa"/>
              <w:end w:w="110" w:type="dxa"/>
            </w:tcMar>
          </w:tcPr>
          <w:p>
            <w:pPr>
              <w:spacing w:before="0" w:after="20"/>
            </w:pPr>
            <w:r>
              <w:rPr>
                <w:rFonts w:ascii="Aptos" w:hAnsi="Aptos"/>
                <w:sz w:val="18"/>
              </w:rPr>
              <w:t>T60</w:t>
            </w:r>
          </w:p>
        </w:tc>
        <w:tc>
          <w:tcPr>
            <w:tcW w:type="dxa" w:w="1728"/>
            <w:vAlign w:val="center"/>
            <w:tcMar>
              <w:top w:w="90" w:type="dxa"/>
              <w:start w:w="110" w:type="dxa"/>
              <w:bottom w:w="90" w:type="dxa"/>
              <w:end w:w="110" w:type="dxa"/>
            </w:tcMar>
          </w:tcPr>
          <w:p>
            <w:pPr>
              <w:spacing w:before="0" w:after="20"/>
            </w:pPr>
            <w:r>
              <w:rPr>
                <w:rFonts w:ascii="Aptos" w:hAnsi="Aptos"/>
                <w:sz w:val="18"/>
              </w:rPr>
              <w:t>22,515</w:t>
            </w:r>
          </w:p>
        </w:tc>
        <w:tc>
          <w:tcPr>
            <w:tcW w:type="dxa" w:w="4176"/>
            <w:vAlign w:val="center"/>
            <w:tcMar>
              <w:top w:w="90" w:type="dxa"/>
              <w:start w:w="110" w:type="dxa"/>
              <w:bottom w:w="90" w:type="dxa"/>
              <w:end w:w="110" w:type="dxa"/>
            </w:tcMar>
          </w:tcPr>
          <w:p>
            <w:pPr>
              <w:spacing w:before="0" w:after="20"/>
            </w:pPr>
            <w:r>
              <w:rPr>
                <w:rFonts w:ascii="Aptos" w:hAnsi="Aptos"/>
                <w:sz w:val="18"/>
              </w:rPr>
              <w:t>2026Q1</w:t>
            </w:r>
          </w:p>
        </w:tc>
      </w:tr>
      <w:tr>
        <w:tc>
          <w:tcPr>
            <w:tcW w:type="dxa" w:w="2232"/>
            <w:vAlign w:val="center"/>
            <w:tcMar>
              <w:top w:w="90" w:type="dxa"/>
              <w:start w:w="110" w:type="dxa"/>
              <w:bottom w:w="90" w:type="dxa"/>
              <w:end w:w="110" w:type="dxa"/>
            </w:tcMar>
          </w:tcPr>
          <w:p>
            <w:pPr>
              <w:spacing w:before="0" w:after="20"/>
            </w:pPr>
            <w:r>
              <w:rPr>
                <w:rFonts w:ascii="Aptos" w:hAnsi="Aptos"/>
                <w:sz w:val="18"/>
              </w:rPr>
              <w:t>Post-endpoint</w:t>
            </w:r>
          </w:p>
        </w:tc>
        <w:tc>
          <w:tcPr>
            <w:tcW w:type="dxa" w:w="1728"/>
            <w:vAlign w:val="center"/>
            <w:tcMar>
              <w:top w:w="90" w:type="dxa"/>
              <w:start w:w="110" w:type="dxa"/>
              <w:bottom w:w="90" w:type="dxa"/>
              <w:end w:w="110" w:type="dxa"/>
            </w:tcMar>
          </w:tcPr>
          <w:p>
            <w:pPr>
              <w:spacing w:before="0" w:after="20"/>
            </w:pPr>
            <w:r>
              <w:rPr>
                <w:rFonts w:ascii="Aptos" w:hAnsi="Aptos"/>
                <w:sz w:val="18"/>
              </w:rPr>
              <w:t>12,114</w:t>
            </w:r>
          </w:p>
        </w:tc>
        <w:tc>
          <w:tcPr>
            <w:tcW w:type="dxa" w:w="4176"/>
            <w:vAlign w:val="center"/>
            <w:tcMar>
              <w:top w:w="90" w:type="dxa"/>
              <w:start w:w="110" w:type="dxa"/>
              <w:bottom w:w="90" w:type="dxa"/>
              <w:end w:w="110" w:type="dxa"/>
            </w:tcMar>
          </w:tcPr>
          <w:p>
            <w:pPr>
              <w:spacing w:before="0" w:after="20"/>
            </w:pPr>
            <w:r>
              <w:rPr>
                <w:rFonts w:ascii="Aptos" w:hAnsi="Aptos"/>
                <w:sz w:val="18"/>
              </w:rPr>
              <w:t>2026-04-01 -&gt; 2026-06-01</w:t>
            </w:r>
          </w:p>
        </w:tc>
      </w:tr>
    </w:tbl>
    <w:p>
      <w:pPr>
        <w:spacing w:after="0"/>
      </w:pPr>
    </w:p>
    <w:p>
      <w:pPr>
        <w:pStyle w:val="Heading1"/>
        <w:keepNext/>
      </w:pPr>
      <w:r>
        <w:t>9. T60 Evaluation-Pool Audit</w:t>
      </w:r>
    </w:p>
    <w:p>
      <w:pPr>
        <w:spacing w:after="80" w:line="252" w:lineRule="auto"/>
      </w:pPr>
      <w:r>
        <w:rPr>
          <w:i w:val="0"/>
        </w:rPr>
        <w:t>T60 contains 22,515 interactions, 11,884 investors, 8,992 startups, and 22,327 unique investor-startup pairs. Interaction-cold start is substantial, especially for startups, but must not be confused with graph-level cold start: an entity with no prior investment interaction may still have descriptive or relational information in the later heterogeneous graph.</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4320"/>
            <w:vAlign w:val="center"/>
            <w:tcMar>
              <w:top w:w="90" w:type="dxa"/>
              <w:start w:w="110" w:type="dxa"/>
              <w:bottom w:w="90" w:type="dxa"/>
              <w:end w:w="110" w:type="dxa"/>
            </w:tcMar>
            <w:shd w:fill="D9E2F3"/>
          </w:tcPr>
          <w:p>
            <w:pPr>
              <w:spacing w:before="0" w:after="20"/>
            </w:pPr>
            <w:r>
              <w:rPr>
                <w:rFonts w:ascii="Aptos" w:hAnsi="Aptos"/>
                <w:b/>
                <w:color w:val="1F1F1F"/>
                <w:sz w:val="17"/>
              </w:rPr>
              <w:t>T60 diagnostic</w:t>
            </w:r>
          </w:p>
        </w:tc>
        <w:tc>
          <w:tcPr>
            <w:tcW w:type="dxa" w:w="3744"/>
            <w:vAlign w:val="center"/>
            <w:tcMar>
              <w:top w:w="90" w:type="dxa"/>
              <w:start w:w="110" w:type="dxa"/>
              <w:bottom w:w="90" w:type="dxa"/>
              <w:end w:w="110" w:type="dxa"/>
            </w:tcMar>
            <w:shd w:fill="D9E2F3"/>
          </w:tcPr>
          <w:p>
            <w:pPr>
              <w:spacing w:before="0" w:after="20"/>
            </w:pPr>
            <w:r>
              <w:rPr>
                <w:rFonts w:ascii="Aptos" w:hAnsi="Aptos"/>
                <w:b/>
                <w:color w:val="1F1F1F"/>
                <w:sz w:val="17"/>
              </w:rPr>
              <w:t>Count / share</w:t>
            </w:r>
          </w:p>
        </w:tc>
      </w:tr>
      <w:tr>
        <w:tc>
          <w:tcPr>
            <w:tcW w:type="dxa" w:w="4320"/>
            <w:vAlign w:val="center"/>
            <w:tcMar>
              <w:top w:w="90" w:type="dxa"/>
              <w:start w:w="110" w:type="dxa"/>
              <w:bottom w:w="90" w:type="dxa"/>
              <w:end w:w="110" w:type="dxa"/>
            </w:tcMar>
          </w:tcPr>
          <w:p>
            <w:pPr>
              <w:spacing w:before="0" w:after="20"/>
            </w:pPr>
            <w:r>
              <w:rPr>
                <w:rFonts w:ascii="Aptos" w:hAnsi="Aptos"/>
                <w:sz w:val="17"/>
              </w:rPr>
              <w:t>Interaction-cold investors</w:t>
            </w:r>
          </w:p>
        </w:tc>
        <w:tc>
          <w:tcPr>
            <w:tcW w:type="dxa" w:w="3744"/>
            <w:vAlign w:val="center"/>
            <w:tcMar>
              <w:top w:w="90" w:type="dxa"/>
              <w:start w:w="110" w:type="dxa"/>
              <w:bottom w:w="90" w:type="dxa"/>
              <w:end w:w="110" w:type="dxa"/>
            </w:tcMar>
          </w:tcPr>
          <w:p>
            <w:pPr>
              <w:spacing w:before="0" w:after="20"/>
            </w:pPr>
            <w:r>
              <w:rPr>
                <w:rFonts w:ascii="Aptos" w:hAnsi="Aptos"/>
                <w:sz w:val="17"/>
              </w:rPr>
              <w:t>3,060 (25.75% of T60 investors)</w:t>
            </w:r>
          </w:p>
        </w:tc>
      </w:tr>
      <w:tr>
        <w:tc>
          <w:tcPr>
            <w:tcW w:type="dxa" w:w="4320"/>
            <w:vAlign w:val="center"/>
            <w:tcMar>
              <w:top w:w="90" w:type="dxa"/>
              <w:start w:w="110" w:type="dxa"/>
              <w:bottom w:w="90" w:type="dxa"/>
              <w:end w:w="110" w:type="dxa"/>
            </w:tcMar>
          </w:tcPr>
          <w:p>
            <w:pPr>
              <w:spacing w:before="0" w:after="20"/>
            </w:pPr>
            <w:r>
              <w:rPr>
                <w:rFonts w:ascii="Aptos" w:hAnsi="Aptos"/>
                <w:sz w:val="17"/>
              </w:rPr>
              <w:t>Interaction-cold startups</w:t>
            </w:r>
          </w:p>
        </w:tc>
        <w:tc>
          <w:tcPr>
            <w:tcW w:type="dxa" w:w="3744"/>
            <w:vAlign w:val="center"/>
            <w:tcMar>
              <w:top w:w="90" w:type="dxa"/>
              <w:start w:w="110" w:type="dxa"/>
              <w:bottom w:w="90" w:type="dxa"/>
              <w:end w:w="110" w:type="dxa"/>
            </w:tcMar>
          </w:tcPr>
          <w:p>
            <w:pPr>
              <w:spacing w:before="0" w:after="20"/>
            </w:pPr>
            <w:r>
              <w:rPr>
                <w:rFonts w:ascii="Aptos" w:hAnsi="Aptos"/>
                <w:sz w:val="17"/>
              </w:rPr>
              <w:t>4,715 (52.44% of T60 startups)</w:t>
            </w:r>
          </w:p>
        </w:tc>
      </w:tr>
      <w:tr>
        <w:tc>
          <w:tcPr>
            <w:tcW w:type="dxa" w:w="4320"/>
            <w:vAlign w:val="center"/>
            <w:tcMar>
              <w:top w:w="90" w:type="dxa"/>
              <w:start w:w="110" w:type="dxa"/>
              <w:bottom w:w="90" w:type="dxa"/>
              <w:end w:w="110" w:type="dxa"/>
            </w:tcMar>
          </w:tcPr>
          <w:p>
            <w:pPr>
              <w:spacing w:before="0" w:after="20"/>
            </w:pPr>
            <w:r>
              <w:rPr>
                <w:rFonts w:ascii="Aptos" w:hAnsi="Aptos"/>
                <w:sz w:val="17"/>
              </w:rPr>
              <w:t>Events with cold investor</w:t>
            </w:r>
          </w:p>
        </w:tc>
        <w:tc>
          <w:tcPr>
            <w:tcW w:type="dxa" w:w="3744"/>
            <w:vAlign w:val="center"/>
            <w:tcMar>
              <w:top w:w="90" w:type="dxa"/>
              <w:start w:w="110" w:type="dxa"/>
              <w:bottom w:w="90" w:type="dxa"/>
              <w:end w:w="110" w:type="dxa"/>
            </w:tcMar>
          </w:tcPr>
          <w:p>
            <w:pPr>
              <w:spacing w:before="0" w:after="20"/>
            </w:pPr>
            <w:r>
              <w:rPr>
                <w:rFonts w:ascii="Aptos" w:hAnsi="Aptos"/>
                <w:sz w:val="17"/>
              </w:rPr>
              <w:t>3,541 (15.73% of T60 events)</w:t>
            </w:r>
          </w:p>
        </w:tc>
      </w:tr>
      <w:tr>
        <w:tc>
          <w:tcPr>
            <w:tcW w:type="dxa" w:w="4320"/>
            <w:vAlign w:val="center"/>
            <w:tcMar>
              <w:top w:w="90" w:type="dxa"/>
              <w:start w:w="110" w:type="dxa"/>
              <w:bottom w:w="90" w:type="dxa"/>
              <w:end w:w="110" w:type="dxa"/>
            </w:tcMar>
          </w:tcPr>
          <w:p>
            <w:pPr>
              <w:spacing w:before="0" w:after="20"/>
            </w:pPr>
            <w:r>
              <w:rPr>
                <w:rFonts w:ascii="Aptos" w:hAnsi="Aptos"/>
                <w:sz w:val="17"/>
              </w:rPr>
              <w:t>Events with cold startup</w:t>
            </w:r>
          </w:p>
        </w:tc>
        <w:tc>
          <w:tcPr>
            <w:tcW w:type="dxa" w:w="3744"/>
            <w:vAlign w:val="center"/>
            <w:tcMar>
              <w:top w:w="90" w:type="dxa"/>
              <w:start w:w="110" w:type="dxa"/>
              <w:bottom w:w="90" w:type="dxa"/>
              <w:end w:w="110" w:type="dxa"/>
            </w:tcMar>
          </w:tcPr>
          <w:p>
            <w:pPr>
              <w:spacing w:before="0" w:after="20"/>
            </w:pPr>
            <w:r>
              <w:rPr>
                <w:rFonts w:ascii="Aptos" w:hAnsi="Aptos"/>
                <w:sz w:val="17"/>
              </w:rPr>
              <w:t>9,043 (40.17% of T60 events)</w:t>
            </w:r>
          </w:p>
        </w:tc>
      </w:tr>
      <w:tr>
        <w:tc>
          <w:tcPr>
            <w:tcW w:type="dxa" w:w="4320"/>
            <w:vAlign w:val="center"/>
            <w:tcMar>
              <w:top w:w="90" w:type="dxa"/>
              <w:start w:w="110" w:type="dxa"/>
              <w:bottom w:w="90" w:type="dxa"/>
              <w:end w:w="110" w:type="dxa"/>
            </w:tcMar>
          </w:tcPr>
          <w:p>
            <w:pPr>
              <w:spacing w:before="0" w:after="20"/>
            </w:pPr>
            <w:r>
              <w:rPr>
                <w:rFonts w:ascii="Aptos" w:hAnsi="Aptos"/>
                <w:sz w:val="17"/>
              </w:rPr>
              <w:t>New-to-investor unique pairs</w:t>
            </w:r>
          </w:p>
        </w:tc>
        <w:tc>
          <w:tcPr>
            <w:tcW w:type="dxa" w:w="3744"/>
            <w:vAlign w:val="center"/>
            <w:tcMar>
              <w:top w:w="90" w:type="dxa"/>
              <w:start w:w="110" w:type="dxa"/>
              <w:bottom w:w="90" w:type="dxa"/>
              <w:end w:w="110" w:type="dxa"/>
            </w:tcMar>
          </w:tcPr>
          <w:p>
            <w:pPr>
              <w:spacing w:before="0" w:after="20"/>
            </w:pPr>
            <w:r>
              <w:rPr>
                <w:rFonts w:ascii="Aptos" w:hAnsi="Aptos"/>
                <w:sz w:val="17"/>
              </w:rPr>
              <w:t>18,161 (81.34%)</w:t>
            </w:r>
          </w:p>
        </w:tc>
      </w:tr>
      <w:tr>
        <w:tc>
          <w:tcPr>
            <w:tcW w:type="dxa" w:w="4320"/>
            <w:vAlign w:val="center"/>
            <w:tcMar>
              <w:top w:w="90" w:type="dxa"/>
              <w:start w:w="110" w:type="dxa"/>
              <w:bottom w:w="90" w:type="dxa"/>
              <w:end w:w="110" w:type="dxa"/>
            </w:tcMar>
          </w:tcPr>
          <w:p>
            <w:pPr>
              <w:spacing w:before="0" w:after="20"/>
            </w:pPr>
            <w:r>
              <w:rPr>
                <w:rFonts w:ascii="Aptos" w:hAnsi="Aptos"/>
                <w:sz w:val="17"/>
              </w:rPr>
              <w:t>Previously seen unique pairs</w:t>
            </w:r>
          </w:p>
        </w:tc>
        <w:tc>
          <w:tcPr>
            <w:tcW w:type="dxa" w:w="3744"/>
            <w:vAlign w:val="center"/>
            <w:tcMar>
              <w:top w:w="90" w:type="dxa"/>
              <w:start w:w="110" w:type="dxa"/>
              <w:bottom w:w="90" w:type="dxa"/>
              <w:end w:w="110" w:type="dxa"/>
            </w:tcMar>
          </w:tcPr>
          <w:p>
            <w:pPr>
              <w:spacing w:before="0" w:after="20"/>
            </w:pPr>
            <w:r>
              <w:rPr>
                <w:rFonts w:ascii="Aptos" w:hAnsi="Aptos"/>
                <w:sz w:val="17"/>
              </w:rPr>
              <w:t>4,166 (18.66%)</w:t>
            </w:r>
          </w:p>
        </w:tc>
      </w:tr>
      <w:tr>
        <w:tc>
          <w:tcPr>
            <w:tcW w:type="dxa" w:w="4320"/>
            <w:vAlign w:val="center"/>
            <w:tcMar>
              <w:top w:w="90" w:type="dxa"/>
              <w:start w:w="110" w:type="dxa"/>
              <w:bottom w:w="90" w:type="dxa"/>
              <w:end w:w="110" w:type="dxa"/>
            </w:tcMar>
          </w:tcPr>
          <w:p>
            <w:pPr>
              <w:spacing w:before="0" w:after="20"/>
            </w:pPr>
            <w:r>
              <w:rPr>
                <w:rFonts w:ascii="Aptos" w:hAnsi="Aptos"/>
                <w:sz w:val="17"/>
              </w:rPr>
              <w:t>New-to-investor events</w:t>
            </w:r>
          </w:p>
        </w:tc>
        <w:tc>
          <w:tcPr>
            <w:tcW w:type="dxa" w:w="3744"/>
            <w:vAlign w:val="center"/>
            <w:tcMar>
              <w:top w:w="90" w:type="dxa"/>
              <w:start w:w="110" w:type="dxa"/>
              <w:bottom w:w="90" w:type="dxa"/>
              <w:end w:w="110" w:type="dxa"/>
            </w:tcMar>
          </w:tcPr>
          <w:p>
            <w:pPr>
              <w:spacing w:before="0" w:after="20"/>
            </w:pPr>
            <w:r>
              <w:rPr>
                <w:rFonts w:ascii="Aptos" w:hAnsi="Aptos"/>
                <w:sz w:val="17"/>
              </w:rPr>
              <w:t>18,296 (81.26%)</w:t>
            </w:r>
          </w:p>
        </w:tc>
      </w:tr>
      <w:tr>
        <w:tc>
          <w:tcPr>
            <w:tcW w:type="dxa" w:w="4320"/>
            <w:vAlign w:val="center"/>
            <w:tcMar>
              <w:top w:w="90" w:type="dxa"/>
              <w:start w:w="110" w:type="dxa"/>
              <w:bottom w:w="90" w:type="dxa"/>
              <w:end w:w="110" w:type="dxa"/>
            </w:tcMar>
          </w:tcPr>
          <w:p>
            <w:pPr>
              <w:spacing w:before="0" w:after="20"/>
            </w:pPr>
            <w:r>
              <w:rPr>
                <w:rFonts w:ascii="Aptos" w:hAnsi="Aptos"/>
                <w:sz w:val="17"/>
              </w:rPr>
              <w:t>Events repeating prior pair</w:t>
            </w:r>
          </w:p>
        </w:tc>
        <w:tc>
          <w:tcPr>
            <w:tcW w:type="dxa" w:w="3744"/>
            <w:vAlign w:val="center"/>
            <w:tcMar>
              <w:top w:w="90" w:type="dxa"/>
              <w:start w:w="110" w:type="dxa"/>
              <w:bottom w:w="90" w:type="dxa"/>
              <w:end w:w="110" w:type="dxa"/>
            </w:tcMar>
          </w:tcPr>
          <w:p>
            <w:pPr>
              <w:spacing w:before="0" w:after="20"/>
            </w:pPr>
            <w:r>
              <w:rPr>
                <w:rFonts w:ascii="Aptos" w:hAnsi="Aptos"/>
                <w:sz w:val="17"/>
              </w:rPr>
              <w:t>4,219 (18.74%)</w:t>
            </w:r>
          </w:p>
        </w:tc>
      </w:tr>
      <w:tr>
        <w:tc>
          <w:tcPr>
            <w:tcW w:type="dxa" w:w="4320"/>
            <w:vAlign w:val="center"/>
            <w:tcMar>
              <w:top w:w="90" w:type="dxa"/>
              <w:start w:w="110" w:type="dxa"/>
              <w:bottom w:w="90" w:type="dxa"/>
              <w:end w:w="110" w:type="dxa"/>
            </w:tcMar>
          </w:tcPr>
          <w:p>
            <w:pPr>
              <w:spacing w:before="0" w:after="20"/>
            </w:pPr>
            <w:r>
              <w:rPr>
                <w:rFonts w:ascii="Aptos" w:hAnsi="Aptos"/>
                <w:sz w:val="17"/>
              </w:rPr>
              <w:t>Pairs repeated inside T60</w:t>
            </w:r>
          </w:p>
        </w:tc>
        <w:tc>
          <w:tcPr>
            <w:tcW w:type="dxa" w:w="3744"/>
            <w:vAlign w:val="center"/>
            <w:tcMar>
              <w:top w:w="90" w:type="dxa"/>
              <w:start w:w="110" w:type="dxa"/>
              <w:bottom w:w="90" w:type="dxa"/>
              <w:end w:w="110" w:type="dxa"/>
            </w:tcMar>
          </w:tcPr>
          <w:p>
            <w:pPr>
              <w:spacing w:before="0" w:after="20"/>
            </w:pPr>
            <w:r>
              <w:rPr>
                <w:rFonts w:ascii="Aptos" w:hAnsi="Aptos"/>
                <w:sz w:val="17"/>
              </w:rPr>
              <w:t>172 (0.77% of unique T60 pairs)</w:t>
            </w:r>
          </w:p>
        </w:tc>
      </w:tr>
      <w:tr>
        <w:tc>
          <w:tcPr>
            <w:tcW w:type="dxa" w:w="4320"/>
            <w:vAlign w:val="center"/>
            <w:tcMar>
              <w:top w:w="90" w:type="dxa"/>
              <w:start w:w="110" w:type="dxa"/>
              <w:bottom w:w="90" w:type="dxa"/>
              <w:end w:w="110" w:type="dxa"/>
            </w:tcMar>
          </w:tcPr>
          <w:p>
            <w:pPr>
              <w:spacing w:before="0" w:after="20"/>
            </w:pPr>
            <w:r>
              <w:rPr>
                <w:rFonts w:ascii="Aptos" w:hAnsi="Aptos"/>
                <w:sz w:val="17"/>
              </w:rPr>
              <w:t>T0-only-history T60 investors</w:t>
            </w:r>
          </w:p>
        </w:tc>
        <w:tc>
          <w:tcPr>
            <w:tcW w:type="dxa" w:w="3744"/>
            <w:vAlign w:val="center"/>
            <w:tcMar>
              <w:top w:w="90" w:type="dxa"/>
              <w:start w:w="110" w:type="dxa"/>
              <w:bottom w:w="90" w:type="dxa"/>
              <w:end w:w="110" w:type="dxa"/>
            </w:tcMar>
          </w:tcPr>
          <w:p>
            <w:pPr>
              <w:spacing w:before="0" w:after="20"/>
            </w:pPr>
            <w:r>
              <w:rPr>
                <w:rFonts w:ascii="Aptos" w:hAnsi="Aptos"/>
                <w:sz w:val="17"/>
              </w:rPr>
              <w:t>13</w:t>
            </w:r>
          </w:p>
        </w:tc>
      </w:tr>
    </w:tbl>
    <w:p>
      <w:pPr>
        <w:spacing w:after="0"/>
      </w:pPr>
    </w:p>
    <w:p>
      <w:pPr>
        <w:spacing w:after="80" w:line="252" w:lineRule="auto"/>
      </w:pPr>
      <w:r>
        <w:rPr>
          <w:i w:val="0"/>
        </w:rPr>
        <w:t>Among investors appearing in T60, historical depth is healthier than in the global population: the median prior interaction count is 6, the median number of prior unique startups is 5, and the median number of prior active segments is 5. Nevertheless, 25.75% of T60 investors have no prior investment interaction and are retained because the paper does not document a minimum-history exclusion.</w:t>
      </w:r>
    </w:p>
    <w:p>
      <w:pPr>
        <w:pStyle w:val="Heading1"/>
        <w:keepNext/>
      </w:pPr>
      <w:r>
        <w:t>10. Validation / Test Split</w:t>
      </w:r>
    </w:p>
    <w:p>
      <w:pPr>
        <w:spacing w:after="80" w:line="252" w:lineRule="auto"/>
      </w:pPr>
      <w:r>
        <w:rPr>
          <w:i w:val="0"/>
        </w:rPr>
        <w:t>The paper states that 10% of events in the final temporal fragment are used for validation and the remainder for test. Because no random seed is reported, the reproduction fixes seed 42. The split is unstratified and event-level to stay as close as possible to the stated protocol.</w:t>
      </w:r>
    </w:p>
    <w:tbl>
      <w:tblPr>
        <w:tblStyle w:val="TableGrid"/>
        <w:tblW w:type="auto" w:w="0"/>
        <w:jc w:val="center"/>
        <w:tblLook w:firstColumn="1" w:firstRow="1" w:lastColumn="0" w:lastRow="0" w:noHBand="0" w:noVBand="1" w:val="04A0"/>
      </w:tblPr>
      <w:tblGrid>
        <w:gridCol w:w="2033"/>
        <w:gridCol w:w="2033"/>
        <w:gridCol w:w="2033"/>
        <w:gridCol w:w="2033"/>
        <w:gridCol w:w="2033"/>
      </w:tblGrid>
      <w:tr>
        <w:trPr>
          <w:tblHeader w:val="true"/>
        </w:trPr>
        <w:tc>
          <w:tcPr>
            <w:tcW w:type="dxa" w:w="1440"/>
            <w:vAlign w:val="center"/>
            <w:tcMar>
              <w:top w:w="90" w:type="dxa"/>
              <w:start w:w="110" w:type="dxa"/>
              <w:bottom w:w="90" w:type="dxa"/>
              <w:end w:w="110" w:type="dxa"/>
            </w:tcMar>
            <w:shd w:fill="D9E2F3"/>
          </w:tcPr>
          <w:p>
            <w:pPr>
              <w:spacing w:before="0" w:after="20"/>
            </w:pPr>
            <w:r>
              <w:rPr>
                <w:rFonts w:ascii="Aptos" w:hAnsi="Aptos"/>
                <w:b/>
                <w:color w:val="1F1F1F"/>
                <w:sz w:val="17"/>
              </w:rPr>
              <w:t>Split</w:t>
            </w:r>
          </w:p>
        </w:tc>
        <w:tc>
          <w:tcPr>
            <w:tcW w:type="dxa" w:w="1440"/>
            <w:vAlign w:val="center"/>
            <w:tcMar>
              <w:top w:w="90" w:type="dxa"/>
              <w:start w:w="110" w:type="dxa"/>
              <w:bottom w:w="90" w:type="dxa"/>
              <w:end w:w="110" w:type="dxa"/>
            </w:tcMar>
            <w:shd w:fill="D9E2F3"/>
          </w:tcPr>
          <w:p>
            <w:pPr>
              <w:spacing w:before="0" w:after="20"/>
            </w:pPr>
            <w:r>
              <w:rPr>
                <w:rFonts w:ascii="Aptos" w:hAnsi="Aptos"/>
                <w:b/>
                <w:color w:val="1F1F1F"/>
                <w:sz w:val="17"/>
              </w:rPr>
              <w:t>Events</w:t>
            </w:r>
          </w:p>
        </w:tc>
        <w:tc>
          <w:tcPr>
            <w:tcW w:type="dxa" w:w="1728"/>
            <w:vAlign w:val="center"/>
            <w:tcMar>
              <w:top w:w="90" w:type="dxa"/>
              <w:start w:w="110" w:type="dxa"/>
              <w:bottom w:w="90" w:type="dxa"/>
              <w:end w:w="110" w:type="dxa"/>
            </w:tcMar>
            <w:shd w:fill="D9E2F3"/>
          </w:tcPr>
          <w:p>
            <w:pPr>
              <w:spacing w:before="0" w:after="20"/>
            </w:pPr>
            <w:r>
              <w:rPr>
                <w:rFonts w:ascii="Aptos" w:hAnsi="Aptos"/>
                <w:b/>
                <w:color w:val="1F1F1F"/>
                <w:sz w:val="17"/>
              </w:rPr>
              <w:t>New-pair events</w:t>
            </w:r>
          </w:p>
        </w:tc>
        <w:tc>
          <w:tcPr>
            <w:tcW w:type="dxa" w:w="1872"/>
            <w:vAlign w:val="center"/>
            <w:tcMar>
              <w:top w:w="90" w:type="dxa"/>
              <w:start w:w="110" w:type="dxa"/>
              <w:bottom w:w="90" w:type="dxa"/>
              <w:end w:w="110" w:type="dxa"/>
            </w:tcMar>
            <w:shd w:fill="D9E2F3"/>
          </w:tcPr>
          <w:p>
            <w:pPr>
              <w:spacing w:before="0" w:after="20"/>
            </w:pPr>
            <w:r>
              <w:rPr>
                <w:rFonts w:ascii="Aptos" w:hAnsi="Aptos"/>
                <w:b/>
                <w:color w:val="1F1F1F"/>
                <w:sz w:val="17"/>
              </w:rPr>
              <w:t>Cold-investor events</w:t>
            </w:r>
          </w:p>
        </w:tc>
        <w:tc>
          <w:tcPr>
            <w:tcW w:type="dxa" w:w="1872"/>
            <w:vAlign w:val="center"/>
            <w:tcMar>
              <w:top w:w="90" w:type="dxa"/>
              <w:start w:w="110" w:type="dxa"/>
              <w:bottom w:w="90" w:type="dxa"/>
              <w:end w:w="110" w:type="dxa"/>
            </w:tcMar>
            <w:shd w:fill="D9E2F3"/>
          </w:tcPr>
          <w:p>
            <w:pPr>
              <w:spacing w:before="0" w:after="20"/>
            </w:pPr>
            <w:r>
              <w:rPr>
                <w:rFonts w:ascii="Aptos" w:hAnsi="Aptos"/>
                <w:b/>
                <w:color w:val="1F1F1F"/>
                <w:sz w:val="17"/>
              </w:rPr>
              <w:t>Cold-startup events</w:t>
            </w:r>
          </w:p>
        </w:tc>
      </w:tr>
      <w:tr>
        <w:tc>
          <w:tcPr>
            <w:tcW w:type="dxa" w:w="1440"/>
            <w:vAlign w:val="center"/>
            <w:tcMar>
              <w:top w:w="90" w:type="dxa"/>
              <w:start w:w="110" w:type="dxa"/>
              <w:bottom w:w="90" w:type="dxa"/>
              <w:end w:w="110" w:type="dxa"/>
            </w:tcMar>
          </w:tcPr>
          <w:p>
            <w:pPr>
              <w:spacing w:before="0" w:after="20"/>
            </w:pPr>
            <w:r>
              <w:rPr>
                <w:rFonts w:ascii="Aptos" w:hAnsi="Aptos"/>
                <w:sz w:val="17"/>
              </w:rPr>
              <w:t>Full T60</w:t>
            </w:r>
          </w:p>
        </w:tc>
        <w:tc>
          <w:tcPr>
            <w:tcW w:type="dxa" w:w="1440"/>
            <w:vAlign w:val="center"/>
            <w:tcMar>
              <w:top w:w="90" w:type="dxa"/>
              <w:start w:w="110" w:type="dxa"/>
              <w:bottom w:w="90" w:type="dxa"/>
              <w:end w:w="110" w:type="dxa"/>
            </w:tcMar>
          </w:tcPr>
          <w:p>
            <w:pPr>
              <w:spacing w:before="0" w:after="20"/>
            </w:pPr>
            <w:r>
              <w:rPr>
                <w:rFonts w:ascii="Aptos" w:hAnsi="Aptos"/>
                <w:sz w:val="17"/>
              </w:rPr>
              <w:t>22,515</w:t>
            </w:r>
          </w:p>
        </w:tc>
        <w:tc>
          <w:tcPr>
            <w:tcW w:type="dxa" w:w="1728"/>
            <w:vAlign w:val="center"/>
            <w:tcMar>
              <w:top w:w="90" w:type="dxa"/>
              <w:start w:w="110" w:type="dxa"/>
              <w:bottom w:w="90" w:type="dxa"/>
              <w:end w:w="110" w:type="dxa"/>
            </w:tcMar>
          </w:tcPr>
          <w:p>
            <w:pPr>
              <w:spacing w:before="0" w:after="20"/>
            </w:pPr>
            <w:r>
              <w:rPr>
                <w:rFonts w:ascii="Aptos" w:hAnsi="Aptos"/>
                <w:sz w:val="17"/>
              </w:rPr>
              <w:t>81.261%</w:t>
            </w:r>
          </w:p>
        </w:tc>
        <w:tc>
          <w:tcPr>
            <w:tcW w:type="dxa" w:w="1872"/>
            <w:vAlign w:val="center"/>
            <w:tcMar>
              <w:top w:w="90" w:type="dxa"/>
              <w:start w:w="110" w:type="dxa"/>
              <w:bottom w:w="90" w:type="dxa"/>
              <w:end w:w="110" w:type="dxa"/>
            </w:tcMar>
          </w:tcPr>
          <w:p>
            <w:pPr>
              <w:spacing w:before="0" w:after="20"/>
            </w:pPr>
            <w:r>
              <w:rPr>
                <w:rFonts w:ascii="Aptos" w:hAnsi="Aptos"/>
                <w:sz w:val="17"/>
              </w:rPr>
              <w:t>15.727%</w:t>
            </w:r>
          </w:p>
        </w:tc>
        <w:tc>
          <w:tcPr>
            <w:tcW w:type="dxa" w:w="1872"/>
            <w:vAlign w:val="center"/>
            <w:tcMar>
              <w:top w:w="90" w:type="dxa"/>
              <w:start w:w="110" w:type="dxa"/>
              <w:bottom w:w="90" w:type="dxa"/>
              <w:end w:w="110" w:type="dxa"/>
            </w:tcMar>
          </w:tcPr>
          <w:p>
            <w:pPr>
              <w:spacing w:before="0" w:after="20"/>
            </w:pPr>
            <w:r>
              <w:rPr>
                <w:rFonts w:ascii="Aptos" w:hAnsi="Aptos"/>
                <w:sz w:val="17"/>
              </w:rPr>
              <w:t>40.164%</w:t>
            </w:r>
          </w:p>
        </w:tc>
      </w:tr>
      <w:tr>
        <w:tc>
          <w:tcPr>
            <w:tcW w:type="dxa" w:w="1440"/>
            <w:vAlign w:val="center"/>
            <w:tcMar>
              <w:top w:w="90" w:type="dxa"/>
              <w:start w:w="110" w:type="dxa"/>
              <w:bottom w:w="90" w:type="dxa"/>
              <w:end w:w="110" w:type="dxa"/>
            </w:tcMar>
          </w:tcPr>
          <w:p>
            <w:pPr>
              <w:spacing w:before="0" w:after="20"/>
            </w:pPr>
            <w:r>
              <w:rPr>
                <w:rFonts w:ascii="Aptos" w:hAnsi="Aptos"/>
                <w:sz w:val="17"/>
              </w:rPr>
              <w:t>Validation</w:t>
            </w:r>
          </w:p>
        </w:tc>
        <w:tc>
          <w:tcPr>
            <w:tcW w:type="dxa" w:w="1440"/>
            <w:vAlign w:val="center"/>
            <w:tcMar>
              <w:top w:w="90" w:type="dxa"/>
              <w:start w:w="110" w:type="dxa"/>
              <w:bottom w:w="90" w:type="dxa"/>
              <w:end w:w="110" w:type="dxa"/>
            </w:tcMar>
          </w:tcPr>
          <w:p>
            <w:pPr>
              <w:spacing w:before="0" w:after="20"/>
            </w:pPr>
            <w:r>
              <w:rPr>
                <w:rFonts w:ascii="Aptos" w:hAnsi="Aptos"/>
                <w:sz w:val="17"/>
              </w:rPr>
              <w:t>2,251</w:t>
            </w:r>
          </w:p>
        </w:tc>
        <w:tc>
          <w:tcPr>
            <w:tcW w:type="dxa" w:w="1728"/>
            <w:vAlign w:val="center"/>
            <w:tcMar>
              <w:top w:w="90" w:type="dxa"/>
              <w:start w:w="110" w:type="dxa"/>
              <w:bottom w:w="90" w:type="dxa"/>
              <w:end w:w="110" w:type="dxa"/>
            </w:tcMar>
          </w:tcPr>
          <w:p>
            <w:pPr>
              <w:spacing w:before="0" w:after="20"/>
            </w:pPr>
            <w:r>
              <w:rPr>
                <w:rFonts w:ascii="Aptos" w:hAnsi="Aptos"/>
                <w:sz w:val="17"/>
              </w:rPr>
              <w:t>82.186%</w:t>
            </w:r>
          </w:p>
        </w:tc>
        <w:tc>
          <w:tcPr>
            <w:tcW w:type="dxa" w:w="1872"/>
            <w:vAlign w:val="center"/>
            <w:tcMar>
              <w:top w:w="90" w:type="dxa"/>
              <w:start w:w="110" w:type="dxa"/>
              <w:bottom w:w="90" w:type="dxa"/>
              <w:end w:w="110" w:type="dxa"/>
            </w:tcMar>
          </w:tcPr>
          <w:p>
            <w:pPr>
              <w:spacing w:before="0" w:after="20"/>
            </w:pPr>
            <w:r>
              <w:rPr>
                <w:rFonts w:ascii="Aptos" w:hAnsi="Aptos"/>
                <w:sz w:val="17"/>
              </w:rPr>
              <w:t>16.704%</w:t>
            </w:r>
          </w:p>
        </w:tc>
        <w:tc>
          <w:tcPr>
            <w:tcW w:type="dxa" w:w="1872"/>
            <w:vAlign w:val="center"/>
            <w:tcMar>
              <w:top w:w="90" w:type="dxa"/>
              <w:start w:w="110" w:type="dxa"/>
              <w:bottom w:w="90" w:type="dxa"/>
              <w:end w:w="110" w:type="dxa"/>
            </w:tcMar>
          </w:tcPr>
          <w:p>
            <w:pPr>
              <w:spacing w:before="0" w:after="20"/>
            </w:pPr>
            <w:r>
              <w:rPr>
                <w:rFonts w:ascii="Aptos" w:hAnsi="Aptos"/>
                <w:sz w:val="17"/>
              </w:rPr>
              <w:t>41.715%</w:t>
            </w:r>
          </w:p>
        </w:tc>
      </w:tr>
      <w:tr>
        <w:tc>
          <w:tcPr>
            <w:tcW w:type="dxa" w:w="1440"/>
            <w:vAlign w:val="center"/>
            <w:tcMar>
              <w:top w:w="90" w:type="dxa"/>
              <w:start w:w="110" w:type="dxa"/>
              <w:bottom w:w="90" w:type="dxa"/>
              <w:end w:w="110" w:type="dxa"/>
            </w:tcMar>
          </w:tcPr>
          <w:p>
            <w:pPr>
              <w:spacing w:before="0" w:after="20"/>
            </w:pPr>
            <w:r>
              <w:rPr>
                <w:rFonts w:ascii="Aptos" w:hAnsi="Aptos"/>
                <w:sz w:val="17"/>
              </w:rPr>
              <w:t>Test</w:t>
            </w:r>
          </w:p>
        </w:tc>
        <w:tc>
          <w:tcPr>
            <w:tcW w:type="dxa" w:w="1440"/>
            <w:vAlign w:val="center"/>
            <w:tcMar>
              <w:top w:w="90" w:type="dxa"/>
              <w:start w:w="110" w:type="dxa"/>
              <w:bottom w:w="90" w:type="dxa"/>
              <w:end w:w="110" w:type="dxa"/>
            </w:tcMar>
          </w:tcPr>
          <w:p>
            <w:pPr>
              <w:spacing w:before="0" w:after="20"/>
            </w:pPr>
            <w:r>
              <w:rPr>
                <w:rFonts w:ascii="Aptos" w:hAnsi="Aptos"/>
                <w:sz w:val="17"/>
              </w:rPr>
              <w:t>20,264</w:t>
            </w:r>
          </w:p>
        </w:tc>
        <w:tc>
          <w:tcPr>
            <w:tcW w:type="dxa" w:w="1728"/>
            <w:vAlign w:val="center"/>
            <w:tcMar>
              <w:top w:w="90" w:type="dxa"/>
              <w:start w:w="110" w:type="dxa"/>
              <w:bottom w:w="90" w:type="dxa"/>
              <w:end w:w="110" w:type="dxa"/>
            </w:tcMar>
          </w:tcPr>
          <w:p>
            <w:pPr>
              <w:spacing w:before="0" w:after="20"/>
            </w:pPr>
            <w:r>
              <w:rPr>
                <w:rFonts w:ascii="Aptos" w:hAnsi="Aptos"/>
                <w:sz w:val="17"/>
              </w:rPr>
              <w:t>81.159%</w:t>
            </w:r>
          </w:p>
        </w:tc>
        <w:tc>
          <w:tcPr>
            <w:tcW w:type="dxa" w:w="1872"/>
            <w:vAlign w:val="center"/>
            <w:tcMar>
              <w:top w:w="90" w:type="dxa"/>
              <w:start w:w="110" w:type="dxa"/>
              <w:bottom w:w="90" w:type="dxa"/>
              <w:end w:w="110" w:type="dxa"/>
            </w:tcMar>
          </w:tcPr>
          <w:p>
            <w:pPr>
              <w:spacing w:before="0" w:after="20"/>
            </w:pPr>
            <w:r>
              <w:rPr>
                <w:rFonts w:ascii="Aptos" w:hAnsi="Aptos"/>
                <w:sz w:val="17"/>
              </w:rPr>
              <w:t>15.619%</w:t>
            </w:r>
          </w:p>
        </w:tc>
        <w:tc>
          <w:tcPr>
            <w:tcW w:type="dxa" w:w="1872"/>
            <w:vAlign w:val="center"/>
            <w:tcMar>
              <w:top w:w="90" w:type="dxa"/>
              <w:start w:w="110" w:type="dxa"/>
              <w:bottom w:w="90" w:type="dxa"/>
              <w:end w:w="110" w:type="dxa"/>
            </w:tcMar>
          </w:tcPr>
          <w:p>
            <w:pPr>
              <w:spacing w:before="0" w:after="20"/>
            </w:pPr>
            <w:r>
              <w:rPr>
                <w:rFonts w:ascii="Aptos" w:hAnsi="Aptos"/>
                <w:sz w:val="17"/>
              </w:rPr>
              <w:t>39.992%</w:t>
            </w:r>
          </w:p>
        </w:tc>
      </w:tr>
    </w:tbl>
    <w:p>
      <w:pPr>
        <w:spacing w:after="0"/>
      </w:pPr>
    </w:p>
    <w:p>
      <w:pPr>
        <w:spacing w:after="80" w:line="252" w:lineRule="auto"/>
      </w:pPr>
      <w:r>
        <w:rPr>
          <w:i w:val="0"/>
        </w:rPr>
        <w:t>The random split preserves the T60 population composition closely. The largest displayed deviation from the full T60 pool is approximately 1.55 percentage points, so no stratification was introduced.</w:t>
      </w:r>
    </w:p>
    <w:p>
      <w:pPr>
        <w:pStyle w:val="Heading1"/>
        <w:keepNext/>
      </w:pPr>
      <w:r>
        <w:t>11. Holdout Dependence and Leakage Controls</w:t>
      </w:r>
    </w:p>
    <w:p>
      <w:pPr>
        <w:pStyle w:val="Heading2"/>
        <w:keepNext/>
      </w:pPr>
      <w:r>
        <w:t>11.1 Validation/test pair overlap</w:t>
      </w:r>
    </w:p>
    <w:p>
      <w:pPr>
        <w:spacing w:after="80" w:line="252" w:lineRule="auto"/>
      </w:pPr>
      <w:r>
        <w:rPr>
          <w:i w:val="0"/>
        </w:rPr>
        <w:t>Thirty-three investor-startup pairs appear in both validation and test because T60 is split at the event level. This corresponds to 1.467% of validation pairs and 0.164% of test pairs. The overlap is documented rather than removed because removing it would change the paper-style split.</w:t>
      </w:r>
    </w:p>
    <w:p>
      <w:pPr>
        <w:pStyle w:val="Heading2"/>
        <w:keepNext/>
      </w:pPr>
      <w:r>
        <w:t>11.2 Funding-round overlap</w:t>
      </w:r>
    </w:p>
    <w:p>
      <w:pPr>
        <w:spacing w:after="80" w:line="252" w:lineRule="auto"/>
      </w:pPr>
      <w:r>
        <w:rPr>
          <w:i w:val="0"/>
        </w:rPr>
        <w:t>A larger dependence exists at funding-round level: 1,315 funding rounds are represented in both validation and test, corresponding to 68.920% of validation rounds and 14.960% of test rounds. This happens because one funding round can generate multiple investor-specific interaction events. Both subsets remain fully held out from training, so this is an evaluation-dependence limitation rather than direct train/test leakage.</w:t>
      </w:r>
    </w:p>
    <w:p>
      <w:pPr>
        <w:pStyle w:val="Heading2"/>
        <w:keepNext/>
      </w:pPr>
      <w:r>
        <w:t>11.3 Historical training versus T60</w:t>
      </w:r>
    </w:p>
    <w:tbl>
      <w:tblPr>
        <w:tblStyle w:val="TableGrid"/>
        <w:tblW w:type="auto" w:w="0"/>
        <w:jc w:val="center"/>
        <w:tblLook w:firstColumn="1" w:firstRow="1" w:lastColumn="0" w:lastRow="0" w:noHBand="0" w:noVBand="1" w:val="04A0"/>
      </w:tblPr>
      <w:tblGrid>
        <w:gridCol w:w="10166"/>
      </w:tblGrid>
      <w:tr>
        <w:tc>
          <w:tcPr>
            <w:tcW w:type="dxa" w:w="10166"/>
            <w:shd w:fill="EAF2F8"/>
            <w:tcMar>
              <w:top w:w="140" w:type="dxa"/>
              <w:start w:w="180" w:type="dxa"/>
              <w:bottom w:w="140" w:type="dxa"/>
              <w:end w:w="180" w:type="dxa"/>
            </w:tcMar>
          </w:tcPr>
          <w:p>
            <w:pPr>
              <w:spacing w:before="0" w:after="0"/>
            </w:pPr>
            <w:r>
              <w:rPr>
                <w:rFonts w:ascii="Aptos" w:hAnsi="Aptos"/>
                <w:b/>
                <w:sz w:val="20"/>
              </w:rPr>
              <w:t>Critical leakage check:</w:t>
            </w:r>
            <w:r>
              <w:rPr>
                <w:rFonts w:ascii="Aptos" w:hAnsi="Aptos"/>
                <w:sz w:val="20"/>
              </w:rPr>
              <w:t xml:space="preserve"> funding-round overlap between historical training T0-T59 and T60 is exactly 0. No T60 interaction ID appears in training. The t60_holdout_pair_manifest.parquet file must be used in Phase 3 to ensure that held-out investment relationships are not reintroduced as graph edges.</w:t>
            </w:r>
          </w:p>
        </w:tc>
      </w:tr>
    </w:tbl>
    <w:p>
      <w:pPr>
        <w:spacing w:after="0"/>
      </w:pPr>
    </w:p>
    <w:p>
      <w:pPr>
        <w:pStyle w:val="Heading1"/>
        <w:keepNext/>
      </w:pPr>
      <w:r>
        <w:t>12. Final Integrity Audit</w:t>
      </w:r>
    </w:p>
    <w:p>
      <w:pPr>
        <w:spacing w:after="80" w:line="252" w:lineRule="auto"/>
      </w:pPr>
      <w:r>
        <w:rPr>
          <w:i w:val="0"/>
        </w:rPr>
        <w:t>The final audit reconstructed every Phase-2 layer and compared row counts, interaction-ID uniqueness, date boundaries, segment metadata, assignment files, validation/test IDs, historical/T60 funding-round separation, and the holdout manifest. Every check passed.</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760"/>
            <w:vAlign w:val="center"/>
            <w:tcMar>
              <w:top w:w="90" w:type="dxa"/>
              <w:start w:w="110" w:type="dxa"/>
              <w:bottom w:w="90" w:type="dxa"/>
              <w:end w:w="110" w:type="dxa"/>
            </w:tcMar>
            <w:shd w:fill="D9E2F3"/>
          </w:tcPr>
          <w:p>
            <w:pPr>
              <w:spacing w:before="0" w:after="20"/>
            </w:pPr>
            <w:r>
              <w:rPr>
                <w:rFonts w:ascii="Aptos" w:hAnsi="Aptos"/>
                <w:b/>
                <w:color w:val="1F1F1F"/>
                <w:sz w:val="17"/>
              </w:rPr>
              <w:t>Integrity check family</w:t>
            </w:r>
          </w:p>
        </w:tc>
        <w:tc>
          <w:tcPr>
            <w:tcW w:type="dxa" w:w="2304"/>
            <w:vAlign w:val="center"/>
            <w:tcMar>
              <w:top w:w="90" w:type="dxa"/>
              <w:start w:w="110" w:type="dxa"/>
              <w:bottom w:w="90" w:type="dxa"/>
              <w:end w:w="110" w:type="dxa"/>
            </w:tcMar>
            <w:shd w:fill="D9E2F3"/>
          </w:tcPr>
          <w:p>
            <w:pPr>
              <w:spacing w:before="0" w:after="20"/>
            </w:pPr>
            <w:r>
              <w:rPr>
                <w:rFonts w:ascii="Aptos" w:hAnsi="Aptos"/>
                <w:b/>
                <w:color w:val="1F1F1F"/>
                <w:sz w:val="17"/>
              </w:rPr>
              <w:t>Final result</w:t>
            </w:r>
          </w:p>
        </w:tc>
      </w:tr>
      <w:tr>
        <w:tc>
          <w:tcPr>
            <w:tcW w:type="dxa" w:w="5760"/>
            <w:vAlign w:val="center"/>
            <w:tcMar>
              <w:top w:w="90" w:type="dxa"/>
              <w:start w:w="110" w:type="dxa"/>
              <w:bottom w:w="90" w:type="dxa"/>
              <w:end w:w="110" w:type="dxa"/>
            </w:tcMar>
          </w:tcPr>
          <w:p>
            <w:pPr>
              <w:spacing w:before="0" w:after="20"/>
            </w:pPr>
            <w:r>
              <w:rPr>
                <w:rFonts w:ascii="Aptos" w:hAnsi="Aptos"/>
                <w:sz w:val="17"/>
              </w:rPr>
              <w:t>Canonical / temporal / post-endpoint row reconstruction</w:t>
            </w:r>
          </w:p>
        </w:tc>
        <w:tc>
          <w:tcPr>
            <w:tcW w:type="dxa" w:w="2304"/>
            <w:vAlign w:val="center"/>
            <w:tcMar>
              <w:top w:w="90" w:type="dxa"/>
              <w:start w:w="110" w:type="dxa"/>
              <w:bottom w:w="90" w:type="dxa"/>
              <w:end w:w="110" w:type="dxa"/>
            </w:tcMar>
          </w:tcPr>
          <w:p>
            <w:pPr>
              <w:spacing w:before="0" w:after="20"/>
            </w:pPr>
            <w:r>
              <w:rPr>
                <w:rFonts w:ascii="Aptos" w:hAnsi="Aptos"/>
                <w:sz w:val="17"/>
              </w:rPr>
              <w:t>PASS</w:t>
            </w:r>
          </w:p>
        </w:tc>
      </w:tr>
      <w:tr>
        <w:tc>
          <w:tcPr>
            <w:tcW w:type="dxa" w:w="5760"/>
            <w:vAlign w:val="center"/>
            <w:tcMar>
              <w:top w:w="90" w:type="dxa"/>
              <w:start w:w="110" w:type="dxa"/>
              <w:bottom w:w="90" w:type="dxa"/>
              <w:end w:w="110" w:type="dxa"/>
            </w:tcMar>
          </w:tcPr>
          <w:p>
            <w:pPr>
              <w:spacing w:before="0" w:after="20"/>
            </w:pPr>
            <w:r>
              <w:rPr>
                <w:rFonts w:ascii="Aptos" w:hAnsi="Aptos"/>
                <w:sz w:val="17"/>
              </w:rPr>
              <w:t>Interaction-ID uniqueness across all generated layers</w:t>
            </w:r>
          </w:p>
        </w:tc>
        <w:tc>
          <w:tcPr>
            <w:tcW w:type="dxa" w:w="2304"/>
            <w:vAlign w:val="center"/>
            <w:tcMar>
              <w:top w:w="90" w:type="dxa"/>
              <w:start w:w="110" w:type="dxa"/>
              <w:bottom w:w="90" w:type="dxa"/>
              <w:end w:w="110" w:type="dxa"/>
            </w:tcMar>
          </w:tcPr>
          <w:p>
            <w:pPr>
              <w:spacing w:before="0" w:after="20"/>
            </w:pPr>
            <w:r>
              <w:rPr>
                <w:rFonts w:ascii="Aptos" w:hAnsi="Aptos"/>
                <w:sz w:val="17"/>
              </w:rPr>
              <w:t>PASS</w:t>
            </w:r>
          </w:p>
        </w:tc>
      </w:tr>
      <w:tr>
        <w:tc>
          <w:tcPr>
            <w:tcW w:type="dxa" w:w="5760"/>
            <w:vAlign w:val="center"/>
            <w:tcMar>
              <w:top w:w="90" w:type="dxa"/>
              <w:start w:w="110" w:type="dxa"/>
              <w:bottom w:w="90" w:type="dxa"/>
              <w:end w:w="110" w:type="dxa"/>
            </w:tcMar>
          </w:tcPr>
          <w:p>
            <w:pPr>
              <w:spacing w:before="0" w:after="20"/>
            </w:pPr>
            <w:r>
              <w:rPr>
                <w:rFonts w:ascii="Aptos" w:hAnsi="Aptos"/>
                <w:sz w:val="17"/>
              </w:rPr>
              <w:t>Temporal and post-endpoint date boundaries</w:t>
            </w:r>
          </w:p>
        </w:tc>
        <w:tc>
          <w:tcPr>
            <w:tcW w:type="dxa" w:w="2304"/>
            <w:vAlign w:val="center"/>
            <w:tcMar>
              <w:top w:w="90" w:type="dxa"/>
              <w:start w:w="110" w:type="dxa"/>
              <w:bottom w:w="90" w:type="dxa"/>
              <w:end w:w="110" w:type="dxa"/>
            </w:tcMar>
          </w:tcPr>
          <w:p>
            <w:pPr>
              <w:spacing w:before="0" w:after="20"/>
            </w:pPr>
            <w:r>
              <w:rPr>
                <w:rFonts w:ascii="Aptos" w:hAnsi="Aptos"/>
                <w:sz w:val="17"/>
              </w:rPr>
              <w:t>PASS</w:t>
            </w:r>
          </w:p>
        </w:tc>
      </w:tr>
      <w:tr>
        <w:tc>
          <w:tcPr>
            <w:tcW w:type="dxa" w:w="5760"/>
            <w:vAlign w:val="center"/>
            <w:tcMar>
              <w:top w:w="90" w:type="dxa"/>
              <w:start w:w="110" w:type="dxa"/>
              <w:bottom w:w="90" w:type="dxa"/>
              <w:end w:w="110" w:type="dxa"/>
            </w:tcMar>
          </w:tcPr>
          <w:p>
            <w:pPr>
              <w:spacing w:before="0" w:after="20"/>
            </w:pPr>
            <w:r>
              <w:rPr>
                <w:rFonts w:ascii="Aptos" w:hAnsi="Aptos"/>
                <w:sz w:val="17"/>
              </w:rPr>
              <w:t>Segment numbers exactly 0 through 60</w:t>
            </w:r>
          </w:p>
        </w:tc>
        <w:tc>
          <w:tcPr>
            <w:tcW w:type="dxa" w:w="2304"/>
            <w:vAlign w:val="center"/>
            <w:tcMar>
              <w:top w:w="90" w:type="dxa"/>
              <w:start w:w="110" w:type="dxa"/>
              <w:bottom w:w="90" w:type="dxa"/>
              <w:end w:w="110" w:type="dxa"/>
            </w:tcMar>
          </w:tcPr>
          <w:p>
            <w:pPr>
              <w:spacing w:before="0" w:after="20"/>
            </w:pPr>
            <w:r>
              <w:rPr>
                <w:rFonts w:ascii="Aptos" w:hAnsi="Aptos"/>
                <w:sz w:val="17"/>
              </w:rPr>
              <w:t>PASS</w:t>
            </w:r>
          </w:p>
        </w:tc>
      </w:tr>
      <w:tr>
        <w:tc>
          <w:tcPr>
            <w:tcW w:type="dxa" w:w="5760"/>
            <w:vAlign w:val="center"/>
            <w:tcMar>
              <w:top w:w="90" w:type="dxa"/>
              <w:start w:w="110" w:type="dxa"/>
              <w:bottom w:w="90" w:type="dxa"/>
              <w:end w:w="110" w:type="dxa"/>
            </w:tcMar>
          </w:tcPr>
          <w:p>
            <w:pPr>
              <w:spacing w:before="0" w:after="20"/>
            </w:pPr>
            <w:r>
              <w:rPr>
                <w:rFonts w:ascii="Aptos" w:hAnsi="Aptos"/>
                <w:sz w:val="17"/>
              </w:rPr>
              <w:t>T0 boundary and row count</w:t>
            </w:r>
          </w:p>
        </w:tc>
        <w:tc>
          <w:tcPr>
            <w:tcW w:type="dxa" w:w="2304"/>
            <w:vAlign w:val="center"/>
            <w:tcMar>
              <w:top w:w="90" w:type="dxa"/>
              <w:start w:w="110" w:type="dxa"/>
              <w:bottom w:w="90" w:type="dxa"/>
              <w:end w:w="110" w:type="dxa"/>
            </w:tcMar>
          </w:tcPr>
          <w:p>
            <w:pPr>
              <w:spacing w:before="0" w:after="20"/>
            </w:pPr>
            <w:r>
              <w:rPr>
                <w:rFonts w:ascii="Aptos" w:hAnsi="Aptos"/>
                <w:sz w:val="17"/>
              </w:rPr>
              <w:t>PASS</w:t>
            </w:r>
          </w:p>
        </w:tc>
      </w:tr>
      <w:tr>
        <w:tc>
          <w:tcPr>
            <w:tcW w:type="dxa" w:w="5760"/>
            <w:vAlign w:val="center"/>
            <w:tcMar>
              <w:top w:w="90" w:type="dxa"/>
              <w:start w:w="110" w:type="dxa"/>
              <w:bottom w:w="90" w:type="dxa"/>
              <w:end w:w="110" w:type="dxa"/>
            </w:tcMar>
          </w:tcPr>
          <w:p>
            <w:pPr>
              <w:spacing w:before="0" w:after="20"/>
            </w:pPr>
            <w:r>
              <w:rPr>
                <w:rFonts w:ascii="Aptos" w:hAnsi="Aptos"/>
                <w:sz w:val="17"/>
              </w:rPr>
              <w:t>T1-T60 metadata boundaries</w:t>
            </w:r>
          </w:p>
        </w:tc>
        <w:tc>
          <w:tcPr>
            <w:tcW w:type="dxa" w:w="2304"/>
            <w:vAlign w:val="center"/>
            <w:tcMar>
              <w:top w:w="90" w:type="dxa"/>
              <w:start w:w="110" w:type="dxa"/>
              <w:bottom w:w="90" w:type="dxa"/>
              <w:end w:w="110" w:type="dxa"/>
            </w:tcMar>
          </w:tcPr>
          <w:p>
            <w:pPr>
              <w:spacing w:before="0" w:after="20"/>
            </w:pPr>
            <w:r>
              <w:rPr>
                <w:rFonts w:ascii="Aptos" w:hAnsi="Aptos"/>
                <w:sz w:val="17"/>
              </w:rPr>
              <w:t>PASS</w:t>
            </w:r>
          </w:p>
        </w:tc>
      </w:tr>
      <w:tr>
        <w:tc>
          <w:tcPr>
            <w:tcW w:type="dxa" w:w="5760"/>
            <w:vAlign w:val="center"/>
            <w:tcMar>
              <w:top w:w="90" w:type="dxa"/>
              <w:start w:w="110" w:type="dxa"/>
              <w:bottom w:w="90" w:type="dxa"/>
              <w:end w:w="110" w:type="dxa"/>
            </w:tcMar>
          </w:tcPr>
          <w:p>
            <w:pPr>
              <w:spacing w:before="0" w:after="20"/>
            </w:pPr>
            <w:r>
              <w:rPr>
                <w:rFonts w:ascii="Aptos" w:hAnsi="Aptos"/>
                <w:sz w:val="17"/>
              </w:rPr>
              <w:t>Events inside assigned segment boundaries</w:t>
            </w:r>
          </w:p>
        </w:tc>
        <w:tc>
          <w:tcPr>
            <w:tcW w:type="dxa" w:w="2304"/>
            <w:vAlign w:val="center"/>
            <w:tcMar>
              <w:top w:w="90" w:type="dxa"/>
              <w:start w:w="110" w:type="dxa"/>
              <w:bottom w:w="90" w:type="dxa"/>
              <w:end w:w="110" w:type="dxa"/>
            </w:tcMar>
          </w:tcPr>
          <w:p>
            <w:pPr>
              <w:spacing w:before="0" w:after="20"/>
            </w:pPr>
            <w:r>
              <w:rPr>
                <w:rFonts w:ascii="Aptos" w:hAnsi="Aptos"/>
                <w:sz w:val="17"/>
              </w:rPr>
              <w:t>PASS</w:t>
            </w:r>
          </w:p>
        </w:tc>
      </w:tr>
      <w:tr>
        <w:tc>
          <w:tcPr>
            <w:tcW w:type="dxa" w:w="5760"/>
            <w:vAlign w:val="center"/>
            <w:tcMar>
              <w:top w:w="90" w:type="dxa"/>
              <w:start w:w="110" w:type="dxa"/>
              <w:bottom w:w="90" w:type="dxa"/>
              <w:end w:w="110" w:type="dxa"/>
            </w:tcMar>
          </w:tcPr>
          <w:p>
            <w:pPr>
              <w:spacing w:before="0" w:after="20"/>
            </w:pPr>
            <w:r>
              <w:rPr>
                <w:rFonts w:ascii="Aptos" w:hAnsi="Aptos"/>
                <w:sz w:val="17"/>
              </w:rPr>
              <w:t>Historical T0-T59 count</w:t>
            </w:r>
          </w:p>
        </w:tc>
        <w:tc>
          <w:tcPr>
            <w:tcW w:type="dxa" w:w="2304"/>
            <w:vAlign w:val="center"/>
            <w:tcMar>
              <w:top w:w="90" w:type="dxa"/>
              <w:start w:w="110" w:type="dxa"/>
              <w:bottom w:w="90" w:type="dxa"/>
              <w:end w:w="110" w:type="dxa"/>
            </w:tcMar>
          </w:tcPr>
          <w:p>
            <w:pPr>
              <w:spacing w:before="0" w:after="20"/>
            </w:pPr>
            <w:r>
              <w:rPr>
                <w:rFonts w:ascii="Aptos" w:hAnsi="Aptos"/>
                <w:sz w:val="17"/>
              </w:rPr>
              <w:t>PASS</w:t>
            </w:r>
          </w:p>
        </w:tc>
      </w:tr>
      <w:tr>
        <w:tc>
          <w:tcPr>
            <w:tcW w:type="dxa" w:w="5760"/>
            <w:vAlign w:val="center"/>
            <w:tcMar>
              <w:top w:w="90" w:type="dxa"/>
              <w:start w:w="110" w:type="dxa"/>
              <w:bottom w:w="90" w:type="dxa"/>
              <w:end w:w="110" w:type="dxa"/>
            </w:tcMar>
          </w:tcPr>
          <w:p>
            <w:pPr>
              <w:spacing w:before="0" w:after="20"/>
            </w:pPr>
            <w:r>
              <w:rPr>
                <w:rFonts w:ascii="Aptos" w:hAnsi="Aptos"/>
                <w:sz w:val="17"/>
              </w:rPr>
              <w:t>T60 count</w:t>
            </w:r>
          </w:p>
        </w:tc>
        <w:tc>
          <w:tcPr>
            <w:tcW w:type="dxa" w:w="2304"/>
            <w:vAlign w:val="center"/>
            <w:tcMar>
              <w:top w:w="90" w:type="dxa"/>
              <w:start w:w="110" w:type="dxa"/>
              <w:bottom w:w="90" w:type="dxa"/>
              <w:end w:w="110" w:type="dxa"/>
            </w:tcMar>
          </w:tcPr>
          <w:p>
            <w:pPr>
              <w:spacing w:before="0" w:after="20"/>
            </w:pPr>
            <w:r>
              <w:rPr>
                <w:rFonts w:ascii="Aptos" w:hAnsi="Aptos"/>
                <w:sz w:val="17"/>
              </w:rPr>
              <w:t>PASS</w:t>
            </w:r>
          </w:p>
        </w:tc>
      </w:tr>
      <w:tr>
        <w:tc>
          <w:tcPr>
            <w:tcW w:type="dxa" w:w="5760"/>
            <w:vAlign w:val="center"/>
            <w:tcMar>
              <w:top w:w="90" w:type="dxa"/>
              <w:start w:w="110" w:type="dxa"/>
              <w:bottom w:w="90" w:type="dxa"/>
              <w:end w:w="110" w:type="dxa"/>
            </w:tcMar>
          </w:tcPr>
          <w:p>
            <w:pPr>
              <w:spacing w:before="0" w:after="20"/>
            </w:pPr>
            <w:r>
              <w:rPr>
                <w:rFonts w:ascii="Aptos" w:hAnsi="Aptos"/>
                <w:sz w:val="17"/>
              </w:rPr>
              <w:t>Validation and test counts</w:t>
            </w:r>
          </w:p>
        </w:tc>
        <w:tc>
          <w:tcPr>
            <w:tcW w:type="dxa" w:w="2304"/>
            <w:vAlign w:val="center"/>
            <w:tcMar>
              <w:top w:w="90" w:type="dxa"/>
              <w:start w:w="110" w:type="dxa"/>
              <w:bottom w:w="90" w:type="dxa"/>
              <w:end w:w="110" w:type="dxa"/>
            </w:tcMar>
          </w:tcPr>
          <w:p>
            <w:pPr>
              <w:spacing w:before="0" w:after="20"/>
            </w:pPr>
            <w:r>
              <w:rPr>
                <w:rFonts w:ascii="Aptos" w:hAnsi="Aptos"/>
                <w:sz w:val="17"/>
              </w:rPr>
              <w:t>PASS</w:t>
            </w:r>
          </w:p>
        </w:tc>
      </w:tr>
      <w:tr>
        <w:tc>
          <w:tcPr>
            <w:tcW w:type="dxa" w:w="5760"/>
            <w:vAlign w:val="center"/>
            <w:tcMar>
              <w:top w:w="90" w:type="dxa"/>
              <w:start w:w="110" w:type="dxa"/>
              <w:bottom w:w="90" w:type="dxa"/>
              <w:end w:w="110" w:type="dxa"/>
            </w:tcMar>
          </w:tcPr>
          <w:p>
            <w:pPr>
              <w:spacing w:before="0" w:after="20"/>
            </w:pPr>
            <w:r>
              <w:rPr>
                <w:rFonts w:ascii="Aptos" w:hAnsi="Aptos"/>
                <w:sz w:val="17"/>
              </w:rPr>
              <w:t>Validation/test interaction overlap</w:t>
            </w:r>
          </w:p>
        </w:tc>
        <w:tc>
          <w:tcPr>
            <w:tcW w:type="dxa" w:w="2304"/>
            <w:vAlign w:val="center"/>
            <w:tcMar>
              <w:top w:w="90" w:type="dxa"/>
              <w:start w:w="110" w:type="dxa"/>
              <w:bottom w:w="90" w:type="dxa"/>
              <w:end w:w="110" w:type="dxa"/>
            </w:tcMar>
          </w:tcPr>
          <w:p>
            <w:pPr>
              <w:spacing w:before="0" w:after="20"/>
            </w:pPr>
            <w:r>
              <w:rPr>
                <w:rFonts w:ascii="Aptos" w:hAnsi="Aptos"/>
                <w:sz w:val="17"/>
              </w:rPr>
              <w:t>PASS: 0</w:t>
            </w:r>
          </w:p>
        </w:tc>
      </w:tr>
      <w:tr>
        <w:tc>
          <w:tcPr>
            <w:tcW w:type="dxa" w:w="5760"/>
            <w:vAlign w:val="center"/>
            <w:tcMar>
              <w:top w:w="90" w:type="dxa"/>
              <w:start w:w="110" w:type="dxa"/>
              <w:bottom w:w="90" w:type="dxa"/>
              <w:end w:w="110" w:type="dxa"/>
            </w:tcMar>
          </w:tcPr>
          <w:p>
            <w:pPr>
              <w:spacing w:before="0" w:after="20"/>
            </w:pPr>
            <w:r>
              <w:rPr>
                <w:rFonts w:ascii="Aptos" w:hAnsi="Aptos"/>
                <w:sz w:val="17"/>
              </w:rPr>
              <w:t>History/T60 funding-round overlap</w:t>
            </w:r>
          </w:p>
        </w:tc>
        <w:tc>
          <w:tcPr>
            <w:tcW w:type="dxa" w:w="2304"/>
            <w:vAlign w:val="center"/>
            <w:tcMar>
              <w:top w:w="90" w:type="dxa"/>
              <w:start w:w="110" w:type="dxa"/>
              <w:bottom w:w="90" w:type="dxa"/>
              <w:end w:w="110" w:type="dxa"/>
            </w:tcMar>
          </w:tcPr>
          <w:p>
            <w:pPr>
              <w:spacing w:before="0" w:after="20"/>
            </w:pPr>
            <w:r>
              <w:rPr>
                <w:rFonts w:ascii="Aptos" w:hAnsi="Aptos"/>
                <w:sz w:val="17"/>
              </w:rPr>
              <w:t>PASS: 0</w:t>
            </w:r>
          </w:p>
        </w:tc>
      </w:tr>
      <w:tr>
        <w:tc>
          <w:tcPr>
            <w:tcW w:type="dxa" w:w="5760"/>
            <w:vAlign w:val="center"/>
            <w:tcMar>
              <w:top w:w="90" w:type="dxa"/>
              <w:start w:w="110" w:type="dxa"/>
              <w:bottom w:w="90" w:type="dxa"/>
              <w:end w:w="110" w:type="dxa"/>
            </w:tcMar>
          </w:tcPr>
          <w:p>
            <w:pPr>
              <w:spacing w:before="0" w:after="20"/>
            </w:pPr>
            <w:r>
              <w:rPr>
                <w:rFonts w:ascii="Aptos" w:hAnsi="Aptos"/>
                <w:sz w:val="17"/>
              </w:rPr>
              <w:t>Expected validation/test pair overlap reproduced</w:t>
            </w:r>
          </w:p>
        </w:tc>
        <w:tc>
          <w:tcPr>
            <w:tcW w:type="dxa" w:w="2304"/>
            <w:vAlign w:val="center"/>
            <w:tcMar>
              <w:top w:w="90" w:type="dxa"/>
              <w:start w:w="110" w:type="dxa"/>
              <w:bottom w:w="90" w:type="dxa"/>
              <w:end w:w="110" w:type="dxa"/>
            </w:tcMar>
          </w:tcPr>
          <w:p>
            <w:pPr>
              <w:spacing w:before="0" w:after="20"/>
            </w:pPr>
            <w:r>
              <w:rPr>
                <w:rFonts w:ascii="Aptos" w:hAnsi="Aptos"/>
                <w:sz w:val="17"/>
              </w:rPr>
              <w:t>PASS: 33</w:t>
            </w:r>
          </w:p>
        </w:tc>
      </w:tr>
      <w:tr>
        <w:tc>
          <w:tcPr>
            <w:tcW w:type="dxa" w:w="5760"/>
            <w:vAlign w:val="center"/>
            <w:tcMar>
              <w:top w:w="90" w:type="dxa"/>
              <w:start w:w="110" w:type="dxa"/>
              <w:bottom w:w="90" w:type="dxa"/>
              <w:end w:w="110" w:type="dxa"/>
            </w:tcMar>
          </w:tcPr>
          <w:p>
            <w:pPr>
              <w:spacing w:before="0" w:after="20"/>
            </w:pPr>
            <w:r>
              <w:rPr>
                <w:rFonts w:ascii="Aptos" w:hAnsi="Aptos"/>
                <w:sz w:val="17"/>
              </w:rPr>
              <w:t>Expected validation/test round overlap reproduced</w:t>
            </w:r>
          </w:p>
        </w:tc>
        <w:tc>
          <w:tcPr>
            <w:tcW w:type="dxa" w:w="2304"/>
            <w:vAlign w:val="center"/>
            <w:tcMar>
              <w:top w:w="90" w:type="dxa"/>
              <w:start w:w="110" w:type="dxa"/>
              <w:bottom w:w="90" w:type="dxa"/>
              <w:end w:w="110" w:type="dxa"/>
            </w:tcMar>
          </w:tcPr>
          <w:p>
            <w:pPr>
              <w:spacing w:before="0" w:after="20"/>
            </w:pPr>
            <w:r>
              <w:rPr>
                <w:rFonts w:ascii="Aptos" w:hAnsi="Aptos"/>
                <w:sz w:val="17"/>
              </w:rPr>
              <w:t>PASS: 1,315</w:t>
            </w:r>
          </w:p>
        </w:tc>
      </w:tr>
      <w:tr>
        <w:tc>
          <w:tcPr>
            <w:tcW w:type="dxa" w:w="5760"/>
            <w:vAlign w:val="center"/>
            <w:tcMar>
              <w:top w:w="90" w:type="dxa"/>
              <w:start w:w="110" w:type="dxa"/>
              <w:bottom w:w="90" w:type="dxa"/>
              <w:end w:w="110" w:type="dxa"/>
            </w:tcMar>
          </w:tcPr>
          <w:p>
            <w:pPr>
              <w:spacing w:before="0" w:after="20"/>
            </w:pPr>
            <w:r>
              <w:rPr>
                <w:rFonts w:ascii="Aptos" w:hAnsi="Aptos"/>
                <w:sz w:val="17"/>
              </w:rPr>
              <w:t>Holdout pair manifest count</w:t>
            </w:r>
          </w:p>
        </w:tc>
        <w:tc>
          <w:tcPr>
            <w:tcW w:type="dxa" w:w="2304"/>
            <w:vAlign w:val="center"/>
            <w:tcMar>
              <w:top w:w="90" w:type="dxa"/>
              <w:start w:w="110" w:type="dxa"/>
              <w:bottom w:w="90" w:type="dxa"/>
              <w:end w:w="110" w:type="dxa"/>
            </w:tcMar>
          </w:tcPr>
          <w:p>
            <w:pPr>
              <w:spacing w:before="0" w:after="20"/>
            </w:pPr>
            <w:r>
              <w:rPr>
                <w:rFonts w:ascii="Aptos" w:hAnsi="Aptos"/>
                <w:sz w:val="17"/>
              </w:rPr>
              <w:t>PASS: 22,327</w:t>
            </w:r>
          </w:p>
        </w:tc>
      </w:tr>
    </w:tbl>
    <w:p>
      <w:pPr>
        <w:spacing w:after="0"/>
      </w:pPr>
    </w:p>
    <w:p>
      <w:pPr>
        <w:pStyle w:val="Heading1"/>
        <w:keepNext/>
      </w:pPr>
      <w:r>
        <w:t>13. Final Model-Ready Data Dictionary</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520"/>
            <w:vAlign w:val="center"/>
            <w:tcMar>
              <w:top w:w="90" w:type="dxa"/>
              <w:start w:w="110" w:type="dxa"/>
              <w:bottom w:w="90" w:type="dxa"/>
              <w:end w:w="110" w:type="dxa"/>
            </w:tcMar>
            <w:shd w:fill="D9E2F3"/>
          </w:tcPr>
          <w:p>
            <w:pPr>
              <w:spacing w:before="0" w:after="20"/>
            </w:pPr>
            <w:r>
              <w:rPr>
                <w:rFonts w:ascii="Aptos" w:hAnsi="Aptos"/>
                <w:b/>
                <w:color w:val="1F1F1F"/>
                <w:sz w:val="17"/>
              </w:rPr>
              <w:t>Field / concept</w:t>
            </w:r>
          </w:p>
        </w:tc>
        <w:tc>
          <w:tcPr>
            <w:tcW w:type="dxa" w:w="5760"/>
            <w:vAlign w:val="center"/>
            <w:tcMar>
              <w:top w:w="90" w:type="dxa"/>
              <w:start w:w="110" w:type="dxa"/>
              <w:bottom w:w="90" w:type="dxa"/>
              <w:end w:w="110" w:type="dxa"/>
            </w:tcMar>
            <w:shd w:fill="D9E2F3"/>
          </w:tcPr>
          <w:p>
            <w:pPr>
              <w:spacing w:before="0" w:after="20"/>
            </w:pPr>
            <w:r>
              <w:rPr>
                <w:rFonts w:ascii="Aptos" w:hAnsi="Aptos"/>
                <w:b/>
                <w:color w:val="1F1F1F"/>
                <w:sz w:val="17"/>
              </w:rPr>
              <w:t>Meaning</w:t>
            </w:r>
          </w:p>
        </w:tc>
      </w:tr>
      <w:tr>
        <w:tc>
          <w:tcPr>
            <w:tcW w:type="dxa" w:w="2520"/>
            <w:vAlign w:val="center"/>
            <w:tcMar>
              <w:top w:w="90" w:type="dxa"/>
              <w:start w:w="110" w:type="dxa"/>
              <w:bottom w:w="90" w:type="dxa"/>
              <w:end w:w="110" w:type="dxa"/>
            </w:tcMar>
          </w:tcPr>
          <w:p>
            <w:pPr>
              <w:spacing w:before="0" w:after="20"/>
            </w:pPr>
            <w:r>
              <w:rPr>
                <w:rFonts w:ascii="Aptos" w:hAnsi="Aptos"/>
                <w:sz w:val="17"/>
              </w:rPr>
              <w:t>interaction_id</w:t>
            </w:r>
          </w:p>
        </w:tc>
        <w:tc>
          <w:tcPr>
            <w:tcW w:type="dxa" w:w="5760"/>
            <w:vAlign w:val="center"/>
            <w:tcMar>
              <w:top w:w="90" w:type="dxa"/>
              <w:start w:w="110" w:type="dxa"/>
              <w:bottom w:w="90" w:type="dxa"/>
              <w:end w:w="110" w:type="dxa"/>
            </w:tcMar>
          </w:tcPr>
          <w:p>
            <w:pPr>
              <w:spacing w:before="0" w:after="20"/>
            </w:pPr>
            <w:r>
              <w:rPr>
                <w:rFonts w:ascii="Aptos" w:hAnsi="Aptos"/>
                <w:sz w:val="17"/>
              </w:rPr>
              <w:t>Canonical Phase-1 event key; remains unique.</w:t>
            </w:r>
          </w:p>
        </w:tc>
      </w:tr>
      <w:tr>
        <w:tc>
          <w:tcPr>
            <w:tcW w:type="dxa" w:w="2520"/>
            <w:vAlign w:val="center"/>
            <w:tcMar>
              <w:top w:w="90" w:type="dxa"/>
              <w:start w:w="110" w:type="dxa"/>
              <w:bottom w:w="90" w:type="dxa"/>
              <w:end w:w="110" w:type="dxa"/>
            </w:tcMar>
          </w:tcPr>
          <w:p>
            <w:pPr>
              <w:spacing w:before="0" w:after="20"/>
            </w:pPr>
            <w:r>
              <w:rPr>
                <w:rFonts w:ascii="Aptos" w:hAnsi="Aptos"/>
                <w:sz w:val="17"/>
              </w:rPr>
              <w:t>funding_round_id</w:t>
            </w:r>
          </w:p>
        </w:tc>
        <w:tc>
          <w:tcPr>
            <w:tcW w:type="dxa" w:w="5760"/>
            <w:vAlign w:val="center"/>
            <w:tcMar>
              <w:top w:w="90" w:type="dxa"/>
              <w:start w:w="110" w:type="dxa"/>
              <w:bottom w:w="90" w:type="dxa"/>
              <w:end w:w="110" w:type="dxa"/>
            </w:tcMar>
          </w:tcPr>
          <w:p>
            <w:pPr>
              <w:spacing w:before="0" w:after="20"/>
            </w:pPr>
            <w:r>
              <w:rPr>
                <w:rFonts w:ascii="Aptos" w:hAnsi="Aptos"/>
                <w:sz w:val="17"/>
              </w:rPr>
              <w:t>Crunchbase funding-round identifier.</w:t>
            </w:r>
          </w:p>
        </w:tc>
      </w:tr>
      <w:tr>
        <w:tc>
          <w:tcPr>
            <w:tcW w:type="dxa" w:w="2520"/>
            <w:vAlign w:val="center"/>
            <w:tcMar>
              <w:top w:w="90" w:type="dxa"/>
              <w:start w:w="110" w:type="dxa"/>
              <w:bottom w:w="90" w:type="dxa"/>
              <w:end w:w="110" w:type="dxa"/>
            </w:tcMar>
          </w:tcPr>
          <w:p>
            <w:pPr>
              <w:spacing w:before="0" w:after="20"/>
            </w:pPr>
            <w:r>
              <w:rPr>
                <w:rFonts w:ascii="Aptos" w:hAnsi="Aptos"/>
                <w:sz w:val="17"/>
              </w:rPr>
              <w:t>investor_id</w:t>
            </w:r>
          </w:p>
        </w:tc>
        <w:tc>
          <w:tcPr>
            <w:tcW w:type="dxa" w:w="5760"/>
            <w:vAlign w:val="center"/>
            <w:tcMar>
              <w:top w:w="90" w:type="dxa"/>
              <w:start w:w="110" w:type="dxa"/>
              <w:bottom w:w="90" w:type="dxa"/>
              <w:end w:w="110" w:type="dxa"/>
            </w:tcMar>
          </w:tcPr>
          <w:p>
            <w:pPr>
              <w:spacing w:before="0" w:after="20"/>
            </w:pPr>
            <w:r>
              <w:rPr>
                <w:rFonts w:ascii="Aptos" w:hAnsi="Aptos"/>
                <w:sz w:val="17"/>
              </w:rPr>
              <w:t>Canonical investor identifier.</w:t>
            </w:r>
          </w:p>
        </w:tc>
      </w:tr>
      <w:tr>
        <w:tc>
          <w:tcPr>
            <w:tcW w:type="dxa" w:w="2520"/>
            <w:vAlign w:val="center"/>
            <w:tcMar>
              <w:top w:w="90" w:type="dxa"/>
              <w:start w:w="110" w:type="dxa"/>
              <w:bottom w:w="90" w:type="dxa"/>
              <w:end w:w="110" w:type="dxa"/>
            </w:tcMar>
          </w:tcPr>
          <w:p>
            <w:pPr>
              <w:spacing w:before="0" w:after="20"/>
            </w:pPr>
            <w:r>
              <w:rPr>
                <w:rFonts w:ascii="Aptos" w:hAnsi="Aptos"/>
                <w:sz w:val="17"/>
              </w:rPr>
              <w:t>startup_id</w:t>
            </w:r>
          </w:p>
        </w:tc>
        <w:tc>
          <w:tcPr>
            <w:tcW w:type="dxa" w:w="5760"/>
            <w:vAlign w:val="center"/>
            <w:tcMar>
              <w:top w:w="90" w:type="dxa"/>
              <w:start w:w="110" w:type="dxa"/>
              <w:bottom w:w="90" w:type="dxa"/>
              <w:end w:w="110" w:type="dxa"/>
            </w:tcMar>
          </w:tcPr>
          <w:p>
            <w:pPr>
              <w:spacing w:before="0" w:after="20"/>
            </w:pPr>
            <w:r>
              <w:rPr>
                <w:rFonts w:ascii="Aptos" w:hAnsi="Aptos"/>
                <w:sz w:val="17"/>
              </w:rPr>
              <w:t>Canonical startup/company identifier.</w:t>
            </w:r>
          </w:p>
        </w:tc>
      </w:tr>
      <w:tr>
        <w:tc>
          <w:tcPr>
            <w:tcW w:type="dxa" w:w="2520"/>
            <w:vAlign w:val="center"/>
            <w:tcMar>
              <w:top w:w="90" w:type="dxa"/>
              <w:start w:w="110" w:type="dxa"/>
              <w:bottom w:w="90" w:type="dxa"/>
              <w:end w:w="110" w:type="dxa"/>
            </w:tcMar>
          </w:tcPr>
          <w:p>
            <w:pPr>
              <w:spacing w:before="0" w:after="20"/>
            </w:pPr>
            <w:r>
              <w:rPr>
                <w:rFonts w:ascii="Aptos" w:hAnsi="Aptos"/>
                <w:sz w:val="17"/>
              </w:rPr>
              <w:t>announced_on</w:t>
            </w:r>
          </w:p>
        </w:tc>
        <w:tc>
          <w:tcPr>
            <w:tcW w:type="dxa" w:w="5760"/>
            <w:vAlign w:val="center"/>
            <w:tcMar>
              <w:top w:w="90" w:type="dxa"/>
              <w:start w:w="110" w:type="dxa"/>
              <w:bottom w:w="90" w:type="dxa"/>
              <w:end w:w="110" w:type="dxa"/>
            </w:tcMar>
          </w:tcPr>
          <w:p>
            <w:pPr>
              <w:spacing w:before="0" w:after="20"/>
            </w:pPr>
            <w:r>
              <w:rPr>
                <w:rFonts w:ascii="Aptos" w:hAnsi="Aptos"/>
                <w:sz w:val="17"/>
              </w:rPr>
              <w:t>Operational investment-event date from the funding round.</w:t>
            </w:r>
          </w:p>
        </w:tc>
      </w:tr>
      <w:tr>
        <w:tc>
          <w:tcPr>
            <w:tcW w:type="dxa" w:w="2520"/>
            <w:vAlign w:val="center"/>
            <w:tcMar>
              <w:top w:w="90" w:type="dxa"/>
              <w:start w:w="110" w:type="dxa"/>
              <w:bottom w:w="90" w:type="dxa"/>
              <w:end w:w="110" w:type="dxa"/>
            </w:tcMar>
          </w:tcPr>
          <w:p>
            <w:pPr>
              <w:spacing w:before="0" w:after="20"/>
            </w:pPr>
            <w:r>
              <w:rPr>
                <w:rFonts w:ascii="Aptos" w:hAnsi="Aptos"/>
                <w:sz w:val="17"/>
              </w:rPr>
              <w:t>segment_number</w:t>
            </w:r>
          </w:p>
        </w:tc>
        <w:tc>
          <w:tcPr>
            <w:tcW w:type="dxa" w:w="5760"/>
            <w:vAlign w:val="center"/>
            <w:tcMar>
              <w:top w:w="90" w:type="dxa"/>
              <w:start w:w="110" w:type="dxa"/>
              <w:bottom w:w="90" w:type="dxa"/>
              <w:end w:w="110" w:type="dxa"/>
            </w:tcMar>
          </w:tcPr>
          <w:p>
            <w:pPr>
              <w:spacing w:before="0" w:after="20"/>
            </w:pPr>
            <w:r>
              <w:rPr>
                <w:rFonts w:ascii="Aptos" w:hAnsi="Aptos"/>
                <w:sz w:val="17"/>
              </w:rPr>
              <w:t>0 through 60.</w:t>
            </w:r>
          </w:p>
        </w:tc>
      </w:tr>
      <w:tr>
        <w:tc>
          <w:tcPr>
            <w:tcW w:type="dxa" w:w="2520"/>
            <w:vAlign w:val="center"/>
            <w:tcMar>
              <w:top w:w="90" w:type="dxa"/>
              <w:start w:w="110" w:type="dxa"/>
              <w:bottom w:w="90" w:type="dxa"/>
              <w:end w:w="110" w:type="dxa"/>
            </w:tcMar>
          </w:tcPr>
          <w:p>
            <w:pPr>
              <w:spacing w:before="0" w:after="20"/>
            </w:pPr>
            <w:r>
              <w:rPr>
                <w:rFonts w:ascii="Aptos" w:hAnsi="Aptos"/>
                <w:sz w:val="17"/>
              </w:rPr>
              <w:t>segment_label</w:t>
            </w:r>
          </w:p>
        </w:tc>
        <w:tc>
          <w:tcPr>
            <w:tcW w:type="dxa" w:w="5760"/>
            <w:vAlign w:val="center"/>
            <w:tcMar>
              <w:top w:w="90" w:type="dxa"/>
              <w:start w:w="110" w:type="dxa"/>
              <w:bottom w:w="90" w:type="dxa"/>
              <w:end w:w="110" w:type="dxa"/>
            </w:tcMar>
          </w:tcPr>
          <w:p>
            <w:pPr>
              <w:spacing w:before="0" w:after="20"/>
            </w:pPr>
            <w:r>
              <w:rPr>
                <w:rFonts w:ascii="Aptos" w:hAnsi="Aptos"/>
                <w:sz w:val="17"/>
              </w:rPr>
              <w:t>T0 through T60.</w:t>
            </w:r>
          </w:p>
        </w:tc>
      </w:tr>
      <w:tr>
        <w:tc>
          <w:tcPr>
            <w:tcW w:type="dxa" w:w="2520"/>
            <w:vAlign w:val="center"/>
            <w:tcMar>
              <w:top w:w="90" w:type="dxa"/>
              <w:start w:w="110" w:type="dxa"/>
              <w:bottom w:w="90" w:type="dxa"/>
              <w:end w:w="110" w:type="dxa"/>
            </w:tcMar>
          </w:tcPr>
          <w:p>
            <w:pPr>
              <w:spacing w:before="0" w:after="20"/>
            </w:pPr>
            <w:r>
              <w:rPr>
                <w:rFonts w:ascii="Aptos" w:hAnsi="Aptos"/>
                <w:sz w:val="17"/>
              </w:rPr>
              <w:t>segment_start_date</w:t>
            </w:r>
          </w:p>
        </w:tc>
        <w:tc>
          <w:tcPr>
            <w:tcW w:type="dxa" w:w="5760"/>
            <w:vAlign w:val="center"/>
            <w:tcMar>
              <w:top w:w="90" w:type="dxa"/>
              <w:start w:w="110" w:type="dxa"/>
              <w:bottom w:w="90" w:type="dxa"/>
              <w:end w:w="110" w:type="dxa"/>
            </w:tcMar>
          </w:tcPr>
          <w:p>
            <w:pPr>
              <w:spacing w:before="0" w:after="20"/>
            </w:pPr>
            <w:r>
              <w:rPr>
                <w:rFonts w:ascii="Aptos" w:hAnsi="Aptos"/>
                <w:sz w:val="17"/>
              </w:rPr>
              <w:t>Start date of a detailed three-month segment; open/undefined for T0.</w:t>
            </w:r>
          </w:p>
        </w:tc>
      </w:tr>
      <w:tr>
        <w:tc>
          <w:tcPr>
            <w:tcW w:type="dxa" w:w="2520"/>
            <w:vAlign w:val="center"/>
            <w:tcMar>
              <w:top w:w="90" w:type="dxa"/>
              <w:start w:w="110" w:type="dxa"/>
              <w:bottom w:w="90" w:type="dxa"/>
              <w:end w:w="110" w:type="dxa"/>
            </w:tcMar>
          </w:tcPr>
          <w:p>
            <w:pPr>
              <w:spacing w:before="0" w:after="20"/>
            </w:pPr>
            <w:r>
              <w:rPr>
                <w:rFonts w:ascii="Aptos" w:hAnsi="Aptos"/>
                <w:sz w:val="17"/>
              </w:rPr>
              <w:t>segment_end_date</w:t>
            </w:r>
          </w:p>
        </w:tc>
        <w:tc>
          <w:tcPr>
            <w:tcW w:type="dxa" w:w="5760"/>
            <w:vAlign w:val="center"/>
            <w:tcMar>
              <w:top w:w="90" w:type="dxa"/>
              <w:start w:w="110" w:type="dxa"/>
              <w:bottom w:w="90" w:type="dxa"/>
              <w:end w:w="110" w:type="dxa"/>
            </w:tcMar>
          </w:tcPr>
          <w:p>
            <w:pPr>
              <w:spacing w:before="0" w:after="20"/>
            </w:pPr>
            <w:r>
              <w:rPr>
                <w:rFonts w:ascii="Aptos" w:hAnsi="Aptos"/>
                <w:sz w:val="17"/>
              </w:rPr>
              <w:t>End date of the temporal segment.</w:t>
            </w:r>
          </w:p>
        </w:tc>
      </w:tr>
      <w:tr>
        <w:tc>
          <w:tcPr>
            <w:tcW w:type="dxa" w:w="2520"/>
            <w:vAlign w:val="center"/>
            <w:tcMar>
              <w:top w:w="90" w:type="dxa"/>
              <w:start w:w="110" w:type="dxa"/>
              <w:bottom w:w="90" w:type="dxa"/>
              <w:end w:w="110" w:type="dxa"/>
            </w:tcMar>
          </w:tcPr>
          <w:p>
            <w:pPr>
              <w:spacing w:before="0" w:after="20"/>
            </w:pPr>
            <w:r>
              <w:rPr>
                <w:rFonts w:ascii="Aptos" w:hAnsi="Aptos"/>
                <w:sz w:val="17"/>
              </w:rPr>
              <w:t>temporal_role</w:t>
            </w:r>
          </w:p>
        </w:tc>
        <w:tc>
          <w:tcPr>
            <w:tcW w:type="dxa" w:w="5760"/>
            <w:vAlign w:val="center"/>
            <w:tcMar>
              <w:top w:w="90" w:type="dxa"/>
              <w:start w:w="110" w:type="dxa"/>
              <w:bottom w:w="90" w:type="dxa"/>
              <w:end w:w="110" w:type="dxa"/>
            </w:tcMar>
          </w:tcPr>
          <w:p>
            <w:pPr>
              <w:spacing w:before="0" w:after="20"/>
            </w:pPr>
            <w:r>
              <w:rPr>
                <w:rFonts w:ascii="Aptos" w:hAnsi="Aptos"/>
                <w:sz w:val="17"/>
              </w:rPr>
              <w:t>compressed_prehistory, detailed_train_history, or t60_evaluation_pool.</w:t>
            </w:r>
          </w:p>
        </w:tc>
      </w:tr>
      <w:tr>
        <w:tc>
          <w:tcPr>
            <w:tcW w:type="dxa" w:w="2520"/>
            <w:vAlign w:val="center"/>
            <w:tcMar>
              <w:top w:w="90" w:type="dxa"/>
              <w:start w:w="110" w:type="dxa"/>
              <w:bottom w:w="90" w:type="dxa"/>
              <w:end w:w="110" w:type="dxa"/>
            </w:tcMar>
          </w:tcPr>
          <w:p>
            <w:pPr>
              <w:spacing w:before="0" w:after="20"/>
            </w:pPr>
            <w:r>
              <w:rPr>
                <w:rFonts w:ascii="Aptos" w:hAnsi="Aptos"/>
                <w:sz w:val="17"/>
              </w:rPr>
              <w:t>experiment_split</w:t>
            </w:r>
          </w:p>
        </w:tc>
        <w:tc>
          <w:tcPr>
            <w:tcW w:type="dxa" w:w="5760"/>
            <w:vAlign w:val="center"/>
            <w:tcMar>
              <w:top w:w="90" w:type="dxa"/>
              <w:start w:w="110" w:type="dxa"/>
              <w:bottom w:w="90" w:type="dxa"/>
              <w:end w:w="110" w:type="dxa"/>
            </w:tcMar>
          </w:tcPr>
          <w:p>
            <w:pPr>
              <w:spacing w:before="0" w:after="20"/>
            </w:pPr>
            <w:r>
              <w:rPr>
                <w:rFonts w:ascii="Aptos" w:hAnsi="Aptos"/>
                <w:sz w:val="17"/>
              </w:rPr>
              <w:t>train, validation, or test in the finalized model-ready table.</w:t>
            </w:r>
          </w:p>
        </w:tc>
      </w:tr>
      <w:tr>
        <w:tc>
          <w:tcPr>
            <w:tcW w:type="dxa" w:w="2520"/>
            <w:vAlign w:val="center"/>
            <w:tcMar>
              <w:top w:w="90" w:type="dxa"/>
              <w:start w:w="110" w:type="dxa"/>
              <w:bottom w:w="90" w:type="dxa"/>
              <w:end w:w="110" w:type="dxa"/>
            </w:tcMar>
          </w:tcPr>
          <w:p>
            <w:pPr>
              <w:spacing w:before="0" w:after="20"/>
            </w:pPr>
            <w:r>
              <w:rPr>
                <w:rFonts w:ascii="Aptos" w:hAnsi="Aptos"/>
                <w:sz w:val="17"/>
              </w:rPr>
              <w:t>T0</w:t>
            </w:r>
          </w:p>
        </w:tc>
        <w:tc>
          <w:tcPr>
            <w:tcW w:type="dxa" w:w="5760"/>
            <w:vAlign w:val="center"/>
            <w:tcMar>
              <w:top w:w="90" w:type="dxa"/>
              <w:start w:w="110" w:type="dxa"/>
              <w:bottom w:w="90" w:type="dxa"/>
              <w:end w:w="110" w:type="dxa"/>
            </w:tcMar>
          </w:tcPr>
          <w:p>
            <w:pPr>
              <w:spacing w:before="0" w:after="20"/>
            </w:pPr>
            <w:r>
              <w:rPr>
                <w:rFonts w:ascii="Aptos" w:hAnsi="Aptos"/>
                <w:sz w:val="17"/>
              </w:rPr>
              <w:t>All eligible prehistory through 2011-03-31.</w:t>
            </w:r>
          </w:p>
        </w:tc>
      </w:tr>
      <w:tr>
        <w:tc>
          <w:tcPr>
            <w:tcW w:type="dxa" w:w="2520"/>
            <w:vAlign w:val="center"/>
            <w:tcMar>
              <w:top w:w="90" w:type="dxa"/>
              <w:start w:w="110" w:type="dxa"/>
              <w:bottom w:w="90" w:type="dxa"/>
              <w:end w:w="110" w:type="dxa"/>
            </w:tcMar>
          </w:tcPr>
          <w:p>
            <w:pPr>
              <w:spacing w:before="0" w:after="20"/>
            </w:pPr>
            <w:r>
              <w:rPr>
                <w:rFonts w:ascii="Aptos" w:hAnsi="Aptos"/>
                <w:sz w:val="17"/>
              </w:rPr>
              <w:t>T1-T59</w:t>
            </w:r>
          </w:p>
        </w:tc>
        <w:tc>
          <w:tcPr>
            <w:tcW w:type="dxa" w:w="5760"/>
            <w:vAlign w:val="center"/>
            <w:tcMar>
              <w:top w:w="90" w:type="dxa"/>
              <w:start w:w="110" w:type="dxa"/>
              <w:bottom w:w="90" w:type="dxa"/>
              <w:end w:w="110" w:type="dxa"/>
            </w:tcMar>
          </w:tcPr>
          <w:p>
            <w:pPr>
              <w:spacing w:before="0" w:after="20"/>
            </w:pPr>
            <w:r>
              <w:rPr>
                <w:rFonts w:ascii="Aptos" w:hAnsi="Aptos"/>
                <w:sz w:val="17"/>
              </w:rPr>
              <w:t>Detailed historical training segments.</w:t>
            </w:r>
          </w:p>
        </w:tc>
      </w:tr>
      <w:tr>
        <w:tc>
          <w:tcPr>
            <w:tcW w:type="dxa" w:w="2520"/>
            <w:vAlign w:val="center"/>
            <w:tcMar>
              <w:top w:w="90" w:type="dxa"/>
              <w:start w:w="110" w:type="dxa"/>
              <w:bottom w:w="90" w:type="dxa"/>
              <w:end w:w="110" w:type="dxa"/>
            </w:tcMar>
          </w:tcPr>
          <w:p>
            <w:pPr>
              <w:spacing w:before="0" w:after="20"/>
            </w:pPr>
            <w:r>
              <w:rPr>
                <w:rFonts w:ascii="Aptos" w:hAnsi="Aptos"/>
                <w:sz w:val="17"/>
              </w:rPr>
              <w:t>T60</w:t>
            </w:r>
          </w:p>
        </w:tc>
        <w:tc>
          <w:tcPr>
            <w:tcW w:type="dxa" w:w="5760"/>
            <w:vAlign w:val="center"/>
            <w:tcMar>
              <w:top w:w="90" w:type="dxa"/>
              <w:start w:w="110" w:type="dxa"/>
              <w:bottom w:w="90" w:type="dxa"/>
              <w:end w:w="110" w:type="dxa"/>
            </w:tcMar>
          </w:tcPr>
          <w:p>
            <w:pPr>
              <w:spacing w:before="0" w:after="20"/>
            </w:pPr>
            <w:r>
              <w:rPr>
                <w:rFonts w:ascii="Aptos" w:hAnsi="Aptos"/>
                <w:sz w:val="17"/>
              </w:rPr>
              <w:t>Held-out 2026Q1 evaluation segment.</w:t>
            </w:r>
          </w:p>
        </w:tc>
      </w:tr>
      <w:tr>
        <w:tc>
          <w:tcPr>
            <w:tcW w:type="dxa" w:w="2520"/>
            <w:vAlign w:val="center"/>
            <w:tcMar>
              <w:top w:w="90" w:type="dxa"/>
              <w:start w:w="110" w:type="dxa"/>
              <w:bottom w:w="90" w:type="dxa"/>
              <w:end w:w="110" w:type="dxa"/>
            </w:tcMar>
          </w:tcPr>
          <w:p>
            <w:pPr>
              <w:spacing w:before="0" w:after="20"/>
            </w:pPr>
            <w:r>
              <w:rPr>
                <w:rFonts w:ascii="Aptos" w:hAnsi="Aptos"/>
                <w:sz w:val="17"/>
              </w:rPr>
              <w:t>Post-endpoint</w:t>
            </w:r>
          </w:p>
        </w:tc>
        <w:tc>
          <w:tcPr>
            <w:tcW w:type="dxa" w:w="5760"/>
            <w:vAlign w:val="center"/>
            <w:tcMar>
              <w:top w:w="90" w:type="dxa"/>
              <w:start w:w="110" w:type="dxa"/>
              <w:bottom w:w="90" w:type="dxa"/>
              <w:end w:w="110" w:type="dxa"/>
            </w:tcMar>
          </w:tcPr>
          <w:p>
            <w:pPr>
              <w:spacing w:before="0" w:after="20"/>
            </w:pPr>
            <w:r>
              <w:rPr>
                <w:rFonts w:ascii="Aptos" w:hAnsi="Aptos"/>
                <w:sz w:val="17"/>
              </w:rPr>
              <w:t>Canonical events after 2026-03-31, preserved outside the experiment.</w:t>
            </w:r>
          </w:p>
        </w:tc>
      </w:tr>
    </w:tbl>
    <w:p>
      <w:pPr>
        <w:spacing w:after="0"/>
      </w:pPr>
    </w:p>
    <w:p>
      <w:pPr>
        <w:pStyle w:val="Heading1"/>
        <w:keepNext/>
      </w:pPr>
      <w:r>
        <w:t>14. Reproduction Decisions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016"/>
            <w:vAlign w:val="center"/>
            <w:tcMar>
              <w:top w:w="90" w:type="dxa"/>
              <w:start w:w="110" w:type="dxa"/>
              <w:bottom w:w="90" w:type="dxa"/>
              <w:end w:w="110" w:type="dxa"/>
            </w:tcMar>
            <w:shd w:fill="D9E2F3"/>
          </w:tcPr>
          <w:p>
            <w:pPr>
              <w:spacing w:before="0" w:after="20"/>
            </w:pPr>
            <w:r>
              <w:rPr>
                <w:rFonts w:ascii="Aptos" w:hAnsi="Aptos"/>
                <w:b/>
                <w:color w:val="1F1F1F"/>
                <w:sz w:val="16"/>
              </w:rPr>
              <w:t>Decision</w:t>
            </w:r>
          </w:p>
        </w:tc>
        <w:tc>
          <w:tcPr>
            <w:tcW w:type="dxa" w:w="3600"/>
            <w:vAlign w:val="center"/>
            <w:tcMar>
              <w:top w:w="90" w:type="dxa"/>
              <w:start w:w="110" w:type="dxa"/>
              <w:bottom w:w="90" w:type="dxa"/>
              <w:end w:w="110" w:type="dxa"/>
            </w:tcMar>
            <w:shd w:fill="D9E2F3"/>
          </w:tcPr>
          <w:p>
            <w:pPr>
              <w:spacing w:before="0" w:after="20"/>
            </w:pPr>
            <w:r>
              <w:rPr>
                <w:rFonts w:ascii="Aptos" w:hAnsi="Aptos"/>
                <w:b/>
                <w:color w:val="1F1F1F"/>
                <w:sz w:val="16"/>
              </w:rPr>
              <w:t>Evidence</w:t>
            </w:r>
          </w:p>
        </w:tc>
        <w:tc>
          <w:tcPr>
            <w:tcW w:type="dxa" w:w="2880"/>
            <w:vAlign w:val="center"/>
            <w:tcMar>
              <w:top w:w="90" w:type="dxa"/>
              <w:start w:w="110" w:type="dxa"/>
              <w:bottom w:w="90" w:type="dxa"/>
              <w:end w:w="110" w:type="dxa"/>
            </w:tcMar>
            <w:shd w:fill="D9E2F3"/>
          </w:tcPr>
          <w:p>
            <w:pPr>
              <w:spacing w:before="0" w:after="20"/>
            </w:pPr>
            <w:r>
              <w:rPr>
                <w:rFonts w:ascii="Aptos" w:hAnsi="Aptos"/>
                <w:b/>
                <w:color w:val="1F1F1F"/>
                <w:sz w:val="16"/>
              </w:rPr>
              <w:t>Final policy</w:t>
            </w:r>
          </w:p>
        </w:tc>
      </w:tr>
      <w:tr>
        <w:tc>
          <w:tcPr>
            <w:tcW w:type="dxa" w:w="2016"/>
            <w:vAlign w:val="center"/>
            <w:tcMar>
              <w:top w:w="90" w:type="dxa"/>
              <w:start w:w="110" w:type="dxa"/>
              <w:bottom w:w="90" w:type="dxa"/>
              <w:end w:w="110" w:type="dxa"/>
            </w:tcMar>
          </w:tcPr>
          <w:p>
            <w:pPr>
              <w:spacing w:before="0" w:after="20"/>
            </w:pPr>
            <w:r>
              <w:rPr>
                <w:rFonts w:ascii="Aptos" w:hAnsi="Aptos"/>
                <w:sz w:val="16"/>
              </w:rPr>
              <w:t>Temporal field</w:t>
            </w:r>
          </w:p>
        </w:tc>
        <w:tc>
          <w:tcPr>
            <w:tcW w:type="dxa" w:w="3600"/>
            <w:vAlign w:val="center"/>
            <w:tcMar>
              <w:top w:w="90" w:type="dxa"/>
              <w:start w:w="110" w:type="dxa"/>
              <w:bottom w:w="90" w:type="dxa"/>
              <w:end w:w="110" w:type="dxa"/>
            </w:tcMar>
          </w:tcPr>
          <w:p>
            <w:pPr>
              <w:spacing w:before="0" w:after="20"/>
            </w:pPr>
            <w:r>
              <w:rPr>
                <w:rFonts w:ascii="Aptos" w:hAnsi="Aptos"/>
                <w:sz w:val="16"/>
              </w:rPr>
              <w:t>announced_on is complete and 100% parseable</w:t>
            </w:r>
          </w:p>
        </w:tc>
        <w:tc>
          <w:tcPr>
            <w:tcW w:type="dxa" w:w="2880"/>
            <w:vAlign w:val="center"/>
            <w:tcMar>
              <w:top w:w="90" w:type="dxa"/>
              <w:start w:w="110" w:type="dxa"/>
              <w:bottom w:w="90" w:type="dxa"/>
              <w:end w:w="110" w:type="dxa"/>
            </w:tcMar>
          </w:tcPr>
          <w:p>
            <w:pPr>
              <w:spacing w:before="0" w:after="20"/>
            </w:pPr>
            <w:r>
              <w:rPr>
                <w:rFonts w:ascii="Aptos" w:hAnsi="Aptos"/>
                <w:sz w:val="16"/>
              </w:rPr>
              <w:t>Use as operational event time</w:t>
            </w:r>
          </w:p>
        </w:tc>
      </w:tr>
      <w:tr>
        <w:tc>
          <w:tcPr>
            <w:tcW w:type="dxa" w:w="2016"/>
            <w:vAlign w:val="center"/>
            <w:tcMar>
              <w:top w:w="90" w:type="dxa"/>
              <w:start w:w="110" w:type="dxa"/>
              <w:bottom w:w="90" w:type="dxa"/>
              <w:end w:w="110" w:type="dxa"/>
            </w:tcMar>
          </w:tcPr>
          <w:p>
            <w:pPr>
              <w:spacing w:before="0" w:after="20"/>
            </w:pPr>
            <w:r>
              <w:rPr>
                <w:rFonts w:ascii="Aptos" w:hAnsi="Aptos"/>
                <w:sz w:val="16"/>
              </w:rPr>
              <w:t>Early history</w:t>
            </w:r>
          </w:p>
        </w:tc>
        <w:tc>
          <w:tcPr>
            <w:tcW w:type="dxa" w:w="3600"/>
            <w:vAlign w:val="center"/>
            <w:tcMar>
              <w:top w:w="90" w:type="dxa"/>
              <w:start w:w="110" w:type="dxa"/>
              <w:bottom w:w="90" w:type="dxa"/>
              <w:end w:w="110" w:type="dxa"/>
            </w:tcMar>
          </w:tcPr>
          <w:p>
            <w:pPr>
              <w:spacing w:before="0" w:after="20"/>
            </w:pPr>
            <w:r>
              <w:rPr>
                <w:rFonts w:ascii="Aptos" w:hAnsi="Aptos"/>
                <w:sz w:val="16"/>
              </w:rPr>
              <w:t>Sparse and discontinuous, but ITRS preserves older history</w:t>
            </w:r>
          </w:p>
        </w:tc>
        <w:tc>
          <w:tcPr>
            <w:tcW w:type="dxa" w:w="2880"/>
            <w:vAlign w:val="center"/>
            <w:tcMar>
              <w:top w:w="90" w:type="dxa"/>
              <w:start w:w="110" w:type="dxa"/>
              <w:bottom w:w="90" w:type="dxa"/>
              <w:end w:w="110" w:type="dxa"/>
            </w:tcMar>
          </w:tcPr>
          <w:p>
            <w:pPr>
              <w:spacing w:before="0" w:after="20"/>
            </w:pPr>
            <w:r>
              <w:rPr>
                <w:rFonts w:ascii="Aptos" w:hAnsi="Aptos"/>
                <w:sz w:val="16"/>
              </w:rPr>
              <w:t>Compress pre-2011Q2 events into T0</w:t>
            </w:r>
          </w:p>
        </w:tc>
      </w:tr>
      <w:tr>
        <w:tc>
          <w:tcPr>
            <w:tcW w:type="dxa" w:w="2016"/>
            <w:vAlign w:val="center"/>
            <w:tcMar>
              <w:top w:w="90" w:type="dxa"/>
              <w:start w:w="110" w:type="dxa"/>
              <w:bottom w:w="90" w:type="dxa"/>
              <w:end w:w="110" w:type="dxa"/>
            </w:tcMar>
          </w:tcPr>
          <w:p>
            <w:pPr>
              <w:spacing w:before="0" w:after="20"/>
            </w:pPr>
            <w:r>
              <w:rPr>
                <w:rFonts w:ascii="Aptos" w:hAnsi="Aptos"/>
                <w:sz w:val="16"/>
              </w:rPr>
              <w:t>Detailed horizon</w:t>
            </w:r>
          </w:p>
        </w:tc>
        <w:tc>
          <w:tcPr>
            <w:tcW w:type="dxa" w:w="3600"/>
            <w:vAlign w:val="center"/>
            <w:tcMar>
              <w:top w:w="90" w:type="dxa"/>
              <w:start w:w="110" w:type="dxa"/>
              <w:bottom w:w="90" w:type="dxa"/>
              <w:end w:w="110" w:type="dxa"/>
            </w:tcMar>
          </w:tcPr>
          <w:p>
            <w:pPr>
              <w:spacing w:before="0" w:after="20"/>
            </w:pPr>
            <w:r>
              <w:rPr>
                <w:rFonts w:ascii="Aptos" w:hAnsi="Aptos"/>
                <w:sz w:val="16"/>
              </w:rPr>
              <w:t>ITRS t=60 corresponds to 3-month segments</w:t>
            </w:r>
          </w:p>
        </w:tc>
        <w:tc>
          <w:tcPr>
            <w:tcW w:type="dxa" w:w="2880"/>
            <w:vAlign w:val="center"/>
            <w:tcMar>
              <w:top w:w="90" w:type="dxa"/>
              <w:start w:w="110" w:type="dxa"/>
              <w:bottom w:w="90" w:type="dxa"/>
              <w:end w:w="110" w:type="dxa"/>
            </w:tcMar>
          </w:tcPr>
          <w:p>
            <w:pPr>
              <w:spacing w:before="0" w:after="20"/>
            </w:pPr>
            <w:r>
              <w:rPr>
                <w:rFonts w:ascii="Aptos" w:hAnsi="Aptos"/>
                <w:sz w:val="16"/>
              </w:rPr>
              <w:t>15 years / 60 segments</w:t>
            </w:r>
          </w:p>
        </w:tc>
      </w:tr>
      <w:tr>
        <w:tc>
          <w:tcPr>
            <w:tcW w:type="dxa" w:w="2016"/>
            <w:vAlign w:val="center"/>
            <w:tcMar>
              <w:top w:w="90" w:type="dxa"/>
              <w:start w:w="110" w:type="dxa"/>
              <w:bottom w:w="90" w:type="dxa"/>
              <w:end w:w="110" w:type="dxa"/>
            </w:tcMar>
          </w:tcPr>
          <w:p>
            <w:pPr>
              <w:spacing w:before="0" w:after="20"/>
            </w:pPr>
            <w:r>
              <w:rPr>
                <w:rFonts w:ascii="Aptos" w:hAnsi="Aptos"/>
                <w:sz w:val="16"/>
              </w:rPr>
              <w:t>Endpoint</w:t>
            </w:r>
          </w:p>
        </w:tc>
        <w:tc>
          <w:tcPr>
            <w:tcW w:type="dxa" w:w="3600"/>
            <w:vAlign w:val="center"/>
            <w:tcMar>
              <w:top w:w="90" w:type="dxa"/>
              <w:start w:w="110" w:type="dxa"/>
              <w:bottom w:w="90" w:type="dxa"/>
              <w:end w:w="110" w:type="dxa"/>
            </w:tcMar>
          </w:tcPr>
          <w:p>
            <w:pPr>
              <w:spacing w:before="0" w:after="20"/>
            </w:pPr>
            <w:r>
              <w:rPr>
                <w:rFonts w:ascii="Aptos" w:hAnsi="Aptos"/>
                <w:sz w:val="16"/>
              </w:rPr>
              <w:t>March scenario is mature, high-retention, and quarter-aligned</w:t>
            </w:r>
          </w:p>
        </w:tc>
        <w:tc>
          <w:tcPr>
            <w:tcW w:type="dxa" w:w="2880"/>
            <w:vAlign w:val="center"/>
            <w:tcMar>
              <w:top w:w="90" w:type="dxa"/>
              <w:start w:w="110" w:type="dxa"/>
              <w:bottom w:w="90" w:type="dxa"/>
              <w:end w:w="110" w:type="dxa"/>
            </w:tcMar>
          </w:tcPr>
          <w:p>
            <w:pPr>
              <w:spacing w:before="0" w:after="20"/>
            </w:pPr>
            <w:r>
              <w:rPr>
                <w:rFonts w:ascii="Aptos" w:hAnsi="Aptos"/>
                <w:sz w:val="16"/>
              </w:rPr>
              <w:t>End experiment 2026-03-31</w:t>
            </w:r>
          </w:p>
        </w:tc>
      </w:tr>
      <w:tr>
        <w:tc>
          <w:tcPr>
            <w:tcW w:type="dxa" w:w="2016"/>
            <w:vAlign w:val="center"/>
            <w:tcMar>
              <w:top w:w="90" w:type="dxa"/>
              <w:start w:w="110" w:type="dxa"/>
              <w:bottom w:w="90" w:type="dxa"/>
              <w:end w:w="110" w:type="dxa"/>
            </w:tcMar>
          </w:tcPr>
          <w:p>
            <w:pPr>
              <w:spacing w:before="0" w:after="20"/>
            </w:pPr>
            <w:r>
              <w:rPr>
                <w:rFonts w:ascii="Aptos" w:hAnsi="Aptos"/>
                <w:sz w:val="16"/>
              </w:rPr>
              <w:t>Within-segment order</w:t>
            </w:r>
          </w:p>
        </w:tc>
        <w:tc>
          <w:tcPr>
            <w:tcW w:type="dxa" w:w="3600"/>
            <w:vAlign w:val="center"/>
            <w:tcMar>
              <w:top w:w="90" w:type="dxa"/>
              <w:start w:w="110" w:type="dxa"/>
              <w:bottom w:w="90" w:type="dxa"/>
              <w:end w:w="110" w:type="dxa"/>
            </w:tcMar>
          </w:tcPr>
          <w:p>
            <w:pPr>
              <w:spacing w:before="0" w:after="20"/>
            </w:pPr>
            <w:r>
              <w:rPr>
                <w:rFonts w:ascii="Aptos" w:hAnsi="Aptos"/>
                <w:sz w:val="16"/>
              </w:rPr>
              <w:t>ITRS assumes no sequential property inside segment</w:t>
            </w:r>
          </w:p>
        </w:tc>
        <w:tc>
          <w:tcPr>
            <w:tcW w:type="dxa" w:w="2880"/>
            <w:vAlign w:val="center"/>
            <w:tcMar>
              <w:top w:w="90" w:type="dxa"/>
              <w:start w:w="110" w:type="dxa"/>
              <w:bottom w:w="90" w:type="dxa"/>
              <w:end w:w="110" w:type="dxa"/>
            </w:tcMar>
          </w:tcPr>
          <w:p>
            <w:pPr>
              <w:spacing w:before="0" w:after="20"/>
            </w:pPr>
            <w:r>
              <w:rPr>
                <w:rFonts w:ascii="Aptos" w:hAnsi="Aptos"/>
                <w:sz w:val="16"/>
              </w:rPr>
              <w:t>Do not invent event order</w:t>
            </w:r>
          </w:p>
        </w:tc>
      </w:tr>
      <w:tr>
        <w:tc>
          <w:tcPr>
            <w:tcW w:type="dxa" w:w="2016"/>
            <w:vAlign w:val="center"/>
            <w:tcMar>
              <w:top w:w="90" w:type="dxa"/>
              <w:start w:w="110" w:type="dxa"/>
              <w:bottom w:w="90" w:type="dxa"/>
              <w:end w:w="110" w:type="dxa"/>
            </w:tcMar>
          </w:tcPr>
          <w:p>
            <w:pPr>
              <w:spacing w:before="0" w:after="20"/>
            </w:pPr>
            <w:r>
              <w:rPr>
                <w:rFonts w:ascii="Aptos" w:hAnsi="Aptos"/>
                <w:sz w:val="16"/>
              </w:rPr>
              <w:t>Investor sparsity</w:t>
            </w:r>
          </w:p>
        </w:tc>
        <w:tc>
          <w:tcPr>
            <w:tcW w:type="dxa" w:w="3600"/>
            <w:vAlign w:val="center"/>
            <w:tcMar>
              <w:top w:w="90" w:type="dxa"/>
              <w:start w:w="110" w:type="dxa"/>
              <w:bottom w:w="90" w:type="dxa"/>
              <w:end w:w="110" w:type="dxa"/>
            </w:tcMar>
          </w:tcPr>
          <w:p>
            <w:pPr>
              <w:spacing w:before="0" w:after="20"/>
            </w:pPr>
            <w:r>
              <w:rPr>
                <w:rFonts w:ascii="Aptos" w:hAnsi="Aptos"/>
                <w:sz w:val="16"/>
              </w:rPr>
              <w:t>Median sequence remains 1 under all start windows</w:t>
            </w:r>
          </w:p>
        </w:tc>
        <w:tc>
          <w:tcPr>
            <w:tcW w:type="dxa" w:w="2880"/>
            <w:vAlign w:val="center"/>
            <w:tcMar>
              <w:top w:w="90" w:type="dxa"/>
              <w:start w:w="110" w:type="dxa"/>
              <w:bottom w:w="90" w:type="dxa"/>
              <w:end w:w="110" w:type="dxa"/>
            </w:tcMar>
          </w:tcPr>
          <w:p>
            <w:pPr>
              <w:spacing w:before="0" w:after="20"/>
            </w:pPr>
            <w:r>
              <w:rPr>
                <w:rFonts w:ascii="Aptos" w:hAnsi="Aptos"/>
                <w:sz w:val="16"/>
              </w:rPr>
              <w:t>Do not use cutoff to solve sparsity</w:t>
            </w:r>
          </w:p>
        </w:tc>
      </w:tr>
      <w:tr>
        <w:tc>
          <w:tcPr>
            <w:tcW w:type="dxa" w:w="2016"/>
            <w:vAlign w:val="center"/>
            <w:tcMar>
              <w:top w:w="90" w:type="dxa"/>
              <w:start w:w="110" w:type="dxa"/>
              <w:bottom w:w="90" w:type="dxa"/>
              <w:end w:w="110" w:type="dxa"/>
            </w:tcMar>
          </w:tcPr>
          <w:p>
            <w:pPr>
              <w:spacing w:before="0" w:after="20"/>
            </w:pPr>
            <w:r>
              <w:rPr>
                <w:rFonts w:ascii="Aptos" w:hAnsi="Aptos"/>
                <w:sz w:val="16"/>
              </w:rPr>
              <w:t>Minimum history</w:t>
            </w:r>
          </w:p>
        </w:tc>
        <w:tc>
          <w:tcPr>
            <w:tcW w:type="dxa" w:w="3600"/>
            <w:vAlign w:val="center"/>
            <w:tcMar>
              <w:top w:w="90" w:type="dxa"/>
              <w:start w:w="110" w:type="dxa"/>
              <w:bottom w:w="90" w:type="dxa"/>
              <w:end w:w="110" w:type="dxa"/>
            </w:tcMar>
          </w:tcPr>
          <w:p>
            <w:pPr>
              <w:spacing w:before="0" w:after="20"/>
            </w:pPr>
            <w:r>
              <w:rPr>
                <w:rFonts w:ascii="Aptos" w:hAnsi="Aptos"/>
                <w:sz w:val="16"/>
              </w:rPr>
              <w:t>Not specified by ITRS</w:t>
            </w:r>
          </w:p>
        </w:tc>
        <w:tc>
          <w:tcPr>
            <w:tcW w:type="dxa" w:w="2880"/>
            <w:vAlign w:val="center"/>
            <w:tcMar>
              <w:top w:w="90" w:type="dxa"/>
              <w:start w:w="110" w:type="dxa"/>
              <w:bottom w:w="90" w:type="dxa"/>
              <w:end w:w="110" w:type="dxa"/>
            </w:tcMar>
          </w:tcPr>
          <w:p>
            <w:pPr>
              <w:spacing w:before="0" w:after="20"/>
            </w:pPr>
            <w:r>
              <w:rPr>
                <w:rFonts w:ascii="Aptos" w:hAnsi="Aptos"/>
                <w:sz w:val="16"/>
              </w:rPr>
              <w:t>No Phase-2 threshold</w:t>
            </w:r>
          </w:p>
        </w:tc>
      </w:tr>
      <w:tr>
        <w:tc>
          <w:tcPr>
            <w:tcW w:type="dxa" w:w="2016"/>
            <w:vAlign w:val="center"/>
            <w:tcMar>
              <w:top w:w="90" w:type="dxa"/>
              <w:start w:w="110" w:type="dxa"/>
              <w:bottom w:w="90" w:type="dxa"/>
              <w:end w:w="110" w:type="dxa"/>
            </w:tcMar>
          </w:tcPr>
          <w:p>
            <w:pPr>
              <w:spacing w:before="0" w:after="20"/>
            </w:pPr>
            <w:r>
              <w:rPr>
                <w:rFonts w:ascii="Aptos" w:hAnsi="Aptos"/>
                <w:sz w:val="16"/>
              </w:rPr>
              <w:t>T60 cold start</w:t>
            </w:r>
          </w:p>
        </w:tc>
        <w:tc>
          <w:tcPr>
            <w:tcW w:type="dxa" w:w="3600"/>
            <w:vAlign w:val="center"/>
            <w:tcMar>
              <w:top w:w="90" w:type="dxa"/>
              <w:start w:w="110" w:type="dxa"/>
              <w:bottom w:w="90" w:type="dxa"/>
              <w:end w:w="110" w:type="dxa"/>
            </w:tcMar>
          </w:tcPr>
          <w:p>
            <w:pPr>
              <w:spacing w:before="0" w:after="20"/>
            </w:pPr>
            <w:r>
              <w:rPr>
                <w:rFonts w:ascii="Aptos" w:hAnsi="Aptos"/>
                <w:sz w:val="16"/>
              </w:rPr>
              <w:t>Structural in Crunchbase and similar across endpoints</w:t>
            </w:r>
          </w:p>
        </w:tc>
        <w:tc>
          <w:tcPr>
            <w:tcW w:type="dxa" w:w="2880"/>
            <w:vAlign w:val="center"/>
            <w:tcMar>
              <w:top w:w="90" w:type="dxa"/>
              <w:start w:w="110" w:type="dxa"/>
              <w:bottom w:w="90" w:type="dxa"/>
              <w:end w:w="110" w:type="dxa"/>
            </w:tcMar>
          </w:tcPr>
          <w:p>
            <w:pPr>
              <w:spacing w:before="0" w:after="20"/>
            </w:pPr>
            <w:r>
              <w:rPr>
                <w:rFonts w:ascii="Aptos" w:hAnsi="Aptos"/>
                <w:sz w:val="16"/>
              </w:rPr>
              <w:t>Retain and audit</w:t>
            </w:r>
          </w:p>
        </w:tc>
      </w:tr>
      <w:tr>
        <w:tc>
          <w:tcPr>
            <w:tcW w:type="dxa" w:w="2016"/>
            <w:vAlign w:val="center"/>
            <w:tcMar>
              <w:top w:w="90" w:type="dxa"/>
              <w:start w:w="110" w:type="dxa"/>
              <w:bottom w:w="90" w:type="dxa"/>
              <w:end w:w="110" w:type="dxa"/>
            </w:tcMar>
          </w:tcPr>
          <w:p>
            <w:pPr>
              <w:spacing w:before="0" w:after="20"/>
            </w:pPr>
            <w:r>
              <w:rPr>
                <w:rFonts w:ascii="Aptos" w:hAnsi="Aptos"/>
                <w:sz w:val="16"/>
              </w:rPr>
              <w:t>Repeat prior pairs</w:t>
            </w:r>
          </w:p>
        </w:tc>
        <w:tc>
          <w:tcPr>
            <w:tcW w:type="dxa" w:w="3600"/>
            <w:vAlign w:val="center"/>
            <w:tcMar>
              <w:top w:w="90" w:type="dxa"/>
              <w:start w:w="110" w:type="dxa"/>
              <w:bottom w:w="90" w:type="dxa"/>
              <w:end w:w="110" w:type="dxa"/>
            </w:tcMar>
          </w:tcPr>
          <w:p>
            <w:pPr>
              <w:spacing w:before="0" w:after="20"/>
            </w:pPr>
            <w:r>
              <w:rPr>
                <w:rFonts w:ascii="Aptos" w:hAnsi="Aptos"/>
                <w:sz w:val="16"/>
              </w:rPr>
              <w:t>ITRS models investment events and does not document exclusion</w:t>
            </w:r>
          </w:p>
        </w:tc>
        <w:tc>
          <w:tcPr>
            <w:tcW w:type="dxa" w:w="2880"/>
            <w:vAlign w:val="center"/>
            <w:tcMar>
              <w:top w:w="90" w:type="dxa"/>
              <w:start w:w="110" w:type="dxa"/>
              <w:bottom w:w="90" w:type="dxa"/>
              <w:end w:w="110" w:type="dxa"/>
            </w:tcMar>
          </w:tcPr>
          <w:p>
            <w:pPr>
              <w:spacing w:before="0" w:after="20"/>
            </w:pPr>
            <w:r>
              <w:rPr>
                <w:rFonts w:ascii="Aptos" w:hAnsi="Aptos"/>
                <w:sz w:val="16"/>
              </w:rPr>
              <w:t>Retain</w:t>
            </w:r>
          </w:p>
        </w:tc>
      </w:tr>
      <w:tr>
        <w:tc>
          <w:tcPr>
            <w:tcW w:type="dxa" w:w="2016"/>
            <w:vAlign w:val="center"/>
            <w:tcMar>
              <w:top w:w="90" w:type="dxa"/>
              <w:start w:w="110" w:type="dxa"/>
              <w:bottom w:w="90" w:type="dxa"/>
              <w:end w:w="110" w:type="dxa"/>
            </w:tcMar>
          </w:tcPr>
          <w:p>
            <w:pPr>
              <w:spacing w:before="0" w:after="20"/>
            </w:pPr>
            <w:r>
              <w:rPr>
                <w:rFonts w:ascii="Aptos" w:hAnsi="Aptos"/>
                <w:sz w:val="16"/>
              </w:rPr>
              <w:t>Validation/test split</w:t>
            </w:r>
          </w:p>
        </w:tc>
        <w:tc>
          <w:tcPr>
            <w:tcW w:type="dxa" w:w="3600"/>
            <w:vAlign w:val="center"/>
            <w:tcMar>
              <w:top w:w="90" w:type="dxa"/>
              <w:start w:w="110" w:type="dxa"/>
              <w:bottom w:w="90" w:type="dxa"/>
              <w:end w:w="110" w:type="dxa"/>
            </w:tcMar>
          </w:tcPr>
          <w:p>
            <w:pPr>
              <w:spacing w:before="0" w:after="20"/>
            </w:pPr>
            <w:r>
              <w:rPr>
                <w:rFonts w:ascii="Aptos" w:hAnsi="Aptos"/>
                <w:sz w:val="16"/>
              </w:rPr>
              <w:t>Paper uses random 10% / remainder in final fragment</w:t>
            </w:r>
          </w:p>
        </w:tc>
        <w:tc>
          <w:tcPr>
            <w:tcW w:type="dxa" w:w="2880"/>
            <w:vAlign w:val="center"/>
            <w:tcMar>
              <w:top w:w="90" w:type="dxa"/>
              <w:start w:w="110" w:type="dxa"/>
              <w:bottom w:w="90" w:type="dxa"/>
              <w:end w:w="110" w:type="dxa"/>
            </w:tcMar>
          </w:tcPr>
          <w:p>
            <w:pPr>
              <w:spacing w:before="0" w:after="20"/>
            </w:pPr>
            <w:r>
              <w:rPr>
                <w:rFonts w:ascii="Aptos" w:hAnsi="Aptos"/>
                <w:sz w:val="16"/>
              </w:rPr>
              <w:t>Event-level, unstratified, seed 42</w:t>
            </w:r>
          </w:p>
        </w:tc>
      </w:tr>
      <w:tr>
        <w:tc>
          <w:tcPr>
            <w:tcW w:type="dxa" w:w="2016"/>
            <w:vAlign w:val="center"/>
            <w:tcMar>
              <w:top w:w="90" w:type="dxa"/>
              <w:start w:w="110" w:type="dxa"/>
              <w:bottom w:w="90" w:type="dxa"/>
              <w:end w:w="110" w:type="dxa"/>
            </w:tcMar>
          </w:tcPr>
          <w:p>
            <w:pPr>
              <w:spacing w:before="0" w:after="20"/>
            </w:pPr>
            <w:r>
              <w:rPr>
                <w:rFonts w:ascii="Aptos" w:hAnsi="Aptos"/>
                <w:sz w:val="16"/>
              </w:rPr>
              <w:t>Post-endpoint events</w:t>
            </w:r>
          </w:p>
        </w:tc>
        <w:tc>
          <w:tcPr>
            <w:tcW w:type="dxa" w:w="3600"/>
            <w:vAlign w:val="center"/>
            <w:tcMar>
              <w:top w:w="90" w:type="dxa"/>
              <w:start w:w="110" w:type="dxa"/>
              <w:bottom w:w="90" w:type="dxa"/>
              <w:end w:w="110" w:type="dxa"/>
            </w:tcMar>
          </w:tcPr>
          <w:p>
            <w:pPr>
              <w:spacing w:before="0" w:after="20"/>
            </w:pPr>
            <w:r>
              <w:rPr>
                <w:rFonts w:ascii="Aptos" w:hAnsi="Aptos"/>
                <w:sz w:val="16"/>
              </w:rPr>
              <w:t>Needed for canonical provenance but outside selected experiment</w:t>
            </w:r>
          </w:p>
        </w:tc>
        <w:tc>
          <w:tcPr>
            <w:tcW w:type="dxa" w:w="2880"/>
            <w:vAlign w:val="center"/>
            <w:tcMar>
              <w:top w:w="90" w:type="dxa"/>
              <w:start w:w="110" w:type="dxa"/>
              <w:bottom w:w="90" w:type="dxa"/>
              <w:end w:w="110" w:type="dxa"/>
            </w:tcMar>
          </w:tcPr>
          <w:p>
            <w:pPr>
              <w:spacing w:before="0" w:after="20"/>
            </w:pPr>
            <w:r>
              <w:rPr>
                <w:rFonts w:ascii="Aptos" w:hAnsi="Aptos"/>
                <w:sz w:val="16"/>
              </w:rPr>
              <w:t>Preserve separately</w:t>
            </w:r>
          </w:p>
        </w:tc>
      </w:tr>
    </w:tbl>
    <w:p>
      <w:pPr>
        <w:spacing w:after="0"/>
      </w:pPr>
    </w:p>
    <w:p>
      <w:pPr>
        <w:pStyle w:val="Heading1"/>
        <w:keepNext/>
      </w:pPr>
      <w:r>
        <w:t>15. Known Limitations and Unresolved Questions</w:t>
      </w:r>
    </w:p>
    <w:p>
      <w:pPr>
        <w:pStyle w:val="ListBullet"/>
        <w:spacing w:after="40"/>
      </w:pPr>
      <w:r>
        <w:rPr>
          <w:b/>
        </w:rPr>
        <w:t xml:space="preserve">Reporting maturity: </w:t>
      </w:r>
      <w:r>
        <w:t>Actual Crunchbase reporting lag is unidentifiable from the available single snapshot because no ingestion/update timestamp is present.</w:t>
      </w:r>
    </w:p>
    <w:p>
      <w:pPr>
        <w:pStyle w:val="ListBullet"/>
        <w:spacing w:after="40"/>
      </w:pPr>
      <w:r>
        <w:rPr>
          <w:b/>
        </w:rPr>
        <w:t xml:space="preserve">Event-time semantics: </w:t>
      </w:r>
      <w:r>
        <w:t>announced_on is an announcement date, not necessarily the legal closing or cash-transfer date.</w:t>
      </w:r>
    </w:p>
    <w:p>
      <w:pPr>
        <w:pStyle w:val="ListBullet"/>
        <w:spacing w:after="40"/>
      </w:pPr>
      <w:r>
        <w:rPr>
          <w:b/>
        </w:rPr>
        <w:t xml:space="preserve">Paper indexing ambiguity: </w:t>
      </w:r>
      <w:r>
        <w:t>T0 and the t fragments are not indexed perfectly consistently in the paper; the reproduction follows the unambiguous algorithmic intent.</w:t>
      </w:r>
    </w:p>
    <w:p>
      <w:pPr>
        <w:pStyle w:val="ListBullet"/>
        <w:spacing w:after="40"/>
      </w:pPr>
      <w:r>
        <w:rPr>
          <w:b/>
        </w:rPr>
        <w:t xml:space="preserve">Paper count inconsistency: </w:t>
      </w:r>
      <w:r>
        <w:t>The paper reports 91,710 total events, while its stated train/validation/test counts sum to 91,711; this has no material effect on the algorithmic reproduction.</w:t>
      </w:r>
    </w:p>
    <w:p>
      <w:pPr>
        <w:pStyle w:val="ListBullet"/>
        <w:spacing w:after="40"/>
      </w:pPr>
      <w:r>
        <w:rPr>
          <w:b/>
        </w:rPr>
        <w:t xml:space="preserve">Cold start: </w:t>
      </w:r>
      <w:r>
        <w:t>Interaction-cold start has been measured, but graph-level/entity-feature cold start remains to be audited in Phase 3.</w:t>
      </w:r>
    </w:p>
    <w:p>
      <w:pPr>
        <w:pStyle w:val="ListBullet"/>
        <w:spacing w:after="40"/>
      </w:pPr>
      <w:r>
        <w:rPr>
          <w:b/>
        </w:rPr>
        <w:t xml:space="preserve">Validation/test dependence: </w:t>
      </w:r>
      <w:r>
        <w:t>1,315 funding rounds appear in both held-out subsets because the split is event-level.</w:t>
      </w:r>
    </w:p>
    <w:p>
      <w:pPr>
        <w:pStyle w:val="ListBullet"/>
        <w:spacing w:after="40"/>
      </w:pPr>
      <w:r>
        <w:rPr>
          <w:b/>
        </w:rPr>
        <w:t xml:space="preserve">Investor sparsity: </w:t>
      </w:r>
      <w:r>
        <w:t>No minimum-history rule has yet been selected; this remains a model-eligibility question rather than a temporal-window question.</w:t>
      </w:r>
    </w:p>
    <w:p>
      <w:pPr>
        <w:pStyle w:val="ListBullet"/>
        <w:spacing w:after="40"/>
      </w:pPr>
      <w:r>
        <w:rPr>
          <w:b/>
        </w:rPr>
        <w:t xml:space="preserve">Negative sampling: </w:t>
      </w:r>
      <w:r>
        <w:t>No training or evaluation negatives have been generated in Phase 2.</w:t>
      </w:r>
    </w:p>
    <w:p>
      <w:pPr>
        <w:pStyle w:val="Heading1"/>
        <w:keepNext/>
      </w:pPr>
      <w:r>
        <w:t>16. Reproducibility Artifacts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400"/>
            <w:vAlign w:val="center"/>
            <w:tcMar>
              <w:top w:w="90" w:type="dxa"/>
              <w:start w:w="110" w:type="dxa"/>
              <w:bottom w:w="90" w:type="dxa"/>
              <w:end w:w="110" w:type="dxa"/>
            </w:tcMar>
            <w:shd w:fill="D9E2F3"/>
          </w:tcPr>
          <w:p>
            <w:pPr>
              <w:spacing w:before="0" w:after="20"/>
            </w:pPr>
            <w:r>
              <w:rPr>
                <w:rFonts w:ascii="Aptos" w:hAnsi="Aptos"/>
                <w:b/>
                <w:color w:val="1F1F1F"/>
                <w:sz w:val="15"/>
              </w:rPr>
              <w:t>Artifact</w:t>
            </w:r>
          </w:p>
        </w:tc>
        <w:tc>
          <w:tcPr>
            <w:tcW w:type="dxa" w:w="2952"/>
            <w:vAlign w:val="center"/>
            <w:tcMar>
              <w:top w:w="90" w:type="dxa"/>
              <w:start w:w="110" w:type="dxa"/>
              <w:bottom w:w="90" w:type="dxa"/>
              <w:end w:w="110" w:type="dxa"/>
            </w:tcMar>
            <w:shd w:fill="D9E2F3"/>
          </w:tcPr>
          <w:p>
            <w:pPr>
              <w:spacing w:before="0" w:after="20"/>
            </w:pPr>
            <w:r>
              <w:rPr>
                <w:rFonts w:ascii="Aptos" w:hAnsi="Aptos"/>
                <w:b/>
                <w:color w:val="1F1F1F"/>
                <w:sz w:val="15"/>
              </w:rPr>
              <w:t>Purpose</w:t>
            </w:r>
          </w:p>
        </w:tc>
      </w:tr>
      <w:tr>
        <w:tc>
          <w:tcPr>
            <w:tcW w:type="dxa" w:w="5400"/>
            <w:vAlign w:val="center"/>
            <w:tcMar>
              <w:top w:w="90" w:type="dxa"/>
              <w:start w:w="110" w:type="dxa"/>
              <w:bottom w:w="90" w:type="dxa"/>
              <w:end w:w="110" w:type="dxa"/>
            </w:tcMar>
          </w:tcPr>
          <w:p>
            <w:pPr>
              <w:spacing w:before="0" w:after="20"/>
            </w:pPr>
            <w:r>
              <w:rPr>
                <w:rFonts w:ascii="Aptos" w:hAnsi="Aptos"/>
                <w:sz w:val="15"/>
              </w:rPr>
              <w:t>data/experimental/phase_2/audits/annual_temporal_distribution.csv</w:t>
            </w:r>
          </w:p>
        </w:tc>
        <w:tc>
          <w:tcPr>
            <w:tcW w:type="dxa" w:w="2952"/>
            <w:vAlign w:val="center"/>
            <w:tcMar>
              <w:top w:w="90" w:type="dxa"/>
              <w:start w:w="110" w:type="dxa"/>
              <w:bottom w:w="90" w:type="dxa"/>
              <w:end w:w="110" w:type="dxa"/>
            </w:tcMar>
          </w:tcPr>
          <w:p>
            <w:pPr>
              <w:spacing w:before="0" w:after="20"/>
            </w:pPr>
            <w:r>
              <w:rPr>
                <w:rFonts w:ascii="Aptos" w:hAnsi="Aptos"/>
                <w:sz w:val="15"/>
              </w:rPr>
              <w:t>Annual temporal coverage audit</w:t>
            </w:r>
          </w:p>
        </w:tc>
      </w:tr>
      <w:tr>
        <w:tc>
          <w:tcPr>
            <w:tcW w:type="dxa" w:w="5400"/>
            <w:vAlign w:val="center"/>
            <w:tcMar>
              <w:top w:w="90" w:type="dxa"/>
              <w:start w:w="110" w:type="dxa"/>
              <w:bottom w:w="90" w:type="dxa"/>
              <w:end w:w="110" w:type="dxa"/>
            </w:tcMar>
          </w:tcPr>
          <w:p>
            <w:pPr>
              <w:spacing w:before="0" w:after="20"/>
            </w:pPr>
            <w:r>
              <w:rPr>
                <w:rFonts w:ascii="Aptos" w:hAnsi="Aptos"/>
                <w:sz w:val="15"/>
              </w:rPr>
              <w:t>data/experimental/phase_2/audits/monthly_temporal_distribution.csv</w:t>
            </w:r>
          </w:p>
        </w:tc>
        <w:tc>
          <w:tcPr>
            <w:tcW w:type="dxa" w:w="2952"/>
            <w:vAlign w:val="center"/>
            <w:tcMar>
              <w:top w:w="90" w:type="dxa"/>
              <w:start w:w="110" w:type="dxa"/>
              <w:bottom w:w="90" w:type="dxa"/>
              <w:end w:w="110" w:type="dxa"/>
            </w:tcMar>
          </w:tcPr>
          <w:p>
            <w:pPr>
              <w:spacing w:before="0" w:after="20"/>
            </w:pPr>
            <w:r>
              <w:rPr>
                <w:rFonts w:ascii="Aptos" w:hAnsi="Aptos"/>
                <w:sz w:val="15"/>
              </w:rPr>
              <w:t>Monthly activity distribution</w:t>
            </w:r>
          </w:p>
        </w:tc>
      </w:tr>
      <w:tr>
        <w:tc>
          <w:tcPr>
            <w:tcW w:type="dxa" w:w="5400"/>
            <w:vAlign w:val="center"/>
            <w:tcMar>
              <w:top w:w="90" w:type="dxa"/>
              <w:start w:w="110" w:type="dxa"/>
              <w:bottom w:w="90" w:type="dxa"/>
              <w:end w:w="110" w:type="dxa"/>
            </w:tcMar>
          </w:tcPr>
          <w:p>
            <w:pPr>
              <w:spacing w:before="0" w:after="20"/>
            </w:pPr>
            <w:r>
              <w:rPr>
                <w:rFonts w:ascii="Aptos" w:hAnsi="Aptos"/>
                <w:sz w:val="15"/>
              </w:rPr>
              <w:t>data/experimental/phase_2/audits/quarterly_temporal_distribution.csv</w:t>
            </w:r>
          </w:p>
        </w:tc>
        <w:tc>
          <w:tcPr>
            <w:tcW w:type="dxa" w:w="2952"/>
            <w:vAlign w:val="center"/>
            <w:tcMar>
              <w:top w:w="90" w:type="dxa"/>
              <w:start w:w="110" w:type="dxa"/>
              <w:bottom w:w="90" w:type="dxa"/>
              <w:end w:w="110" w:type="dxa"/>
            </w:tcMar>
          </w:tcPr>
          <w:p>
            <w:pPr>
              <w:spacing w:before="0" w:after="20"/>
            </w:pPr>
            <w:r>
              <w:rPr>
                <w:rFonts w:ascii="Aptos" w:hAnsi="Aptos"/>
                <w:sz w:val="15"/>
              </w:rPr>
              <w:t>Quarterly activity distribution</w:t>
            </w:r>
          </w:p>
        </w:tc>
      </w:tr>
      <w:tr>
        <w:tc>
          <w:tcPr>
            <w:tcW w:type="dxa" w:w="5400"/>
            <w:vAlign w:val="center"/>
            <w:tcMar>
              <w:top w:w="90" w:type="dxa"/>
              <w:start w:w="110" w:type="dxa"/>
              <w:bottom w:w="90" w:type="dxa"/>
              <w:end w:w="110" w:type="dxa"/>
            </w:tcMar>
          </w:tcPr>
          <w:p>
            <w:pPr>
              <w:spacing w:before="0" w:after="20"/>
            </w:pPr>
            <w:r>
              <w:rPr>
                <w:rFonts w:ascii="Aptos" w:hAnsi="Aptos"/>
                <w:sz w:val="15"/>
              </w:rPr>
              <w:t>data/experimental/phase_2/audits/recent_period_completeness_monthly.csv</w:t>
            </w:r>
          </w:p>
        </w:tc>
        <w:tc>
          <w:tcPr>
            <w:tcW w:type="dxa" w:w="2952"/>
            <w:vAlign w:val="center"/>
            <w:tcMar>
              <w:top w:w="90" w:type="dxa"/>
              <w:start w:w="110" w:type="dxa"/>
              <w:bottom w:w="90" w:type="dxa"/>
              <w:end w:w="110" w:type="dxa"/>
            </w:tcMar>
          </w:tcPr>
          <w:p>
            <w:pPr>
              <w:spacing w:before="0" w:after="20"/>
            </w:pPr>
            <w:r>
              <w:rPr>
                <w:rFonts w:ascii="Aptos" w:hAnsi="Aptos"/>
                <w:sz w:val="15"/>
              </w:rPr>
              <w:t>Recent-month calendar completeness</w:t>
            </w:r>
          </w:p>
        </w:tc>
      </w:tr>
      <w:tr>
        <w:tc>
          <w:tcPr>
            <w:tcW w:type="dxa" w:w="5400"/>
            <w:vAlign w:val="center"/>
            <w:tcMar>
              <w:top w:w="90" w:type="dxa"/>
              <w:start w:w="110" w:type="dxa"/>
              <w:bottom w:w="90" w:type="dxa"/>
              <w:end w:w="110" w:type="dxa"/>
            </w:tcMar>
          </w:tcPr>
          <w:p>
            <w:pPr>
              <w:spacing w:before="0" w:after="20"/>
            </w:pPr>
            <w:r>
              <w:rPr>
                <w:rFonts w:ascii="Aptos" w:hAnsi="Aptos"/>
                <w:sz w:val="15"/>
              </w:rPr>
              <w:t>data/experimental/phase_2/audits/investor_history_summary.csv</w:t>
            </w:r>
          </w:p>
        </w:tc>
        <w:tc>
          <w:tcPr>
            <w:tcW w:type="dxa" w:w="2952"/>
            <w:vAlign w:val="center"/>
            <w:tcMar>
              <w:top w:w="90" w:type="dxa"/>
              <w:start w:w="110" w:type="dxa"/>
              <w:bottom w:w="90" w:type="dxa"/>
              <w:end w:w="110" w:type="dxa"/>
            </w:tcMar>
          </w:tcPr>
          <w:p>
            <w:pPr>
              <w:spacing w:before="0" w:after="20"/>
            </w:pPr>
            <w:r>
              <w:rPr>
                <w:rFonts w:ascii="Aptos" w:hAnsi="Aptos"/>
                <w:sz w:val="15"/>
              </w:rPr>
              <w:t>Investor sequence summary</w:t>
            </w:r>
          </w:p>
        </w:tc>
      </w:tr>
      <w:tr>
        <w:tc>
          <w:tcPr>
            <w:tcW w:type="dxa" w:w="5400"/>
            <w:vAlign w:val="center"/>
            <w:tcMar>
              <w:top w:w="90" w:type="dxa"/>
              <w:start w:w="110" w:type="dxa"/>
              <w:bottom w:w="90" w:type="dxa"/>
              <w:end w:w="110" w:type="dxa"/>
            </w:tcMar>
          </w:tcPr>
          <w:p>
            <w:pPr>
              <w:spacing w:before="0" w:after="20"/>
            </w:pPr>
            <w:r>
              <w:rPr>
                <w:rFonts w:ascii="Aptos" w:hAnsi="Aptos"/>
                <w:sz w:val="15"/>
              </w:rPr>
              <w:t>data/experimental/phase_2/audits/investor_sequence_length_buckets.csv</w:t>
            </w:r>
          </w:p>
        </w:tc>
        <w:tc>
          <w:tcPr>
            <w:tcW w:type="dxa" w:w="2952"/>
            <w:vAlign w:val="center"/>
            <w:tcMar>
              <w:top w:w="90" w:type="dxa"/>
              <w:start w:w="110" w:type="dxa"/>
              <w:bottom w:w="90" w:type="dxa"/>
              <w:end w:w="110" w:type="dxa"/>
            </w:tcMar>
          </w:tcPr>
          <w:p>
            <w:pPr>
              <w:spacing w:before="0" w:after="20"/>
            </w:pPr>
            <w:r>
              <w:rPr>
                <w:rFonts w:ascii="Aptos" w:hAnsi="Aptos"/>
                <w:sz w:val="15"/>
              </w:rPr>
              <w:t>Sequence-length distribution</w:t>
            </w:r>
          </w:p>
        </w:tc>
      </w:tr>
      <w:tr>
        <w:tc>
          <w:tcPr>
            <w:tcW w:type="dxa" w:w="5400"/>
            <w:vAlign w:val="center"/>
            <w:tcMar>
              <w:top w:w="90" w:type="dxa"/>
              <w:start w:w="110" w:type="dxa"/>
              <w:bottom w:w="90" w:type="dxa"/>
              <w:end w:w="110" w:type="dxa"/>
            </w:tcMar>
          </w:tcPr>
          <w:p>
            <w:pPr>
              <w:spacing w:before="0" w:after="20"/>
            </w:pPr>
            <w:r>
              <w:rPr>
                <w:rFonts w:ascii="Aptos" w:hAnsi="Aptos"/>
                <w:sz w:val="15"/>
              </w:rPr>
              <w:t>data/experimental/phase_2/audits/investor_interevent_gap_quantiles.csv</w:t>
            </w:r>
          </w:p>
        </w:tc>
        <w:tc>
          <w:tcPr>
            <w:tcW w:type="dxa" w:w="2952"/>
            <w:vAlign w:val="center"/>
            <w:tcMar>
              <w:top w:w="90" w:type="dxa"/>
              <w:start w:w="110" w:type="dxa"/>
              <w:bottom w:w="90" w:type="dxa"/>
              <w:end w:w="110" w:type="dxa"/>
            </w:tcMar>
          </w:tcPr>
          <w:p>
            <w:pPr>
              <w:spacing w:before="0" w:after="20"/>
            </w:pPr>
            <w:r>
              <w:rPr>
                <w:rFonts w:ascii="Aptos" w:hAnsi="Aptos"/>
                <w:sz w:val="15"/>
              </w:rPr>
              <w:t>Inter-event gap diagnostics</w:t>
            </w:r>
          </w:p>
        </w:tc>
      </w:tr>
      <w:tr>
        <w:tc>
          <w:tcPr>
            <w:tcW w:type="dxa" w:w="5400"/>
            <w:vAlign w:val="center"/>
            <w:tcMar>
              <w:top w:w="90" w:type="dxa"/>
              <w:start w:w="110" w:type="dxa"/>
              <w:bottom w:w="90" w:type="dxa"/>
              <w:end w:w="110" w:type="dxa"/>
            </w:tcMar>
          </w:tcPr>
          <w:p>
            <w:pPr>
              <w:spacing w:before="0" w:after="20"/>
            </w:pPr>
            <w:r>
              <w:rPr>
                <w:rFonts w:ascii="Aptos" w:hAnsi="Aptos"/>
                <w:sz w:val="15"/>
              </w:rPr>
              <w:t>data/experimental/phase_2/audits/snapshot_maturity_buffer_sensitivity.csv</w:t>
            </w:r>
          </w:p>
        </w:tc>
        <w:tc>
          <w:tcPr>
            <w:tcW w:type="dxa" w:w="2952"/>
            <w:vAlign w:val="center"/>
            <w:tcMar>
              <w:top w:w="90" w:type="dxa"/>
              <w:start w:w="110" w:type="dxa"/>
              <w:bottom w:w="90" w:type="dxa"/>
              <w:end w:w="110" w:type="dxa"/>
            </w:tcMar>
          </w:tcPr>
          <w:p>
            <w:pPr>
              <w:spacing w:before="0" w:after="20"/>
            </w:pPr>
            <w:r>
              <w:rPr>
                <w:rFonts w:ascii="Aptos" w:hAnsi="Aptos"/>
                <w:sz w:val="15"/>
              </w:rPr>
              <w:t>Hypothetical endpoint-maturity sensitivity</w:t>
            </w:r>
          </w:p>
        </w:tc>
      </w:tr>
      <w:tr>
        <w:tc>
          <w:tcPr>
            <w:tcW w:type="dxa" w:w="5400"/>
            <w:vAlign w:val="center"/>
            <w:tcMar>
              <w:top w:w="90" w:type="dxa"/>
              <w:start w:w="110" w:type="dxa"/>
              <w:bottom w:w="90" w:type="dxa"/>
              <w:end w:w="110" w:type="dxa"/>
            </w:tcMar>
          </w:tcPr>
          <w:p>
            <w:pPr>
              <w:spacing w:before="0" w:after="20"/>
            </w:pPr>
            <w:r>
              <w:rPr>
                <w:rFonts w:ascii="Aptos" w:hAnsi="Aptos"/>
                <w:sz w:val="15"/>
              </w:rPr>
              <w:t>data/experimental/phase_2/audits/candidate_start_year_diagnostics.csv</w:t>
            </w:r>
          </w:p>
        </w:tc>
        <w:tc>
          <w:tcPr>
            <w:tcW w:type="dxa" w:w="2952"/>
            <w:vAlign w:val="center"/>
            <w:tcMar>
              <w:top w:w="90" w:type="dxa"/>
              <w:start w:w="110" w:type="dxa"/>
              <w:bottom w:w="90" w:type="dxa"/>
              <w:end w:w="110" w:type="dxa"/>
            </w:tcMar>
          </w:tcPr>
          <w:p>
            <w:pPr>
              <w:spacing w:before="0" w:after="20"/>
            </w:pPr>
            <w:r>
              <w:rPr>
                <w:rFonts w:ascii="Aptos" w:hAnsi="Aptos"/>
                <w:sz w:val="15"/>
              </w:rPr>
              <w:t>Full start-boundary tradeoff curve</w:t>
            </w:r>
          </w:p>
        </w:tc>
      </w:tr>
      <w:tr>
        <w:tc>
          <w:tcPr>
            <w:tcW w:type="dxa" w:w="5400"/>
            <w:vAlign w:val="center"/>
            <w:tcMar>
              <w:top w:w="90" w:type="dxa"/>
              <w:start w:w="110" w:type="dxa"/>
              <w:bottom w:w="90" w:type="dxa"/>
              <w:end w:w="110" w:type="dxa"/>
            </w:tcMar>
          </w:tcPr>
          <w:p>
            <w:pPr>
              <w:spacing w:before="0" w:after="20"/>
            </w:pPr>
            <w:r>
              <w:rPr>
                <w:rFonts w:ascii="Aptos" w:hAnsi="Aptos"/>
                <w:sz w:val="15"/>
              </w:rPr>
              <w:t>data/experimental/phase_2/audits/joint_start_endpoint_sensitivity.csv</w:t>
            </w:r>
          </w:p>
        </w:tc>
        <w:tc>
          <w:tcPr>
            <w:tcW w:type="dxa" w:w="2952"/>
            <w:vAlign w:val="center"/>
            <w:tcMar>
              <w:top w:w="90" w:type="dxa"/>
              <w:start w:w="110" w:type="dxa"/>
              <w:bottom w:w="90" w:type="dxa"/>
              <w:end w:w="110" w:type="dxa"/>
            </w:tcMar>
          </w:tcPr>
          <w:p>
            <w:pPr>
              <w:spacing w:before="0" w:after="20"/>
            </w:pPr>
            <w:r>
              <w:rPr>
                <w:rFonts w:ascii="Aptos" w:hAnsi="Aptos"/>
                <w:sz w:val="15"/>
              </w:rPr>
              <w:t>Joint start/endpoint robustness audit</w:t>
            </w:r>
          </w:p>
        </w:tc>
      </w:tr>
      <w:tr>
        <w:tc>
          <w:tcPr>
            <w:tcW w:type="dxa" w:w="5400"/>
            <w:vAlign w:val="center"/>
            <w:tcMar>
              <w:top w:w="90" w:type="dxa"/>
              <w:start w:w="110" w:type="dxa"/>
              <w:bottom w:w="90" w:type="dxa"/>
              <w:end w:w="110" w:type="dxa"/>
            </w:tcMar>
          </w:tcPr>
          <w:p>
            <w:pPr>
              <w:spacing w:before="0" w:after="20"/>
            </w:pPr>
            <w:r>
              <w:rPr>
                <w:rFonts w:ascii="Aptos" w:hAnsi="Aptos"/>
                <w:sz w:val="15"/>
              </w:rPr>
              <w:t>data/experimental/phase_2/audits/itrs_compatible_window_summary.csv</w:t>
            </w:r>
          </w:p>
        </w:tc>
        <w:tc>
          <w:tcPr>
            <w:tcW w:type="dxa" w:w="2952"/>
            <w:vAlign w:val="center"/>
            <w:tcMar>
              <w:top w:w="90" w:type="dxa"/>
              <w:start w:w="110" w:type="dxa"/>
              <w:bottom w:w="90" w:type="dxa"/>
              <w:end w:w="110" w:type="dxa"/>
            </w:tcMar>
          </w:tcPr>
          <w:p>
            <w:pPr>
              <w:spacing w:before="0" w:after="20"/>
            </w:pPr>
            <w:r>
              <w:rPr>
                <w:rFonts w:ascii="Aptos" w:hAnsi="Aptos"/>
                <w:sz w:val="15"/>
              </w:rPr>
              <w:t>15-year / 60-segment endpoint comparison</w:t>
            </w:r>
          </w:p>
        </w:tc>
      </w:tr>
      <w:tr>
        <w:tc>
          <w:tcPr>
            <w:tcW w:type="dxa" w:w="5400"/>
            <w:vAlign w:val="center"/>
            <w:tcMar>
              <w:top w:w="90" w:type="dxa"/>
              <w:start w:w="110" w:type="dxa"/>
              <w:bottom w:w="90" w:type="dxa"/>
              <w:end w:w="110" w:type="dxa"/>
            </w:tcMar>
          </w:tcPr>
          <w:p>
            <w:pPr>
              <w:spacing w:before="0" w:after="20"/>
            </w:pPr>
            <w:r>
              <w:rPr>
                <w:rFonts w:ascii="Aptos" w:hAnsi="Aptos"/>
                <w:sz w:val="15"/>
              </w:rPr>
              <w:t>data/experimental/phase_2/temporal/interactions_itrs_temporal.parquet</w:t>
            </w:r>
          </w:p>
        </w:tc>
        <w:tc>
          <w:tcPr>
            <w:tcW w:type="dxa" w:w="2952"/>
            <w:vAlign w:val="center"/>
            <w:tcMar>
              <w:top w:w="90" w:type="dxa"/>
              <w:start w:w="110" w:type="dxa"/>
              <w:bottom w:w="90" w:type="dxa"/>
              <w:end w:w="110" w:type="dxa"/>
            </w:tcMar>
          </w:tcPr>
          <w:p>
            <w:pPr>
              <w:spacing w:before="0" w:after="20"/>
            </w:pPr>
            <w:r>
              <w:rPr>
                <w:rFonts w:ascii="Aptos" w:hAnsi="Aptos"/>
                <w:sz w:val="15"/>
              </w:rPr>
              <w:t>Selected T0-T60 temporal interaction layer</w:t>
            </w:r>
          </w:p>
        </w:tc>
      </w:tr>
      <w:tr>
        <w:tc>
          <w:tcPr>
            <w:tcW w:type="dxa" w:w="5400"/>
            <w:vAlign w:val="center"/>
            <w:tcMar>
              <w:top w:w="90" w:type="dxa"/>
              <w:start w:w="110" w:type="dxa"/>
              <w:bottom w:w="90" w:type="dxa"/>
              <w:end w:w="110" w:type="dxa"/>
            </w:tcMar>
          </w:tcPr>
          <w:p>
            <w:pPr>
              <w:spacing w:before="0" w:after="20"/>
            </w:pPr>
            <w:r>
              <w:rPr>
                <w:rFonts w:ascii="Aptos" w:hAnsi="Aptos"/>
                <w:sz w:val="15"/>
              </w:rPr>
              <w:t>data/experimental/phase_2/temporal/itrs_segment_metadata.csv</w:t>
            </w:r>
          </w:p>
        </w:tc>
        <w:tc>
          <w:tcPr>
            <w:tcW w:type="dxa" w:w="2952"/>
            <w:vAlign w:val="center"/>
            <w:tcMar>
              <w:top w:w="90" w:type="dxa"/>
              <w:start w:w="110" w:type="dxa"/>
              <w:bottom w:w="90" w:type="dxa"/>
              <w:end w:w="110" w:type="dxa"/>
            </w:tcMar>
          </w:tcPr>
          <w:p>
            <w:pPr>
              <w:spacing w:before="0" w:after="20"/>
            </w:pPr>
            <w:r>
              <w:rPr>
                <w:rFonts w:ascii="Aptos" w:hAnsi="Aptos"/>
                <w:sz w:val="15"/>
              </w:rPr>
              <w:t>Segment boundaries and counts</w:t>
            </w:r>
          </w:p>
        </w:tc>
      </w:tr>
      <w:tr>
        <w:tc>
          <w:tcPr>
            <w:tcW w:type="dxa" w:w="5400"/>
            <w:vAlign w:val="center"/>
            <w:tcMar>
              <w:top w:w="90" w:type="dxa"/>
              <w:start w:w="110" w:type="dxa"/>
              <w:bottom w:w="90" w:type="dxa"/>
              <w:end w:w="110" w:type="dxa"/>
            </w:tcMar>
          </w:tcPr>
          <w:p>
            <w:pPr>
              <w:spacing w:before="0" w:after="20"/>
            </w:pPr>
            <w:r>
              <w:rPr>
                <w:rFonts w:ascii="Aptos" w:hAnsi="Aptos"/>
                <w:sz w:val="15"/>
              </w:rPr>
              <w:t>data/experimental/phase_2/temporal/post_endpoint_interactions.parquet</w:t>
            </w:r>
          </w:p>
        </w:tc>
        <w:tc>
          <w:tcPr>
            <w:tcW w:type="dxa" w:w="2952"/>
            <w:vAlign w:val="center"/>
            <w:tcMar>
              <w:top w:w="90" w:type="dxa"/>
              <w:start w:w="110" w:type="dxa"/>
              <w:bottom w:w="90" w:type="dxa"/>
              <w:end w:w="110" w:type="dxa"/>
            </w:tcMar>
          </w:tcPr>
          <w:p>
            <w:pPr>
              <w:spacing w:before="0" w:after="20"/>
            </w:pPr>
            <w:r>
              <w:rPr>
                <w:rFonts w:ascii="Aptos" w:hAnsi="Aptos"/>
                <w:sz w:val="15"/>
              </w:rPr>
              <w:t>Canonical tail excluded from experiment</w:t>
            </w:r>
          </w:p>
        </w:tc>
      </w:tr>
      <w:tr>
        <w:tc>
          <w:tcPr>
            <w:tcW w:type="dxa" w:w="5400"/>
            <w:vAlign w:val="center"/>
            <w:tcMar>
              <w:top w:w="90" w:type="dxa"/>
              <w:start w:w="110" w:type="dxa"/>
              <w:bottom w:w="90" w:type="dxa"/>
              <w:end w:w="110" w:type="dxa"/>
            </w:tcMar>
          </w:tcPr>
          <w:p>
            <w:pPr>
              <w:spacing w:before="0" w:after="20"/>
            </w:pPr>
            <w:r>
              <w:rPr>
                <w:rFonts w:ascii="Aptos" w:hAnsi="Aptos"/>
                <w:sz w:val="15"/>
              </w:rPr>
              <w:t>data/experimental/phase_2/audits/t60_evaluation_interaction_flags.parquet</w:t>
            </w:r>
          </w:p>
        </w:tc>
        <w:tc>
          <w:tcPr>
            <w:tcW w:type="dxa" w:w="2952"/>
            <w:vAlign w:val="center"/>
            <w:tcMar>
              <w:top w:w="90" w:type="dxa"/>
              <w:start w:w="110" w:type="dxa"/>
              <w:bottom w:w="90" w:type="dxa"/>
              <w:end w:w="110" w:type="dxa"/>
            </w:tcMar>
          </w:tcPr>
          <w:p>
            <w:pPr>
              <w:spacing w:before="0" w:after="20"/>
            </w:pPr>
            <w:r>
              <w:rPr>
                <w:rFonts w:ascii="Aptos" w:hAnsi="Aptos"/>
                <w:sz w:val="15"/>
              </w:rPr>
              <w:t>T60 cold-start and pair-history flags</w:t>
            </w:r>
          </w:p>
        </w:tc>
      </w:tr>
      <w:tr>
        <w:tc>
          <w:tcPr>
            <w:tcW w:type="dxa" w:w="5400"/>
            <w:vAlign w:val="center"/>
            <w:tcMar>
              <w:top w:w="90" w:type="dxa"/>
              <w:start w:w="110" w:type="dxa"/>
              <w:bottom w:w="90" w:type="dxa"/>
              <w:end w:w="110" w:type="dxa"/>
            </w:tcMar>
          </w:tcPr>
          <w:p>
            <w:pPr>
              <w:spacing w:before="0" w:after="20"/>
            </w:pPr>
            <w:r>
              <w:rPr>
                <w:rFonts w:ascii="Aptos" w:hAnsi="Aptos"/>
                <w:sz w:val="15"/>
              </w:rPr>
              <w:t>data/experimental/phase_2/model_ready/t60_validation_test_split.parquet</w:t>
            </w:r>
          </w:p>
        </w:tc>
        <w:tc>
          <w:tcPr>
            <w:tcW w:type="dxa" w:w="2952"/>
            <w:vAlign w:val="center"/>
            <w:tcMar>
              <w:top w:w="90" w:type="dxa"/>
              <w:start w:w="110" w:type="dxa"/>
              <w:bottom w:w="90" w:type="dxa"/>
              <w:end w:w="110" w:type="dxa"/>
            </w:tcMar>
          </w:tcPr>
          <w:p>
            <w:pPr>
              <w:spacing w:before="0" w:after="20"/>
            </w:pPr>
            <w:r>
              <w:rPr>
                <w:rFonts w:ascii="Aptos" w:hAnsi="Aptos"/>
                <w:sz w:val="15"/>
              </w:rPr>
              <w:t>Audited T60 split</w:t>
            </w:r>
          </w:p>
        </w:tc>
      </w:tr>
      <w:tr>
        <w:tc>
          <w:tcPr>
            <w:tcW w:type="dxa" w:w="5400"/>
            <w:vAlign w:val="center"/>
            <w:tcMar>
              <w:top w:w="90" w:type="dxa"/>
              <w:start w:w="110" w:type="dxa"/>
              <w:bottom w:w="90" w:type="dxa"/>
              <w:end w:w="110" w:type="dxa"/>
            </w:tcMar>
          </w:tcPr>
          <w:p>
            <w:pPr>
              <w:spacing w:before="0" w:after="20"/>
            </w:pPr>
            <w:r>
              <w:rPr>
                <w:rFonts w:ascii="Aptos" w:hAnsi="Aptos"/>
                <w:sz w:val="15"/>
              </w:rPr>
              <w:t>data/experimental/phase_2/model_ready/t60_split_assignments.csv</w:t>
            </w:r>
          </w:p>
        </w:tc>
        <w:tc>
          <w:tcPr>
            <w:tcW w:type="dxa" w:w="2952"/>
            <w:vAlign w:val="center"/>
            <w:tcMar>
              <w:top w:w="90" w:type="dxa"/>
              <w:start w:w="110" w:type="dxa"/>
              <w:bottom w:w="90" w:type="dxa"/>
              <w:end w:w="110" w:type="dxa"/>
            </w:tcMar>
          </w:tcPr>
          <w:p>
            <w:pPr>
              <w:spacing w:before="0" w:after="20"/>
            </w:pPr>
            <w:r>
              <w:rPr>
                <w:rFonts w:ascii="Aptos" w:hAnsi="Aptos"/>
                <w:sz w:val="15"/>
              </w:rPr>
              <w:t>Deterministic interaction-to-split assignments</w:t>
            </w:r>
          </w:p>
        </w:tc>
      </w:tr>
      <w:tr>
        <w:tc>
          <w:tcPr>
            <w:tcW w:type="dxa" w:w="5400"/>
            <w:vAlign w:val="center"/>
            <w:tcMar>
              <w:top w:w="90" w:type="dxa"/>
              <w:start w:w="110" w:type="dxa"/>
              <w:bottom w:w="90" w:type="dxa"/>
              <w:end w:w="110" w:type="dxa"/>
            </w:tcMar>
          </w:tcPr>
          <w:p>
            <w:pPr>
              <w:spacing w:before="0" w:after="20"/>
            </w:pPr>
            <w:r>
              <w:rPr>
                <w:rFonts w:ascii="Aptos" w:hAnsi="Aptos"/>
                <w:sz w:val="15"/>
              </w:rPr>
              <w:t>data/experimental/phase_2/model_ready/interactions_itrs_temporal_split.parquet</w:t>
            </w:r>
          </w:p>
        </w:tc>
        <w:tc>
          <w:tcPr>
            <w:tcW w:type="dxa" w:w="2952"/>
            <w:vAlign w:val="center"/>
            <w:tcMar>
              <w:top w:w="90" w:type="dxa"/>
              <w:start w:w="110" w:type="dxa"/>
              <w:bottom w:w="90" w:type="dxa"/>
              <w:end w:w="110" w:type="dxa"/>
            </w:tcMar>
          </w:tcPr>
          <w:p>
            <w:pPr>
              <w:spacing w:before="0" w:after="20"/>
            </w:pPr>
            <w:r>
              <w:rPr>
                <w:rFonts w:ascii="Aptos" w:hAnsi="Aptos"/>
                <w:sz w:val="15"/>
              </w:rPr>
              <w:t>Final model-ready Phase-2 interaction table</w:t>
            </w:r>
          </w:p>
        </w:tc>
      </w:tr>
      <w:tr>
        <w:tc>
          <w:tcPr>
            <w:tcW w:type="dxa" w:w="5400"/>
            <w:vAlign w:val="center"/>
            <w:tcMar>
              <w:top w:w="90" w:type="dxa"/>
              <w:start w:w="110" w:type="dxa"/>
              <w:bottom w:w="90" w:type="dxa"/>
              <w:end w:w="110" w:type="dxa"/>
            </w:tcMar>
          </w:tcPr>
          <w:p>
            <w:pPr>
              <w:spacing w:before="0" w:after="20"/>
            </w:pPr>
            <w:r>
              <w:rPr>
                <w:rFonts w:ascii="Aptos" w:hAnsi="Aptos"/>
                <w:sz w:val="15"/>
              </w:rPr>
              <w:t>data/experimental/phase_2/model_ready/t60_holdout_pair_manifest.parquet</w:t>
            </w:r>
          </w:p>
        </w:tc>
        <w:tc>
          <w:tcPr>
            <w:tcW w:type="dxa" w:w="2952"/>
            <w:vAlign w:val="center"/>
            <w:tcMar>
              <w:top w:w="90" w:type="dxa"/>
              <w:start w:w="110" w:type="dxa"/>
              <w:bottom w:w="90" w:type="dxa"/>
              <w:end w:w="110" w:type="dxa"/>
            </w:tcMar>
          </w:tcPr>
          <w:p>
            <w:pPr>
              <w:spacing w:before="0" w:after="20"/>
            </w:pPr>
            <w:r>
              <w:rPr>
                <w:rFonts w:ascii="Aptos" w:hAnsi="Aptos"/>
                <w:sz w:val="15"/>
              </w:rPr>
              <w:t>Holdout pairs for Phase-3 leakage prevention</w:t>
            </w:r>
          </w:p>
        </w:tc>
      </w:tr>
      <w:tr>
        <w:tc>
          <w:tcPr>
            <w:tcW w:type="dxa" w:w="5400"/>
            <w:vAlign w:val="center"/>
            <w:tcMar>
              <w:top w:w="90" w:type="dxa"/>
              <w:start w:w="110" w:type="dxa"/>
              <w:bottom w:w="90" w:type="dxa"/>
              <w:end w:w="110" w:type="dxa"/>
            </w:tcMar>
          </w:tcPr>
          <w:p>
            <w:pPr>
              <w:spacing w:before="0" w:after="20"/>
            </w:pPr>
            <w:r>
              <w:rPr>
                <w:rFonts w:ascii="Aptos" w:hAnsi="Aptos"/>
                <w:sz w:val="15"/>
              </w:rPr>
              <w:t>data/experimental/phase_2/audits/phase_2_final_temporal_integrity_checks.csv</w:t>
            </w:r>
          </w:p>
        </w:tc>
        <w:tc>
          <w:tcPr>
            <w:tcW w:type="dxa" w:w="2952"/>
            <w:vAlign w:val="center"/>
            <w:tcMar>
              <w:top w:w="90" w:type="dxa"/>
              <w:start w:w="110" w:type="dxa"/>
              <w:bottom w:w="90" w:type="dxa"/>
              <w:end w:w="110" w:type="dxa"/>
            </w:tcMar>
          </w:tcPr>
          <w:p>
            <w:pPr>
              <w:spacing w:before="0" w:after="20"/>
            </w:pPr>
            <w:r>
              <w:rPr>
                <w:rFonts w:ascii="Aptos" w:hAnsi="Aptos"/>
                <w:sz w:val="15"/>
              </w:rPr>
              <w:t>Final PASS/FAIL integrity record</w:t>
            </w:r>
          </w:p>
        </w:tc>
      </w:tr>
    </w:tbl>
    <w:p>
      <w:pPr>
        <w:spacing w:after="0"/>
      </w:pPr>
    </w:p>
    <w:p>
      <w:pPr>
        <w:pStyle w:val="Heading1"/>
        <w:keepNext/>
      </w:pPr>
      <w:r>
        <w:t>17. Repository Versioning Guidance</w:t>
      </w:r>
    </w:p>
    <w:tbl>
      <w:tblPr>
        <w:tblStyle w:val="TableGrid"/>
        <w:tblW w:type="auto" w:w="0"/>
        <w:jc w:val="center"/>
        <w:tblLook w:firstColumn="1" w:firstRow="1" w:lastColumn="0" w:lastRow="0" w:noHBand="0" w:noVBand="1" w:val="04A0"/>
      </w:tblPr>
      <w:tblGrid>
        <w:gridCol w:w="10166"/>
      </w:tblGrid>
      <w:tr>
        <w:tc>
          <w:tcPr>
            <w:tcW w:type="dxa" w:w="10166"/>
            <w:shd w:fill="F0F0F0"/>
            <w:tcMar>
              <w:top w:w="140" w:type="dxa"/>
              <w:start w:w="180" w:type="dxa"/>
              <w:bottom w:w="140" w:type="dxa"/>
              <w:end w:w="180" w:type="dxa"/>
            </w:tcMar>
          </w:tcPr>
          <w:p>
            <w:pPr>
              <w:spacing w:before="0" w:after="0"/>
            </w:pPr>
            <w:r>
              <w:rPr>
                <w:rFonts w:ascii="Aptos" w:hAnsi="Aptos"/>
                <w:b/>
                <w:sz w:val="20"/>
              </w:rPr>
              <w:t>Recommended to version:</w:t>
            </w:r>
            <w:r>
              <w:rPr>
                <w:rFonts w:ascii="Aptos" w:hAnsi="Aptos"/>
                <w:sz w:val="20"/>
              </w:rPr>
              <w:t xml:space="preserve"> scripts/, configs/, docs/, README.md, small audit summaries, data dictionaries, and docs/reproduction_log.md. Keep large raw Crunchbase exports, large Parquet products, model checkpoints, and bulky diagnostics outside normal Git tracking unless the repository deliberately uses an external data/versioning solution.</w:t>
            </w:r>
          </w:p>
        </w:tc>
      </w:tr>
    </w:tbl>
    <w:p>
      <w:pPr>
        <w:spacing w:after="0"/>
      </w:pPr>
    </w:p>
    <w:p>
      <w:pPr>
        <w:spacing w:after="80" w:line="252" w:lineRule="auto"/>
      </w:pPr>
      <w:r>
        <w:rPr>
          <w:i w:val="0"/>
        </w:rPr>
        <w:t>A paste-ready Phase-2 closure entry for docs/reproduction_log.md is provided separately with this report. If README.md contains a project-status section, it should also be updated to mark Phase 2 complete and Phase 3 as the next active phase.</w:t>
      </w:r>
    </w:p>
    <w:p>
      <w:pPr>
        <w:pStyle w:val="Heading1"/>
        <w:keepNext/>
      </w:pPr>
      <w:r>
        <w:t>18. Handoff to Phase 3</w:t>
      </w:r>
    </w:p>
    <w:p>
      <w:pPr>
        <w:spacing w:after="80" w:line="252" w:lineRule="auto"/>
      </w:pPr>
      <w:r>
        <w:rPr>
          <w:i w:val="0"/>
        </w:rPr>
        <w:t>Phase 2 freezes the temporal split. Phase 3 must not move the endpoint, recompute arbitrary temporal windows, or allow T60 investment information to leak into graph features used for training. The first task should be an exact ITRS graph-schema reconstruction followed by a field-by-field audit of which Tianyancha relationship semantics can be supported by the available Crunchbase exports.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880"/>
            <w:vAlign w:val="center"/>
            <w:tcMar>
              <w:top w:w="90" w:type="dxa"/>
              <w:start w:w="110" w:type="dxa"/>
              <w:bottom w:w="90" w:type="dxa"/>
              <w:end w:w="110" w:type="dxa"/>
            </w:tcMar>
            <w:shd w:fill="D9E2F3"/>
          </w:tcPr>
          <w:p>
            <w:pPr>
              <w:spacing w:before="0" w:after="20"/>
            </w:pPr>
            <w:r>
              <w:rPr>
                <w:rFonts w:ascii="Aptos" w:hAnsi="Aptos"/>
                <w:b/>
                <w:color w:val="1F1F1F"/>
                <w:sz w:val="17"/>
              </w:rPr>
              <w:t>Phase-3 constraint</w:t>
            </w:r>
          </w:p>
        </w:tc>
        <w:tc>
          <w:tcPr>
            <w:tcW w:type="dxa" w:w="5328"/>
            <w:vAlign w:val="center"/>
            <w:tcMar>
              <w:top w:w="90" w:type="dxa"/>
              <w:start w:w="110" w:type="dxa"/>
              <w:bottom w:w="90" w:type="dxa"/>
              <w:end w:w="110" w:type="dxa"/>
            </w:tcMar>
            <w:shd w:fill="D9E2F3"/>
          </w:tcPr>
          <w:p>
            <w:pPr>
              <w:spacing w:before="0" w:after="20"/>
            </w:pPr>
            <w:r>
              <w:rPr>
                <w:rFonts w:ascii="Aptos" w:hAnsi="Aptos"/>
                <w:b/>
                <w:color w:val="1F1F1F"/>
                <w:sz w:val="17"/>
              </w:rPr>
              <w:t>Required policy</w:t>
            </w:r>
          </w:p>
        </w:tc>
      </w:tr>
      <w:tr>
        <w:tc>
          <w:tcPr>
            <w:tcW w:type="dxa" w:w="2880"/>
            <w:vAlign w:val="center"/>
            <w:tcMar>
              <w:top w:w="90" w:type="dxa"/>
              <w:start w:w="110" w:type="dxa"/>
              <w:bottom w:w="90" w:type="dxa"/>
              <w:end w:w="110" w:type="dxa"/>
            </w:tcMar>
          </w:tcPr>
          <w:p>
            <w:pPr>
              <w:spacing w:before="0" w:after="20"/>
            </w:pPr>
            <w:r>
              <w:rPr>
                <w:rFonts w:ascii="Aptos" w:hAnsi="Aptos"/>
                <w:sz w:val="17"/>
              </w:rPr>
              <w:t>Temporal split</w:t>
            </w:r>
          </w:p>
        </w:tc>
        <w:tc>
          <w:tcPr>
            <w:tcW w:type="dxa" w:w="5328"/>
            <w:vAlign w:val="center"/>
            <w:tcMar>
              <w:top w:w="90" w:type="dxa"/>
              <w:start w:w="110" w:type="dxa"/>
              <w:bottom w:w="90" w:type="dxa"/>
              <w:end w:w="110" w:type="dxa"/>
            </w:tcMar>
          </w:tcPr>
          <w:p>
            <w:pPr>
              <w:spacing w:before="0" w:after="20"/>
            </w:pPr>
            <w:r>
              <w:rPr>
                <w:rFonts w:ascii="Aptos" w:hAnsi="Aptos"/>
                <w:sz w:val="17"/>
              </w:rPr>
              <w:t>Treat Phase-2 train/validation/test assignments as frozen</w:t>
            </w:r>
          </w:p>
        </w:tc>
      </w:tr>
      <w:tr>
        <w:tc>
          <w:tcPr>
            <w:tcW w:type="dxa" w:w="2880"/>
            <w:vAlign w:val="center"/>
            <w:tcMar>
              <w:top w:w="90" w:type="dxa"/>
              <w:start w:w="110" w:type="dxa"/>
              <w:bottom w:w="90" w:type="dxa"/>
              <w:end w:w="110" w:type="dxa"/>
            </w:tcMar>
          </w:tcPr>
          <w:p>
            <w:pPr>
              <w:spacing w:before="0" w:after="20"/>
            </w:pPr>
            <w:r>
              <w:rPr>
                <w:rFonts w:ascii="Aptos" w:hAnsi="Aptos"/>
                <w:sz w:val="17"/>
              </w:rPr>
              <w:t>Held-out investment relations</w:t>
            </w:r>
          </w:p>
        </w:tc>
        <w:tc>
          <w:tcPr>
            <w:tcW w:type="dxa" w:w="5328"/>
            <w:vAlign w:val="center"/>
            <w:tcMar>
              <w:top w:w="90" w:type="dxa"/>
              <w:start w:w="110" w:type="dxa"/>
              <w:bottom w:w="90" w:type="dxa"/>
              <w:end w:w="110" w:type="dxa"/>
            </w:tcMar>
          </w:tcPr>
          <w:p>
            <w:pPr>
              <w:spacing w:before="0" w:after="20"/>
            </w:pPr>
            <w:r>
              <w:rPr>
                <w:rFonts w:ascii="Aptos" w:hAnsi="Aptos"/>
                <w:sz w:val="17"/>
              </w:rPr>
              <w:t>Never insert T60 holdout investment edges into training graph</w:t>
            </w:r>
          </w:p>
        </w:tc>
      </w:tr>
      <w:tr>
        <w:tc>
          <w:tcPr>
            <w:tcW w:type="dxa" w:w="2880"/>
            <w:vAlign w:val="center"/>
            <w:tcMar>
              <w:top w:w="90" w:type="dxa"/>
              <w:start w:w="110" w:type="dxa"/>
              <w:bottom w:w="90" w:type="dxa"/>
              <w:end w:w="110" w:type="dxa"/>
            </w:tcMar>
          </w:tcPr>
          <w:p>
            <w:pPr>
              <w:spacing w:before="0" w:after="20"/>
            </w:pPr>
            <w:r>
              <w:rPr>
                <w:rFonts w:ascii="Aptos" w:hAnsi="Aptos"/>
                <w:sz w:val="17"/>
              </w:rPr>
              <w:t>Holdout manifest</w:t>
            </w:r>
          </w:p>
        </w:tc>
        <w:tc>
          <w:tcPr>
            <w:tcW w:type="dxa" w:w="5328"/>
            <w:vAlign w:val="center"/>
            <w:tcMar>
              <w:top w:w="90" w:type="dxa"/>
              <w:start w:w="110" w:type="dxa"/>
              <w:bottom w:w="90" w:type="dxa"/>
              <w:end w:w="110" w:type="dxa"/>
            </w:tcMar>
          </w:tcPr>
          <w:p>
            <w:pPr>
              <w:spacing w:before="0" w:after="20"/>
            </w:pPr>
            <w:r>
              <w:rPr>
                <w:rFonts w:ascii="Aptos" w:hAnsi="Aptos"/>
                <w:sz w:val="17"/>
              </w:rPr>
              <w:t>Use t60_holdout_pair_manifest.parquet during graph construction</w:t>
            </w:r>
          </w:p>
        </w:tc>
      </w:tr>
      <w:tr>
        <w:tc>
          <w:tcPr>
            <w:tcW w:type="dxa" w:w="2880"/>
            <w:vAlign w:val="center"/>
            <w:tcMar>
              <w:top w:w="90" w:type="dxa"/>
              <w:start w:w="110" w:type="dxa"/>
              <w:bottom w:w="90" w:type="dxa"/>
              <w:end w:w="110" w:type="dxa"/>
            </w:tcMar>
          </w:tcPr>
          <w:p>
            <w:pPr>
              <w:spacing w:before="0" w:after="20"/>
            </w:pPr>
            <w:r>
              <w:rPr>
                <w:rFonts w:ascii="Aptos" w:hAnsi="Aptos"/>
                <w:sz w:val="17"/>
              </w:rPr>
              <w:t>Cold start</w:t>
            </w:r>
          </w:p>
        </w:tc>
        <w:tc>
          <w:tcPr>
            <w:tcW w:type="dxa" w:w="5328"/>
            <w:vAlign w:val="center"/>
            <w:tcMar>
              <w:top w:w="90" w:type="dxa"/>
              <w:start w:w="110" w:type="dxa"/>
              <w:bottom w:w="90" w:type="dxa"/>
              <w:end w:w="110" w:type="dxa"/>
            </w:tcMar>
          </w:tcPr>
          <w:p>
            <w:pPr>
              <w:spacing w:before="0" w:after="20"/>
            </w:pPr>
            <w:r>
              <w:rPr>
                <w:rFonts w:ascii="Aptos" w:hAnsi="Aptos"/>
                <w:sz w:val="17"/>
              </w:rPr>
              <w:t>Distinguish interaction-cold from graph/entity-cold</w:t>
            </w:r>
          </w:p>
        </w:tc>
      </w:tr>
      <w:tr>
        <w:tc>
          <w:tcPr>
            <w:tcW w:type="dxa" w:w="2880"/>
            <w:vAlign w:val="center"/>
            <w:tcMar>
              <w:top w:w="90" w:type="dxa"/>
              <w:start w:w="110" w:type="dxa"/>
              <w:bottom w:w="90" w:type="dxa"/>
              <w:end w:w="110" w:type="dxa"/>
            </w:tcMar>
          </w:tcPr>
          <w:p>
            <w:pPr>
              <w:spacing w:before="0" w:after="20"/>
            </w:pPr>
            <w:r>
              <w:rPr>
                <w:rFonts w:ascii="Aptos" w:hAnsi="Aptos"/>
                <w:sz w:val="17"/>
              </w:rPr>
              <w:t>Graph schema</w:t>
            </w:r>
          </w:p>
        </w:tc>
        <w:tc>
          <w:tcPr>
            <w:tcW w:type="dxa" w:w="5328"/>
            <w:vAlign w:val="center"/>
            <w:tcMar>
              <w:top w:w="90" w:type="dxa"/>
              <w:start w:w="110" w:type="dxa"/>
              <w:bottom w:w="90" w:type="dxa"/>
              <w:end w:w="110" w:type="dxa"/>
            </w:tcMar>
          </w:tcPr>
          <w:p>
            <w:pPr>
              <w:spacing w:before="0" w:after="20"/>
            </w:pPr>
            <w:r>
              <w:rPr>
                <w:rFonts w:ascii="Aptos" w:hAnsi="Aptos"/>
                <w:sz w:val="17"/>
              </w:rPr>
              <w:t>Paper specification first, Crunchbase evidence second, implementation third</w:t>
            </w:r>
          </w:p>
        </w:tc>
      </w:tr>
      <w:tr>
        <w:tc>
          <w:tcPr>
            <w:tcW w:type="dxa" w:w="2880"/>
            <w:vAlign w:val="center"/>
            <w:tcMar>
              <w:top w:w="90" w:type="dxa"/>
              <w:start w:w="110" w:type="dxa"/>
              <w:bottom w:w="90" w:type="dxa"/>
              <w:end w:w="110" w:type="dxa"/>
            </w:tcMar>
          </w:tcPr>
          <w:p>
            <w:pPr>
              <w:spacing w:before="0" w:after="20"/>
            </w:pPr>
            <w:r>
              <w:rPr>
                <w:rFonts w:ascii="Aptos" w:hAnsi="Aptos"/>
                <w:sz w:val="17"/>
              </w:rPr>
              <w:t>Missing relationships</w:t>
            </w:r>
          </w:p>
        </w:tc>
        <w:tc>
          <w:tcPr>
            <w:tcW w:type="dxa" w:w="5328"/>
            <w:vAlign w:val="center"/>
            <w:tcMar>
              <w:top w:w="90" w:type="dxa"/>
              <w:start w:w="110" w:type="dxa"/>
              <w:bottom w:w="90" w:type="dxa"/>
              <w:end w:w="110" w:type="dxa"/>
            </w:tcMar>
          </w:tcPr>
          <w:p>
            <w:pPr>
              <w:spacing w:before="0" w:after="20"/>
            </w:pPr>
            <w:r>
              <w:rPr>
                <w:rFonts w:ascii="Aptos" w:hAnsi="Aptos"/>
                <w:sz w:val="17"/>
              </w:rPr>
              <w:t>Do not invent Tianyancha-equivalent edges that Crunchbase cannot support</w:t>
            </w:r>
          </w:p>
        </w:tc>
      </w:tr>
      <w:tr>
        <w:tc>
          <w:tcPr>
            <w:tcW w:type="dxa" w:w="2880"/>
            <w:vAlign w:val="center"/>
            <w:tcMar>
              <w:top w:w="90" w:type="dxa"/>
              <w:start w:w="110" w:type="dxa"/>
              <w:bottom w:w="90" w:type="dxa"/>
              <w:end w:w="110" w:type="dxa"/>
            </w:tcMar>
          </w:tcPr>
          <w:p>
            <w:pPr>
              <w:spacing w:before="0" w:after="20"/>
            </w:pPr>
            <w:r>
              <w:rPr>
                <w:rFonts w:ascii="Aptos" w:hAnsi="Aptos"/>
                <w:sz w:val="17"/>
              </w:rPr>
              <w:t>Negative sampling</w:t>
            </w:r>
          </w:p>
        </w:tc>
        <w:tc>
          <w:tcPr>
            <w:tcW w:type="dxa" w:w="5328"/>
            <w:vAlign w:val="center"/>
            <w:tcMar>
              <w:top w:w="90" w:type="dxa"/>
              <w:start w:w="110" w:type="dxa"/>
              <w:bottom w:w="90" w:type="dxa"/>
              <w:end w:w="110" w:type="dxa"/>
            </w:tcMar>
          </w:tcPr>
          <w:p>
            <w:pPr>
              <w:spacing w:before="0" w:after="20"/>
            </w:pPr>
            <w:r>
              <w:rPr>
                <w:rFonts w:ascii="Aptos" w:hAnsi="Aptos"/>
                <w:sz w:val="17"/>
              </w:rPr>
              <w:t>Defer until graph/task candidate universe is defined and audited</w:t>
            </w:r>
          </w:p>
        </w:tc>
      </w:tr>
    </w:tbl>
    <w:p>
      <w:pPr>
        <w:spacing w:after="0"/>
      </w:pPr>
    </w:p>
    <w:tbl>
      <w:tblPr>
        <w:tblStyle w:val="TableGrid"/>
        <w:tblW w:type="auto" w:w="0"/>
        <w:jc w:val="center"/>
        <w:tblLook w:firstColumn="1" w:firstRow="1" w:lastColumn="0" w:lastRow="0" w:noHBand="0" w:noVBand="1" w:val="04A0"/>
      </w:tblPr>
      <w:tblGrid>
        <w:gridCol w:w="10166"/>
      </w:tblGrid>
      <w:tr>
        <w:tc>
          <w:tcPr>
            <w:tcW w:type="dxa" w:w="10166"/>
            <w:shd w:fill="E2F0D9"/>
            <w:tcMar>
              <w:top w:w="140" w:type="dxa"/>
              <w:start w:w="180" w:type="dxa"/>
              <w:bottom w:w="140" w:type="dxa"/>
              <w:end w:w="180" w:type="dxa"/>
            </w:tcMar>
          </w:tcPr>
          <w:p>
            <w:pPr>
              <w:spacing w:before="0" w:after="0"/>
            </w:pPr>
            <w:r>
              <w:rPr>
                <w:rFonts w:ascii="Aptos" w:hAnsi="Aptos"/>
                <w:b/>
                <w:sz w:val="20"/>
              </w:rPr>
              <w:t>PHASE 2 STATUS:</w:t>
            </w:r>
            <w:r>
              <w:rPr>
                <w:rFonts w:ascii="Aptos" w:hAnsi="Aptos"/>
                <w:sz w:val="20"/>
              </w:rPr>
              <w:t xml:space="preserve"> COMPLETE. All final integrity checks passed. The selected temporal experiment is ready for Phase 3 — Heterogeneous Graph Reconstruction.</w:t>
            </w:r>
          </w:p>
        </w:tc>
      </w:tr>
    </w:tbl>
    <w:p>
      <w:pPr>
        <w:spacing w:after="0"/>
      </w:pPr>
    </w:p>
    <w:p>
      <w:pPr>
        <w:pStyle w:val="Heading1"/>
        <w:keepNext/>
      </w:pPr>
      <w:r>
        <w:t>References</w:t>
      </w:r>
    </w:p>
    <w:p>
      <w:pPr>
        <w:spacing w:after="80" w:line="252" w:lineRule="auto"/>
      </w:pPr>
      <w:r>
        <w:rPr>
          <w:i w:val="0"/>
        </w:rPr>
        <w:t>Chen, M., Wang, C., Qin, C., Xu, T., Ma, J., Chen, E., &amp; Xiong, H. (2021). A Trend-aware Investment Target Recommendation System with Heterogeneous Graph. 2021 International Joint Conference on Neural Networks (IJCNN). DOI: 10.1109/IJCNN52387.2021.9533535.</w:t>
      </w:r>
    </w:p>
    <w:p>
      <w:pPr>
        <w:spacing w:after="80" w:line="252" w:lineRule="auto"/>
      </w:pPr>
      <w:r>
        <w:rPr>
          <w:i w:val="0"/>
        </w:rPr>
        <w:t>Internal evidence: Phase-2 audit CSV/Parquet outputs and terminal integrity reports generated from data/processed/interactions.parquet. The report preserves the project distinction between source-derived evidence, reproduction decisions, and unresolved methodological ambiguities.</w:t>
      </w:r>
    </w:p>
    <w:p>
      <w:pPr>
        <w:pStyle w:val="Heading1"/>
        <w:keepNext/>
      </w:pPr>
      <w:r>
        <w:t>Appendix A. Repository Closeout Checklist</w:t>
      </w:r>
    </w:p>
    <w:p>
      <w:pPr>
        <w:spacing w:after="80" w:line="252" w:lineRule="auto"/>
      </w:pPr>
      <w:r>
        <w:t>This appendix summarizes the repository actions that should accompany the Phase-2 closure. The full paste-ready Markdown entry is delivered separately as Phase_2_Repo_Updates.md.</w:t>
      </w:r>
    </w:p>
    <w:tbl>
      <w:tblPr>
        <w:tblStyle w:val="TableGrid"/>
        <w:tblW w:type="auto" w:w="0"/>
        <w:jc w:val="center"/>
        <w:tblLook w:firstColumn="1" w:firstRow="1" w:lastColumn="0" w:lastRow="0" w:noHBand="0" w:noVBand="1" w:val="04A0"/>
      </w:tblPr>
      <w:tblGrid>
        <w:gridCol w:w="5083"/>
        <w:gridCol w:w="5083"/>
      </w:tblGrid>
      <w:tr>
        <w:tc>
          <w:tcPr>
            <w:tcW w:type="dxa" w:w="5083"/>
            <w:shd w:fill="D9E2F3"/>
            <w:vAlign w:val="center"/>
            <w:tcMar>
              <w:top w:w="90" w:type="dxa"/>
              <w:start w:w="110" w:type="dxa"/>
              <w:bottom w:w="90" w:type="dxa"/>
              <w:end w:w="110" w:type="dxa"/>
            </w:tcMar>
          </w:tcPr>
          <w:p>
            <w:pPr>
              <w:spacing w:after="20"/>
            </w:pPr>
            <w:r>
              <w:rPr>
                <w:rFonts w:ascii="Aptos" w:hAnsi="Aptos"/>
                <w:b/>
                <w:sz w:val="17"/>
              </w:rPr>
              <w:t>Repository action</w:t>
            </w:r>
          </w:p>
        </w:tc>
        <w:tc>
          <w:tcPr>
            <w:tcW w:type="dxa" w:w="5083"/>
            <w:shd w:fill="D9E2F3"/>
            <w:vAlign w:val="center"/>
            <w:tcMar>
              <w:top w:w="90" w:type="dxa"/>
              <w:start w:w="110" w:type="dxa"/>
              <w:bottom w:w="90" w:type="dxa"/>
              <w:end w:w="110" w:type="dxa"/>
            </w:tcMar>
          </w:tcPr>
          <w:p>
            <w:pPr>
              <w:spacing w:after="20"/>
            </w:pPr>
            <w:r>
              <w:rPr>
                <w:rFonts w:ascii="Aptos" w:hAnsi="Aptos"/>
                <w:b/>
                <w:sz w:val="17"/>
              </w:rPr>
              <w:t>Phase-2 closeout requirement</w:t>
            </w:r>
          </w:p>
        </w:tc>
      </w:tr>
      <w:tr>
        <w:tc>
          <w:tcPr>
            <w:tcW w:type="dxa" w:w="5083"/>
            <w:vAlign w:val="center"/>
            <w:tcMar>
              <w:top w:w="90" w:type="dxa"/>
              <w:start w:w="110" w:type="dxa"/>
              <w:bottom w:w="90" w:type="dxa"/>
              <w:end w:w="110" w:type="dxa"/>
            </w:tcMar>
          </w:tcPr>
          <w:p>
            <w:pPr>
              <w:spacing w:after="20"/>
            </w:pPr>
            <w:r>
              <w:rPr>
                <w:rFonts w:ascii="Aptos" w:hAnsi="Aptos"/>
                <w:sz w:val="17"/>
              </w:rPr>
              <w:t>Required log update</w:t>
            </w:r>
          </w:p>
        </w:tc>
        <w:tc>
          <w:tcPr>
            <w:tcW w:type="dxa" w:w="5083"/>
            <w:vAlign w:val="center"/>
            <w:tcMar>
              <w:top w:w="90" w:type="dxa"/>
              <w:start w:w="110" w:type="dxa"/>
              <w:bottom w:w="90" w:type="dxa"/>
              <w:end w:w="110" w:type="dxa"/>
            </w:tcMar>
          </w:tcPr>
          <w:p>
            <w:pPr>
              <w:spacing w:after="20"/>
            </w:pPr>
            <w:r>
              <w:rPr>
                <w:rFonts w:ascii="Aptos" w:hAnsi="Aptos"/>
                <w:sz w:val="17"/>
              </w:rPr>
              <w:t>Append the Phase-2 closure entry to docs/reproduction_log.md.</w:t>
            </w:r>
          </w:p>
        </w:tc>
      </w:tr>
      <w:tr>
        <w:tc>
          <w:tcPr>
            <w:tcW w:type="dxa" w:w="5083"/>
            <w:vAlign w:val="center"/>
            <w:tcMar>
              <w:top w:w="90" w:type="dxa"/>
              <w:start w:w="110" w:type="dxa"/>
              <w:bottom w:w="90" w:type="dxa"/>
              <w:end w:w="110" w:type="dxa"/>
            </w:tcMar>
          </w:tcPr>
          <w:p>
            <w:pPr>
              <w:spacing w:after="20"/>
            </w:pPr>
            <w:r>
              <w:rPr>
                <w:rFonts w:ascii="Aptos" w:hAnsi="Aptos"/>
                <w:sz w:val="17"/>
              </w:rPr>
              <w:t>Project status</w:t>
            </w:r>
          </w:p>
        </w:tc>
        <w:tc>
          <w:tcPr>
            <w:tcW w:type="dxa" w:w="5083"/>
            <w:vAlign w:val="center"/>
            <w:tcMar>
              <w:top w:w="90" w:type="dxa"/>
              <w:start w:w="110" w:type="dxa"/>
              <w:bottom w:w="90" w:type="dxa"/>
              <w:end w:w="110" w:type="dxa"/>
            </w:tcMar>
          </w:tcPr>
          <w:p>
            <w:pPr>
              <w:spacing w:after="20"/>
            </w:pPr>
            <w:r>
              <w:rPr>
                <w:rFonts w:ascii="Aptos" w:hAnsi="Aptos"/>
                <w:sz w:val="17"/>
              </w:rPr>
              <w:t>If README.md contains a progress/status section, mark Phase 2 complete and Phase 3 as active.</w:t>
            </w:r>
          </w:p>
        </w:tc>
      </w:tr>
      <w:tr>
        <w:tc>
          <w:tcPr>
            <w:tcW w:type="dxa" w:w="5083"/>
            <w:vAlign w:val="center"/>
            <w:tcMar>
              <w:top w:w="90" w:type="dxa"/>
              <w:start w:w="110" w:type="dxa"/>
              <w:bottom w:w="90" w:type="dxa"/>
              <w:end w:w="110" w:type="dxa"/>
            </w:tcMar>
          </w:tcPr>
          <w:p>
            <w:pPr>
              <w:spacing w:after="20"/>
            </w:pPr>
            <w:r>
              <w:rPr>
                <w:rFonts w:ascii="Aptos" w:hAnsi="Aptos"/>
                <w:sz w:val="17"/>
              </w:rPr>
              <w:t>Version control</w:t>
            </w:r>
          </w:p>
        </w:tc>
        <w:tc>
          <w:tcPr>
            <w:tcW w:type="dxa" w:w="5083"/>
            <w:vAlign w:val="center"/>
            <w:tcMar>
              <w:top w:w="90" w:type="dxa"/>
              <w:start w:w="110" w:type="dxa"/>
              <w:bottom w:w="90" w:type="dxa"/>
              <w:end w:w="110" w:type="dxa"/>
            </w:tcMar>
          </w:tcPr>
          <w:p>
            <w:pPr>
              <w:spacing w:after="20"/>
            </w:pPr>
            <w:r>
              <w:rPr>
                <w:rFonts w:ascii="Aptos" w:hAnsi="Aptos"/>
                <w:sz w:val="17"/>
              </w:rPr>
              <w:t>Commit Phase-2 scripts, small audit summaries, documentation, and configuration files.</w:t>
            </w:r>
          </w:p>
        </w:tc>
      </w:tr>
      <w:tr>
        <w:tc>
          <w:tcPr>
            <w:tcW w:type="dxa" w:w="5083"/>
            <w:vAlign w:val="center"/>
            <w:tcMar>
              <w:top w:w="90" w:type="dxa"/>
              <w:start w:w="110" w:type="dxa"/>
              <w:bottom w:w="90" w:type="dxa"/>
              <w:end w:w="110" w:type="dxa"/>
            </w:tcMar>
          </w:tcPr>
          <w:p>
            <w:pPr>
              <w:spacing w:after="20"/>
            </w:pPr>
            <w:r>
              <w:rPr>
                <w:rFonts w:ascii="Aptos" w:hAnsi="Aptos"/>
                <w:sz w:val="17"/>
              </w:rPr>
              <w:t>Large data products</w:t>
            </w:r>
          </w:p>
        </w:tc>
        <w:tc>
          <w:tcPr>
            <w:tcW w:type="dxa" w:w="5083"/>
            <w:vAlign w:val="center"/>
            <w:tcMar>
              <w:top w:w="90" w:type="dxa"/>
              <w:start w:w="110" w:type="dxa"/>
              <w:bottom w:w="90" w:type="dxa"/>
              <w:end w:w="110" w:type="dxa"/>
            </w:tcMar>
          </w:tcPr>
          <w:p>
            <w:pPr>
              <w:spacing w:after="20"/>
            </w:pPr>
            <w:r>
              <w:rPr>
                <w:rFonts w:ascii="Aptos" w:hAnsi="Aptos"/>
                <w:sz w:val="17"/>
              </w:rPr>
              <w:t>Do not normally commit raw Crunchbase exports or large Parquet outputs unless the project uses an external data/versioning system.</w:t>
            </w:r>
          </w:p>
        </w:tc>
      </w:tr>
      <w:tr>
        <w:tc>
          <w:tcPr>
            <w:tcW w:type="dxa" w:w="5083"/>
            <w:vAlign w:val="center"/>
            <w:tcMar>
              <w:top w:w="90" w:type="dxa"/>
              <w:start w:w="110" w:type="dxa"/>
              <w:bottom w:w="90" w:type="dxa"/>
              <w:end w:w="110" w:type="dxa"/>
            </w:tcMar>
          </w:tcPr>
          <w:p>
            <w:pPr>
              <w:spacing w:after="20"/>
            </w:pPr>
            <w:r>
              <w:rPr>
                <w:rFonts w:ascii="Aptos" w:hAnsi="Aptos"/>
                <w:sz w:val="17"/>
              </w:rPr>
              <w:t>Frozen experiment</w:t>
            </w:r>
          </w:p>
        </w:tc>
        <w:tc>
          <w:tcPr>
            <w:tcW w:type="dxa" w:w="5083"/>
            <w:vAlign w:val="center"/>
            <w:tcMar>
              <w:top w:w="90" w:type="dxa"/>
              <w:start w:w="110" w:type="dxa"/>
              <w:bottom w:w="90" w:type="dxa"/>
              <w:end w:w="110" w:type="dxa"/>
            </w:tcMar>
          </w:tcPr>
          <w:p>
            <w:pPr>
              <w:spacing w:after="20"/>
            </w:pPr>
            <w:r>
              <w:rPr>
                <w:rFonts w:ascii="Aptos" w:hAnsi="Aptos"/>
                <w:sz w:val="17"/>
              </w:rPr>
              <w:t>Treat the 2026-03-31 endpoint, T0/T1-T60 boundaries, and seed-42 T60 split as fixed Phase-2 outputs.</w:t>
            </w:r>
          </w:p>
        </w:tc>
      </w:tr>
      <w:tr>
        <w:tc>
          <w:tcPr>
            <w:tcW w:type="dxa" w:w="5083"/>
            <w:vAlign w:val="center"/>
            <w:tcMar>
              <w:top w:w="90" w:type="dxa"/>
              <w:start w:w="110" w:type="dxa"/>
              <w:bottom w:w="90" w:type="dxa"/>
              <w:end w:w="110" w:type="dxa"/>
            </w:tcMar>
          </w:tcPr>
          <w:p>
            <w:pPr>
              <w:spacing w:after="20"/>
            </w:pPr>
            <w:r>
              <w:rPr>
                <w:rFonts w:ascii="Aptos" w:hAnsi="Aptos"/>
                <w:sz w:val="17"/>
              </w:rPr>
              <w:t>Phase-3 leakage guard</w:t>
            </w:r>
          </w:p>
        </w:tc>
        <w:tc>
          <w:tcPr>
            <w:tcW w:type="dxa" w:w="5083"/>
            <w:vAlign w:val="center"/>
            <w:tcMar>
              <w:top w:w="90" w:type="dxa"/>
              <w:start w:w="110" w:type="dxa"/>
              <w:bottom w:w="90" w:type="dxa"/>
              <w:end w:w="110" w:type="dxa"/>
            </w:tcMar>
          </w:tcPr>
          <w:p>
            <w:pPr>
              <w:spacing w:after="20"/>
            </w:pPr>
            <w:r>
              <w:rPr>
                <w:rFonts w:ascii="Aptos" w:hAnsi="Aptos"/>
                <w:sz w:val="17"/>
              </w:rPr>
              <w:t>Keep t60_holdout_pair_manifest.parquet available to block held-out investment edges from the training graph.</w:t>
            </w:r>
          </w:p>
        </w:tc>
      </w:tr>
    </w:tbl>
    <w:p/>
    <w:tbl>
      <w:tblPr>
        <w:tblStyle w:val="TableGrid"/>
        <w:tblW w:type="auto" w:w="0"/>
        <w:jc w:val="center"/>
        <w:tblLook w:firstColumn="1" w:firstRow="1" w:lastColumn="0" w:lastRow="0" w:noHBand="0" w:noVBand="1" w:val="04A0"/>
      </w:tblPr>
      <w:tblGrid>
        <w:gridCol w:w="10166"/>
      </w:tblGrid>
      <w:tr>
        <w:tc>
          <w:tcPr>
            <w:tcW w:type="dxa" w:w="10166"/>
            <w:shd w:fill="F0F0F0"/>
            <w:tcMar>
              <w:top w:w="130" w:type="dxa"/>
              <w:start w:w="170" w:type="dxa"/>
              <w:bottom w:w="130" w:type="dxa"/>
              <w:end w:w="170" w:type="dxa"/>
            </w:tcMar>
          </w:tcPr>
          <w:p>
            <w:r>
              <w:rPr>
                <w:rFonts w:ascii="Aptos" w:hAnsi="Aptos"/>
                <w:sz w:val="20"/>
              </w:rPr>
              <w:t>Suggested commit message: docs: close Phase 2 temporal reconstruction and freeze ITRS temporal split</w:t>
            </w:r>
          </w:p>
        </w:tc>
      </w:tr>
    </w:tbl>
    <w:p>
      <w:pPr>
        <w:spacing w:after="0"/>
      </w:pP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sz w:val="18"/>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ptos" w:hAnsi="Aptos"/>
        <w:color w:val="5A5A5A"/>
        <w:sz w:val="17"/>
      </w:rPr>
      <w:t>ITRS Crunchbase Reproduction | Phase 2 Closure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