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jc w:val="center"/>
      </w:pPr>
      <w:r>
        <w:rPr>
          <w:rFonts w:ascii="Aptos Display" w:hAnsi="Aptos Display"/>
          <w:b/>
          <w:sz w:val="52"/>
        </w:rPr>
        <w:t>PHASE 3 CLOSURE REPORT</w:t>
      </w:r>
    </w:p>
    <w:p>
      <w:pPr>
        <w:spacing w:after="240"/>
        <w:jc w:val="center"/>
      </w:pPr>
      <w:r>
        <w:rPr>
          <w:rFonts w:ascii="Aptos" w:hAnsi="Aptos"/>
          <w:b/>
          <w:sz w:val="36"/>
        </w:rPr>
        <w:t>Heterogeneous Graph Reconstruction and Model-Ready Encoding</w:t>
      </w:r>
    </w:p>
    <w:p>
      <w:pPr>
        <w:jc w:val="center"/>
      </w:pPr>
      <w:r>
        <w:rPr>
          <w:i/>
          <w:color w:val="5A5A5A"/>
          <w:sz w:val="28"/>
        </w:rPr>
        <w:t>ITRS Reproduction using Crunchbase</w:t>
      </w:r>
    </w:p>
    <w:p>
      <w:pPr>
        <w:spacing w:before="320"/>
        <w:jc w:val="center"/>
      </w:pPr>
      <w:r>
        <w:rPr>
          <w:b/>
          <w:sz w:val="21"/>
        </w:rPr>
        <w:t>Final Phase-3 closure manifest:</w:t>
        <w:br/>
      </w:r>
      <w:r>
        <w:rPr>
          <w:b/>
          <w:sz w:val="20"/>
        </w:rPr>
        <w:t>data/experimental/phase_3/model_ready/phase_3_closure_manifest.json</w:t>
      </w:r>
    </w:p>
    <w:p>
      <w:pPr>
        <w:jc w:val="center"/>
      </w:pPr>
      <w:r>
        <w:rPr>
          <w:color w:val="5A5A5A"/>
        </w:rPr>
        <w:t>Report date: 19 August 2026</w:t>
      </w:r>
    </w:p>
    <w:p/>
    <w:p>
      <w:pPr>
        <w:pStyle w:val="Heading1"/>
      </w:pPr>
      <w:r>
        <w:t>Executive Summary</w:t>
      </w:r>
    </w:p>
    <w:p>
      <w:r>
        <w:t>Phase 3 reconstructed the heterogeneous structural graph required for the ITRS reproduction while preserving the immutable Phase-1 investment-event layer and the frozen Phase-2 temporal split. The phase first recovered the graph-construction principles disclosed in the ITRS paper, then audited every available Crunchbase source before accepting any structural relationship. The final graph uses only relationships that can be supported by the available data and never forces the paper's reported 103 relationship types when the required Tianyancha fields are absent.</w:t>
      </w:r>
    </w:p>
    <w:p>
      <w:r>
        <w:t>The final scientific graph contains 477,564 role-namespaced nodes and 158,818 directed structural edge records. The graph has two node types (Investor and Startup), three semantic relations (shared_founder, acquired, acquired_by), and 12 typed source-relation-target channels. Historical investment interactions are deliberately excluded from the structural graph and remain in the Phase-2 temporal interaction layer. The final edge table contains zero T60 held-out structural leakage records and all final integrity checks passed.</w:t>
      </w:r>
    </w:p>
    <w:tbl>
      <w:tblPr>
        <w:tblW w:type="auto" w:w="0"/>
        <w:jc w:val="center"/>
        <w:tblLook w:firstColumn="1" w:firstRow="1" w:lastColumn="0" w:lastRow="0" w:noHBand="0" w:noVBand="1" w:val="04A0"/>
      </w:tblPr>
      <w:tblGrid>
        <w:gridCol w:w="10166"/>
      </w:tblGrid>
      <w:tr>
        <w:tc>
          <w:tcPr>
            <w:tcW w:type="dxa" w:w="10166"/>
            <w:shd w:fill="EAF2F8"/>
            <w:tcBorders>
              <w:top w:val="single" w:sz="6" w:color="666666"/>
              <w:left w:val="single" w:sz="6" w:color="666666"/>
              <w:bottom w:val="single" w:sz="6" w:color="666666"/>
              <w:right w:val="single" w:sz="6" w:color="666666"/>
            </w:tcBorders>
          </w:tcPr>
          <w:p>
            <w:r>
              <w:rPr>
                <w:rFonts w:ascii="Aptos" w:hAnsi="Aptos"/>
                <w:b/>
                <w:sz w:val="21"/>
              </w:rPr>
              <w:t xml:space="preserve">Core methodological principle: </w:t>
            </w:r>
            <w:r>
              <w:rPr>
                <w:rFonts w:ascii="Aptos" w:hAnsi="Aptos"/>
                <w:sz w:val="21"/>
              </w:rPr>
              <w:t>Phase 3 reproduces the ITRS relationship-construction logic rather than fabricating unavailable Tianyancha relations. Crunchbase UUIDs define underlying identity, semantic role defines graph identity, and all structural relations are audited for endpoint validity, directionality, temporal provenance, and T60 leakage before materialization.</w:t>
            </w:r>
          </w:p>
        </w:tc>
      </w:tr>
    </w:tbl>
    <w:p/>
    <w:tbl>
      <w:tblPr>
        <w:tblW w:type="auto" w:w="0"/>
        <w:jc w:val="center"/>
        <w:tblLayout w:type="fixed"/>
        <w:tblLook w:firstColumn="1" w:firstRow="1" w:lastColumn="0" w:lastRow="0" w:noHBand="0" w:noVBand="1" w:val="04A0"/>
      </w:tblPr>
      <w:tblGrid>
        <w:gridCol w:w="5083"/>
        <w:gridCol w:w="5083"/>
      </w:tblGrid>
      <w:tr>
        <w:tc>
          <w:tcPr>
            <w:tcW w:type="dxa" w:w="64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Metric</w:t>
            </w:r>
          </w:p>
        </w:tc>
        <w:tc>
          <w:tcPr>
            <w:tcW w:type="dxa" w:w="345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Final value</w:t>
            </w:r>
          </w:p>
        </w:tc>
      </w:tr>
      <w:tr>
        <w:tc>
          <w:tcPr>
            <w:tcW w:type="dxa" w:w="64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Canonical Phase-1 interactions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1,208,051</w:t>
            </w:r>
          </w:p>
        </w:tc>
      </w:tr>
      <w:tr>
        <w:tc>
          <w:tcPr>
            <w:tcW w:type="dxa" w:w="64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Total role nodes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477,564</w:t>
            </w:r>
          </w:p>
        </w:tc>
      </w:tr>
      <w:tr>
        <w:tc>
          <w:tcPr>
            <w:tcW w:type="dxa" w:w="64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Directed structural edges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158,818</w:t>
            </w:r>
          </w:p>
        </w:tc>
      </w:tr>
      <w:tr>
        <w:tc>
          <w:tcPr>
            <w:tcW w:type="dxa" w:w="64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T60 structural leakage edge records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0</w:t>
            </w:r>
          </w:p>
        </w:tc>
      </w:tr>
    </w:tbl>
    <w:p/>
    <w:p>
      <w:pPr>
        <w:pStyle w:val="Heading1"/>
      </w:pPr>
      <w:r>
        <w:t>Contents</w:t>
      </w:r>
    </w:p>
    <w:p>
      <w:pPr>
        <w:spacing w:after="60"/>
      </w:pPr>
      <w:r>
        <w:t>1. Phase Objective and Scope</w:t>
      </w:r>
    </w:p>
    <w:p>
      <w:pPr>
        <w:spacing w:after="60"/>
      </w:pPr>
      <w:r>
        <w:t>2. Paper-Grounded ITRS Graph Interpretation</w:t>
      </w:r>
    </w:p>
    <w:p>
      <w:pPr>
        <w:spacing w:after="60"/>
      </w:pPr>
      <w:r>
        <w:t>3. Crunchbase Source Universe and Identity Architecture</w:t>
      </w:r>
    </w:p>
    <w:p>
      <w:pPr>
        <w:spacing w:after="60"/>
      </w:pPr>
      <w:r>
        <w:t>4. Structural Relationship Source Audit</w:t>
      </w:r>
    </w:p>
    <w:p>
      <w:pPr>
        <w:spacing w:after="60"/>
      </w:pPr>
      <w:r>
        <w:t>5. SHARED_FOUNDER Construction and Leakage Control</w:t>
      </w:r>
    </w:p>
    <w:p>
      <w:pPr>
        <w:spacing w:after="60"/>
      </w:pPr>
      <w:r>
        <w:t>6. ACQUIRED Construction and Leakage Control</w:t>
      </w:r>
    </w:p>
    <w:p>
      <w:pPr>
        <w:spacing w:after="60"/>
      </w:pPr>
      <w:r>
        <w:t>7. Final Graph Schema Selection</w:t>
      </w:r>
    </w:p>
    <w:p>
      <w:pPr>
        <w:spacing w:after="60"/>
      </w:pPr>
      <w:r>
        <w:t>8. Node-Table Materialization</w:t>
      </w:r>
    </w:p>
    <w:p>
      <w:pPr>
        <w:spacing w:after="60"/>
      </w:pPr>
      <w:r>
        <w:t>9. Edge-Table Materialization and Integrity</w:t>
      </w:r>
    </w:p>
    <w:p>
      <w:pPr>
        <w:spacing w:after="60"/>
      </w:pPr>
      <w:r>
        <w:t>10. Model-Ready Encoding</w:t>
      </w:r>
    </w:p>
    <w:p>
      <w:pPr>
        <w:spacing w:after="60"/>
      </w:pPr>
      <w:r>
        <w:t>11. Structural Coverage and Sparsity</w:t>
      </w:r>
    </w:p>
    <w:p>
      <w:pPr>
        <w:spacing w:after="60"/>
      </w:pPr>
      <w:r>
        <w:t>12. Final Integrity and Frozen Deliverables</w:t>
      </w:r>
    </w:p>
    <w:p>
      <w:pPr>
        <w:spacing w:after="60"/>
      </w:pPr>
      <w:r>
        <w:t>13. Known Limitations</w:t>
      </w:r>
    </w:p>
    <w:p>
      <w:pPr>
        <w:spacing w:after="60"/>
      </w:pPr>
      <w:r>
        <w:t>14. Phase-4 Handoff Constraints</w:t>
      </w:r>
    </w:p>
    <w:p>
      <w:pPr>
        <w:spacing w:after="60"/>
      </w:pPr>
      <w:r>
        <w:t>Appendix A. Typed Relation Vocabulary</w:t>
      </w:r>
    </w:p>
    <w:p>
      <w:pPr>
        <w:spacing w:after="60"/>
      </w:pPr>
      <w:r>
        <w:t>Appendix B. Phase-3 Script and Artifact Inventory</w:t>
      </w:r>
    </w:p>
    <w:p>
      <w:pPr>
        <w:spacing w:after="60"/>
      </w:pPr>
      <w:r>
        <w:t>References</w:t>
      </w:r>
    </w:p>
    <w:p>
      <w:r>
        <w:br w:type="page"/>
      </w:r>
    </w:p>
    <w:p>
      <w:pPr>
        <w:pStyle w:val="Heading1"/>
      </w:pPr>
      <w:r>
        <w:t>1. Phase Objective and Scope</w:t>
      </w:r>
    </w:p>
    <w:p>
      <w:r>
        <w:t>The objective of Phase 3 was to reconstruct an ITRS-compatible heterogeneous structural graph from the relationships that are actually observable in the available Crunchbase exports. Phase 3 did not train the ITRS model, perform negative sampling, change the Phase-2 temporal split, or convert historical investment events into R-GCN structural edges.</w:t>
      </w:r>
    </w:p>
    <w:p>
      <w:pPr>
        <w:pStyle w:val="ListBullet"/>
      </w:pPr>
      <w:r>
        <w:t>Immutable interaction input: data/processed/interactions.parquet.</w:t>
      </w:r>
    </w:p>
    <w:p>
      <w:pPr>
        <w:pStyle w:val="ListBullet"/>
      </w:pPr>
      <w:r>
        <w:t>Frozen temporal split: Phase-2 T0-T60 reconstruction with T60 = 2026-01-01 through 2026-03-31.</w:t>
      </w:r>
    </w:p>
    <w:p>
      <w:pPr>
        <w:pStyle w:val="ListBullet"/>
      </w:pPr>
      <w:r>
        <w:t>Final graph node universe: canonical Phase-1 Investors and Startups only.</w:t>
      </w:r>
    </w:p>
    <w:p>
      <w:pPr>
        <w:pStyle w:val="ListBullet"/>
      </w:pPr>
      <w:r>
        <w:t>Identity principle: graph role and underlying Crunchbase UUID are stored separately.</w:t>
      </w:r>
    </w:p>
    <w:p>
      <w:pPr>
        <w:pStyle w:val="ListBullet"/>
      </w:pPr>
      <w:r>
        <w:t>Structural-relation principle: accept only empirically auditable Crunchbase relationships.</w:t>
      </w:r>
    </w:p>
    <w:p>
      <w:pPr>
        <w:pStyle w:val="ListBullet"/>
      </w:pPr>
      <w:r>
        <w:t>Leakage principle: remove any direct structural relationship whose unordered underlying entity pair matches a T60 held-out Investor-Startup pair.</w:t>
      </w:r>
    </w:p>
    <w:p>
      <w:pPr>
        <w:pStyle w:val="ListBullet"/>
      </w:pPr>
      <w:r>
        <w:t>Primary Phase-3 output: a scientific node/edge graph plus deterministic model-ready integer encodings.</w:t>
      </w:r>
    </w:p>
    <w:p>
      <w:pPr>
        <w:pStyle w:val="Heading1"/>
      </w:pPr>
      <w:r>
        <w:t>2. Paper-Grounded ITRS Graph Interpretation</w:t>
      </w:r>
    </w:p>
    <w:p>
      <w:r>
        <w:t>The ITRS paper distinguishes Organization, Brand, Company, and Human concepts. Organization and Brand become the final recommendation graph nodes, whereas Company and Human can act as intermediary sources for relationship construction. Investment events E=(investor, startup, time) feed the temporal recommendation process and are conceptually separate from the static structural graph. [1]</w:t>
      </w:r>
    </w:p>
    <w:p>
      <w:r>
        <w:t>The paper reports ten primitive Tianyancha relationship families and a final graph with 103 relationships. However, the full 103-relation vocabulary and all preprocessing rules needed to reproduce it are not published. Phase 3 therefore treats exact reproduction of the final Tianyancha relation vocabulary as impossible from the paper alone and reproduces the disclosed construction principle instead.</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316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ITRS primitive relation</w:t>
            </w:r>
          </w:p>
        </w:tc>
        <w:tc>
          <w:tcPr>
            <w:tcW w:type="dxa" w:w="244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Intermediary / target type</w:t>
            </w:r>
          </w:p>
        </w:tc>
        <w:tc>
          <w:tcPr>
            <w:tcW w:type="dxa" w:w="158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Reported count</w:t>
            </w:r>
          </w:p>
        </w:tc>
        <w:tc>
          <w:tcPr>
            <w:tcW w:type="dxa" w:w="316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Crunchbase disposition</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Ten major shareholders</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 or human</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25,137</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 in available exports</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Shareholder</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 or human</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35,984</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Former shareholders</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 or human</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13,238</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Controlling</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10,014</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Supplier</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17,932</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Client</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15,981</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Competitor</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107,767</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Holding shares now</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26,254</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Once held shares</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Company</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12,234</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r>
      <w:tr>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Business</w:t>
            </w:r>
          </w:p>
        </w:tc>
        <w:tc>
          <w:tcPr>
            <w:tcW w:type="dxa" w:w="24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Brand</w:t>
            </w:r>
          </w:p>
        </w:tc>
        <w:tc>
          <w:tcPr>
            <w:tcW w:type="dxa" w:w="15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45,238</w:t>
            </w:r>
          </w:p>
        </w:tc>
        <w:tc>
          <w:tcPr>
            <w:tcW w:type="dxa" w:w="31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Identity mapping only; not a standalone edge</w:t>
            </w:r>
          </w:p>
        </w:tc>
      </w:tr>
    </w:tbl>
    <w:p/>
    <w:tbl>
      <w:tblPr>
        <w:tblW w:type="auto" w:w="0"/>
        <w:jc w:val="center"/>
        <w:tblLook w:firstColumn="1" w:firstRow="1" w:lastColumn="0" w:lastRow="0" w:noHBand="0" w:noVBand="1" w:val="04A0"/>
      </w:tblPr>
      <w:tblGrid>
        <w:gridCol w:w="10166"/>
      </w:tblGrid>
      <w:tr>
        <w:tc>
          <w:tcPr>
            <w:tcW w:type="dxa" w:w="10166"/>
            <w:shd w:fill="EAF2F8"/>
            <w:tcBorders>
              <w:top w:val="single" w:sz="6" w:color="666666"/>
              <w:left w:val="single" w:sz="6" w:color="666666"/>
              <w:bottom w:val="single" w:sz="6" w:color="666666"/>
              <w:right w:val="single" w:sz="6" w:color="666666"/>
            </w:tcBorders>
          </w:tcPr>
          <w:p>
            <w:r>
              <w:rPr>
                <w:rFonts w:ascii="Aptos" w:hAnsi="Aptos"/>
                <w:b/>
                <w:sz w:val="21"/>
              </w:rPr>
              <w:t xml:space="preserve">Reproduction boundary: </w:t>
            </w:r>
            <w:r>
              <w:rPr>
                <w:rFonts w:ascii="Aptos" w:hAnsi="Aptos"/>
                <w:sz w:val="21"/>
              </w:rPr>
              <w:t>The graph does not force 103 relation types. Unsupported Tianyancha relations are excluded rather than approximated with unrelated Crunchbase attributes.</w:t>
            </w:r>
          </w:p>
        </w:tc>
      </w:tr>
    </w:tbl>
    <w:p/>
    <w:p>
      <w:pPr>
        <w:pStyle w:val="Heading1"/>
      </w:pPr>
      <w:r>
        <w:t>3. Crunchbase Source Universe and Identity Architecture</w:t>
      </w:r>
    </w:p>
    <w:p>
      <w:r>
        <w:t>Phase 3 audited the complete available raw source universe after the auxiliary exports were placed under data/raw. The relationship investigation covered Companies, Investor, Funding, Acquisitions, People, Hubs, Schools, Events, and Contacts. These source tables were not automatically converted into graph node types; their schemas and cross-dataset references were first audited for relationship semantics and identity integrity.</w:t>
      </w:r>
    </w:p>
    <w:tbl>
      <w:tblPr>
        <w:tblW w:type="auto" w:w="0"/>
        <w:jc w:val="center"/>
        <w:tblLayout w:type="fixed"/>
        <w:tblLook w:firstColumn="1" w:firstRow="1" w:lastColumn="0" w:lastRow="0" w:noHBand="0" w:noVBand="1" w:val="04A0"/>
      </w:tblPr>
      <w:tblGrid>
        <w:gridCol w:w="3389"/>
        <w:gridCol w:w="3389"/>
        <w:gridCol w:w="3389"/>
      </w:tblGrid>
      <w:tr>
        <w:tc>
          <w:tcPr>
            <w:tcW w:type="dxa" w:w="194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Dataset family</w:t>
            </w:r>
          </w:p>
        </w:tc>
        <w:tc>
          <w:tcPr>
            <w:tcW w:type="dxa" w:w="25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Rows / files</w:t>
            </w:r>
          </w:p>
        </w:tc>
        <w:tc>
          <w:tcPr>
            <w:tcW w:type="dxa" w:w="590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Phase-3 role</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Companies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4,689,624 rows across 24 chunks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Authoritative Startup registry; founder relationship source</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Investor</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333,726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Authoritative Investor registry</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Funding</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797,177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Temporal interaction source; not structural R-GCN relation</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Acquisitions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204,525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Directed structural relationship source</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People</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2,154,681 rows across 11 chunks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Human intermediary registry for founder bridge</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Schools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37,193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Deferred relationship source</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Contacts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724,553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Excluded from strict graph after bridge audit</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Hubs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99,380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Unsupported: aggregate fields, no membership references</w:t>
            </w:r>
          </w:p>
        </w:tc>
      </w:tr>
      <w:tr>
        <w:tc>
          <w:tcPr>
            <w:tcW w:type="dxa" w:w="19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Events</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31,261 rows</w:t>
            </w:r>
          </w:p>
        </w:tc>
        <w:tc>
          <w:tcPr>
            <w:tcW w:type="dxa" w:w="59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Unsupported: participant counts without entity references</w:t>
            </w:r>
          </w:p>
        </w:tc>
      </w:tr>
    </w:tbl>
    <w:p/>
    <w:p>
      <w:r>
        <w:t>A critical identity finding was that Crunchbase UUIDs can appear in both the Investor and Company/Startup role universes. Exactly 9,633 canonical UUIDs occur in both roles. These are the same underlying entities but they must remain distinct semantic graph nodes for ITRS-style message passing.</w:t>
      </w:r>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underlying Crunchbase UUID = X</w:t>
            </w:r>
            <w:r>
              <w:br/>
            </w:r>
            <w:r>
              <w:rPr>
                <w:rFonts w:ascii="Liberation Mono" w:hAnsi="Liberation Mono"/>
                <w:sz w:val="17"/>
              </w:rPr>
              <w:t xml:space="preserve">  investor::X   -&gt; Investor role node</w:t>
            </w:r>
            <w:r>
              <w:br/>
            </w:r>
            <w:r>
              <w:rPr>
                <w:rFonts w:ascii="Liberation Mono" w:hAnsi="Liberation Mono"/>
                <w:sz w:val="17"/>
              </w:rPr>
              <w:t xml:space="preserve">  startup::X    -&gt; Startup role node</w:t>
            </w:r>
            <w:r>
              <w:br/>
            </w:r>
            <w:r>
              <w:rPr>
                <w:rFonts w:ascii="Liberation Mono" w:hAnsi="Liberation Mono"/>
                <w:sz w:val="17"/>
              </w:rPr>
            </w:r>
            <w:r>
              <w:br/>
            </w:r>
            <w:r>
              <w:rPr>
                <w:rFonts w:ascii="Liberation Mono" w:hAnsi="Liberation Mono"/>
                <w:sz w:val="17"/>
              </w:rPr>
              <w:t>raw_entity_id = X  (shared underlying identity)</w:t>
            </w:r>
          </w:p>
        </w:tc>
      </w:tr>
    </w:tbl>
    <w:p/>
    <w:p>
      <w:pPr>
        <w:jc w:val="center"/>
      </w:pPr>
      <w:r>
        <w:drawing>
          <wp:inline xmlns:a="http://schemas.openxmlformats.org/drawingml/2006/main" xmlns:pic="http://schemas.openxmlformats.org/drawingml/2006/picture">
            <wp:extent cx="5577840" cy="3335767"/>
            <wp:docPr id="1" name="Picture 1"/>
            <wp:cNvGraphicFramePr>
              <a:graphicFrameLocks noChangeAspect="1"/>
            </wp:cNvGraphicFramePr>
            <a:graphic>
              <a:graphicData uri="http://schemas.openxmlformats.org/drawingml/2006/picture">
                <pic:pic>
                  <pic:nvPicPr>
                    <pic:cNvPr id="0" name="node_types.png"/>
                    <pic:cNvPicPr/>
                  </pic:nvPicPr>
                  <pic:blipFill>
                    <a:blip r:embed="rId11"/>
                    <a:stretch>
                      <a:fillRect/>
                    </a:stretch>
                  </pic:blipFill>
                  <pic:spPr>
                    <a:xfrm>
                      <a:off x="0" y="0"/>
                      <a:ext cx="5577840" cy="3335767"/>
                    </a:xfrm>
                    <a:prstGeom prst="rect"/>
                  </pic:spPr>
                </pic:pic>
              </a:graphicData>
            </a:graphic>
          </wp:inline>
        </w:drawing>
      </w:r>
    </w:p>
    <w:p>
      <w:pPr>
        <w:spacing w:after="160"/>
        <w:jc w:val="center"/>
      </w:pPr>
      <w:r>
        <w:rPr>
          <w:i/>
          <w:color w:val="5A5A5A"/>
          <w:sz w:val="18"/>
        </w:rPr>
        <w:t>Figure 1. Frozen Phase-3 graph node counts by semantic role.</w:t>
      </w:r>
    </w:p>
    <w:p>
      <w:pPr>
        <w:pStyle w:val="Heading1"/>
      </w:pPr>
      <w:r>
        <w:t>4. Structural Relationship Source Audit</w:t>
      </w:r>
    </w:p>
    <w:p>
      <w:r>
        <w:t>The relationship-source audit narrowed the available Crunchbase data to two defensible structural sources. A founder-to-person URL bridge provides an ITRS-principle-aligned Human-intermediary relation, while the acquisition table provides a timestamped company-to-company relation. Other candidate sources were explicitly deferred or excluded.</w:t>
      </w:r>
    </w:p>
    <w:tbl>
      <w:tblPr>
        <w:tblW w:type="auto" w:w="0"/>
        <w:jc w:val="center"/>
        <w:tblLayout w:type="fixed"/>
        <w:tblLook w:firstColumn="1" w:firstRow="1" w:lastColumn="0" w:lastRow="0" w:noHBand="0" w:noVBand="1" w:val="04A0"/>
      </w:tblPr>
      <w:tblGrid>
        <w:gridCol w:w="3389"/>
        <w:gridCol w:w="3389"/>
        <w:gridCol w:w="3389"/>
      </w:tblGrid>
      <w:tr>
        <w:tc>
          <w:tcPr>
            <w:tcW w:type="dxa" w:w="237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Candidate relation</w:t>
            </w:r>
          </w:p>
        </w:tc>
        <w:tc>
          <w:tcPr>
            <w:tcW w:type="dxa" w:w="252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Status</w:t>
            </w:r>
          </w:p>
        </w:tc>
        <w:tc>
          <w:tcPr>
            <w:tcW w:type="dxa" w:w="576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7"/>
              </w:rPr>
              <w:t>Evidence / handling</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SHARED_FOUNDER</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Supported</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companies.founder_links -&gt; people.link exact URL bridge; 99.9969% exact resolution</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ACQUIRED</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Supported Crunchbase adaptation</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Conservative endpoint resolution; explicit announced_on; pre-T60 cutoff and holdout masking</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INVESTMENT_EVENT</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Separate temporal layer</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Recommendation target / temporal interaction; not structural R-GCN edge</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SHARED_SCHOOL</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Deferred</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People schools are name lists, not direct UUID references</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EMPLOYMENT_OR_CONTACT</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Excluded</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contacts.id has 0 overlap with people.id; organization UUID/permalink empty</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HUB_MEMBERSHIP</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No audited entity-level membership references</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EVENT_PARTICIPATION</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Unsupported</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No audited participant entity references</w:t>
            </w:r>
          </w:p>
        </w:tc>
      </w:tr>
      <w:tr>
        <w:tc>
          <w:tcPr>
            <w:tcW w:type="dxa" w:w="2376"/>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SAME_CATEGORY / SAME_LOCATION</w:t>
            </w:r>
          </w:p>
        </w:tc>
        <w:tc>
          <w:tcPr>
            <w:tcW w:type="dxa" w:w="252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Extension only</w:t>
            </w:r>
          </w:p>
        </w:tc>
        <w:tc>
          <w:tcPr>
            <w:tcW w:type="dxa" w:w="57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7"/>
              </w:rPr>
              <w:t>Attributes, not observed business relationships; excluded from initial graph</w:t>
            </w:r>
          </w:p>
        </w:tc>
      </w:tr>
    </w:tbl>
    <w:p/>
    <w:p>
      <w:pPr>
        <w:pStyle w:val="Heading1"/>
      </w:pPr>
      <w:r>
        <w:t>5. SHARED_FOUNDER Construction and Leakage Control</w:t>
      </w:r>
    </w:p>
    <w:p>
      <w:r>
        <w:t>The strongest cross-dataset bridge was companies.founder_links -&gt; people.link. Among 319,284 unique founder URLs extracted from canonical role entities, 319,274 resolved to exactly one People ID, seven were ambiguous, and three were unresolved. Exact resolution was therefore 99.9969%.</w:t>
      </w:r>
    </w:p>
    <w:tbl>
      <w:tblPr>
        <w:tblW w:type="auto" w:w="0"/>
        <w:jc w:val="center"/>
        <w:tblLayout w:type="fixed"/>
        <w:tblLook w:firstColumn="1" w:firstRow="1" w:lastColumn="0" w:lastRow="0" w:noHBand="0" w:noVBand="1" w:val="04A0"/>
      </w:tblPr>
      <w:tblGrid>
        <w:gridCol w:w="5083"/>
        <w:gridCol w:w="5083"/>
      </w:tblGrid>
      <w:tr>
        <w:tc>
          <w:tcPr>
            <w:tcW w:type="dxa" w:w="691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Founder audit stage</w:t>
            </w:r>
          </w:p>
        </w:tc>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Count</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Founder-induced role-pair occurrences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66,227</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Unique role-node pairs after deduplication</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54,332</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Same-underlying-entity pairs removed</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6,901</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T60 holdout role-pairs removed</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22</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Final leakage-safe SHARED_FOUNDER candidates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47,409</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Potential directed edge records (both directions)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94,818</w:t>
            </w:r>
          </w:p>
        </w:tc>
      </w:tr>
    </w:tbl>
    <w:p/>
    <w:p>
      <w:r>
        <w:t>The 6,901 same-underlying-entity pairs were removed because investor::X and startup::X represent two semantic roles of the same organization rather than a relationship between two organizations. The 22 held-out pairs were removed under the global underlying-pair leakage policy.</w:t>
      </w:r>
    </w:p>
    <w:tbl>
      <w:tblPr>
        <w:tblW w:type="auto" w:w="0"/>
        <w:jc w:val="center"/>
        <w:tblLayout w:type="fixed"/>
        <w:tblLook w:firstColumn="1" w:firstRow="1" w:lastColumn="0" w:lastRow="0" w:noHBand="0" w:noVBand="1" w:val="04A0"/>
      </w:tblPr>
      <w:tblGrid>
        <w:gridCol w:w="3389"/>
        <w:gridCol w:w="3389"/>
        <w:gridCol w:w="3389"/>
      </w:tblGrid>
      <w:tr>
        <w:tc>
          <w:tcPr>
            <w:tcW w:type="dxa" w:w="504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Role combination</w:t>
            </w:r>
          </w:p>
        </w:tc>
        <w:tc>
          <w:tcPr>
            <w:tcW w:type="dxa" w:w="25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Final symmetric pairs</w:t>
            </w:r>
          </w:p>
        </w:tc>
        <w:tc>
          <w:tcPr>
            <w:tcW w:type="dxa" w:w="201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Share</w:t>
            </w:r>
          </w:p>
        </w:tc>
      </w:tr>
      <w:tr>
        <w:tc>
          <w:tcPr>
            <w:tcW w:type="dxa" w:w="504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 -- Startup</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38,411</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81.0205%</w:t>
            </w:r>
          </w:p>
        </w:tc>
      </w:tr>
      <w:tr>
        <w:tc>
          <w:tcPr>
            <w:tcW w:type="dxa" w:w="504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 Startup</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7,768</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16.3851%</w:t>
            </w:r>
          </w:p>
        </w:tc>
      </w:tr>
      <w:tr>
        <w:tc>
          <w:tcPr>
            <w:tcW w:type="dxa" w:w="504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 Investor</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1,230</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2.5944%</w:t>
            </w:r>
          </w:p>
        </w:tc>
      </w:tr>
    </w:tbl>
    <w:p/>
    <w:p>
      <w:r>
        <w:t>SHARED_FOUNDER is semantically symmetric. Each accepted pair is therefore stored as two directed message-passing records with the same semantic relation label. Founder relationship timestamps are not available, so temporal provenance is retained as current_snapshot_unversioned.</w:t>
      </w:r>
    </w:p>
    <w:p>
      <w:pPr>
        <w:pStyle w:val="Heading1"/>
      </w:pPr>
      <w:r>
        <w:t>6. ACQUIRED Construction and Leakage Control</w:t>
      </w:r>
    </w:p>
    <w:p>
      <w:r>
        <w:t>Acquisition endpoints are not exported with explicit acquirer/acquiree UUIDs, so Phase 3 resolved endpoints conservatively through exact normalized names and websites. Accepted evidence statuses were name_website_agree, ambiguous_name_resolved_by_website, and unique_name_only. Website-only and conflicting cases were excluded from the strict graph.</w:t>
      </w:r>
    </w:p>
    <w:tbl>
      <w:tblPr>
        <w:tblW w:type="auto" w:w="0"/>
        <w:jc w:val="center"/>
        <w:tblLayout w:type="fixed"/>
        <w:tblLook w:firstColumn="1" w:firstRow="1" w:lastColumn="0" w:lastRow="0" w:noHBand="0" w:noVBand="1" w:val="04A0"/>
      </w:tblPr>
      <w:tblGrid>
        <w:gridCol w:w="5083"/>
        <w:gridCol w:w="5083"/>
      </w:tblGrid>
      <w:tr>
        <w:tc>
          <w:tcPr>
            <w:tcW w:type="dxa" w:w="691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Acquisition filtering stage</w:t>
            </w:r>
          </w:p>
        </w:tc>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Rows remaining</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Fully resolved input</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158,307</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Accepted endpoint evidence</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157,989</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Observable before T60</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152,212</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Remove self-acquisitions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152,211</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Both endpoints in canonical roles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23,329</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Remove T60 holdout underlying pairs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23,306</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Unique directed underlying acquisition pairs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23,301</w:t>
            </w:r>
          </w:p>
        </w:tc>
      </w:tr>
    </w:tbl>
    <w:p/>
    <w:p>
      <w:r>
        <w:t>The timestamp policy requires announced_on &lt; 2026-01-01, so only relationships observable before the T60 evaluation interval enter the graph. The holdout mask removed 22 direct and one reverse T60 underlying pair. Five repeated acquisition events collapsed during pair deduplication.</w:t>
      </w:r>
    </w:p>
    <w:p>
      <w:r>
        <w:br w:type="page"/>
      </w:r>
    </w:p>
    <w:tbl>
      <w:tblPr>
        <w:tblW w:type="auto" w:w="0"/>
        <w:jc w:val="center"/>
        <w:tblLayout w:type="fixed"/>
        <w:tblLook w:firstColumn="1" w:firstRow="1" w:lastColumn="0" w:lastRow="0" w:noHBand="0" w:noVBand="1" w:val="04A0"/>
      </w:tblPr>
      <w:tblGrid>
        <w:gridCol w:w="5083"/>
        <w:gridCol w:w="5083"/>
      </w:tblGrid>
      <w:tr>
        <w:tc>
          <w:tcPr>
            <w:tcW w:type="dxa" w:w="691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Role projection</w:t>
            </w:r>
          </w:p>
        </w:tc>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Forward ACQUIRED candidates</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-&gt; Investor</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1,565</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-&gt; Startup</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11,427</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 -&gt; Investor</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1,271</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 -&gt; Startup</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17,737</w:t>
            </w:r>
          </w:p>
        </w:tc>
      </w:tr>
      <w:tr>
        <w:tc>
          <w:tcPr>
            <w:tcW w:type="dxa" w:w="691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Total</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32,000</w:t>
            </w:r>
          </w:p>
        </w:tc>
      </w:tr>
    </w:tbl>
    <w:p/>
    <w:p>
      <w:r>
        <w:t>ACQUIRED is treated as a Crunchbase-specific adaptation rather than a literal Tianyancha primitive relation. Every forward ACQUIRED edge receives an explicit ACQUIRED_BY inverse so information can propagate in both directions without discarding acquisition direction semantics.</w:t>
      </w:r>
    </w:p>
    <w:p>
      <w:pPr>
        <w:pStyle w:val="Heading1"/>
      </w:pPr>
      <w:r>
        <w:t>7. Final Graph Schema Selection</w:t>
      </w:r>
    </w:p>
    <w:p>
      <w:r>
        <w:t>Phase 3.3 froze the graph representation before materialization. The scientific graph contains two role node types, three semantic relation labels, and 12 typed source-relation-target channels. Role type is not embedded inside the base relation name; instead, src_type, relation, and dst_type jointly define the typed channel used by the R-GCN.</w:t>
      </w:r>
    </w:p>
    <w:tbl>
      <w:tblPr>
        <w:tblW w:type="auto" w:w="0"/>
        <w:jc w:val="center"/>
        <w:tblLayout w:type="fixed"/>
        <w:tblLook w:firstColumn="1" w:firstRow="1" w:lastColumn="0" w:lastRow="0" w:noHBand="0" w:noVBand="1" w:val="04A0"/>
      </w:tblPr>
      <w:tblGrid>
        <w:gridCol w:w="5083"/>
        <w:gridCol w:w="5083"/>
      </w:tblGrid>
      <w:tr>
        <w:tc>
          <w:tcPr>
            <w:tcW w:type="dxa" w:w="460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Graph component</w:t>
            </w:r>
          </w:p>
        </w:tc>
        <w:tc>
          <w:tcPr>
            <w:tcW w:type="dxa" w:w="518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Frozen specification</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Node types</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startup</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Node ID format</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investor::&lt;uuid&gt;, startup::&lt;uuid&gt;</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Underlying identity</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raw Crunchbase UUID</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Semantic relations</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shared_founder, acquired, acquired_by</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Typed relation key</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src_type|relation|dst_type</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Typed relation channels</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12</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Graph snapshot</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Static structural graph</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Investment events as structural edges</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Explicit self-loop relation</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w:t>
            </w:r>
          </w:p>
        </w:tc>
      </w:tr>
      <w:tr>
        <w:tc>
          <w:tcPr>
            <w:tcW w:type="dxa" w:w="460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Node filtering</w:t>
            </w:r>
          </w:p>
        </w:tc>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None</w:t>
            </w:r>
          </w:p>
        </w:tc>
      </w:tr>
    </w:tbl>
    <w:p/>
    <w:p>
      <w:r>
        <w:br w:type="page"/>
      </w:r>
    </w:p>
    <w:p>
      <w:pPr>
        <w:jc w:val="center"/>
      </w:pPr>
      <w:r>
        <w:drawing>
          <wp:inline xmlns:a="http://schemas.openxmlformats.org/drawingml/2006/main" xmlns:pic="http://schemas.openxmlformats.org/drawingml/2006/picture">
            <wp:extent cx="5029200" cy="3007658"/>
            <wp:docPr id="2" name="Picture 2"/>
            <wp:cNvGraphicFramePr>
              <a:graphicFrameLocks noChangeAspect="1"/>
            </wp:cNvGraphicFramePr>
            <a:graphic>
              <a:graphicData uri="http://schemas.openxmlformats.org/drawingml/2006/picture">
                <pic:pic>
                  <pic:nvPicPr>
                    <pic:cNvPr id="0" name="relation_counts.png"/>
                    <pic:cNvPicPr/>
                  </pic:nvPicPr>
                  <pic:blipFill>
                    <a:blip r:embed="rId12"/>
                    <a:stretch>
                      <a:fillRect/>
                    </a:stretch>
                  </pic:blipFill>
                  <pic:spPr>
                    <a:xfrm>
                      <a:off x="0" y="0"/>
                      <a:ext cx="5029200" cy="3007658"/>
                    </a:xfrm>
                    <a:prstGeom prst="rect"/>
                  </pic:spPr>
                </pic:pic>
              </a:graphicData>
            </a:graphic>
          </wp:inline>
        </w:drawing>
      </w:r>
    </w:p>
    <w:p>
      <w:pPr>
        <w:spacing w:after="160"/>
        <w:jc w:val="center"/>
      </w:pPr>
      <w:r>
        <w:rPr>
          <w:i/>
          <w:color w:val="5A5A5A"/>
          <w:sz w:val="18"/>
        </w:rPr>
        <w:t>Figure 2. Directed structural edge records by base semantic relation.</w:t>
      </w:r>
    </w:p>
    <w:p>
      <w:pPr>
        <w:pStyle w:val="Heading1"/>
      </w:pPr>
      <w:r>
        <w:t>8. Node-Table Materialization</w:t>
      </w:r>
    </w:p>
    <w:p>
      <w:r>
        <w:t>The node table materialization preserved the complete canonical Investor and Startup universes. Both authoritative registries achieved 100% coverage. Graph identity is role + Crunchbase UUID; names are display attributes only and never graph keys.</w:t>
      </w:r>
    </w:p>
    <w:tbl>
      <w:tblPr>
        <w:tblW w:type="auto" w:w="0"/>
        <w:jc w:val="center"/>
        <w:tblLayout w:type="fixed"/>
        <w:tblLook w:firstColumn="1" w:firstRow="1" w:lastColumn="0" w:lastRow="0" w:noHBand="0" w:noVBand="1" w:val="04A0"/>
      </w:tblPr>
      <w:tblGrid>
        <w:gridCol w:w="5083"/>
        <w:gridCol w:w="5083"/>
      </w:tblGrid>
      <w:tr>
        <w:tc>
          <w:tcPr>
            <w:tcW w:type="dxa" w:w="633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Node identity metric</w:t>
            </w:r>
          </w:p>
        </w:tc>
        <w:tc>
          <w:tcPr>
            <w:tcW w:type="dxa" w:w="345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Final value</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role nodes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165,975</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 role nodes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311,589</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Total role nodes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477,564</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Unique underlying entity IDs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467,931</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Dual-role underlying IDs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9,633</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Dual-role graph nodes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19,266</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Duplicate node IDs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0</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Missing raw entity IDs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0</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Missing display names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0</w:t>
            </w:r>
          </w:p>
        </w:tc>
      </w:tr>
      <w:tr>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Dual-role display-name disagreements</w:t>
            </w:r>
          </w:p>
        </w:tc>
        <w:tc>
          <w:tcPr>
            <w:tcW w:type="dxa" w:w="345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0</w:t>
            </w:r>
          </w:p>
        </w:tc>
      </w:tr>
    </w:tbl>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data/experimental/phase_3/graph/nodes.parquet</w:t>
            </w:r>
            <w:r>
              <w:br/>
            </w:r>
            <w:r>
              <w:rPr>
                <w:rFonts w:ascii="Liberation Mono" w:hAnsi="Liberation Mono"/>
                <w:sz w:val="17"/>
              </w:rPr>
              <w:t>rows:    477,564</w:t>
            </w:r>
            <w:r>
              <w:br/>
            </w:r>
            <w:r>
              <w:rPr>
                <w:rFonts w:ascii="Liberation Mono" w:hAnsi="Liberation Mono"/>
                <w:sz w:val="17"/>
              </w:rPr>
              <w:t>columns: 6</w:t>
            </w:r>
            <w:r>
              <w:br/>
            </w:r>
            <w:r>
              <w:rPr>
                <w:rFonts w:ascii="Liberation Mono" w:hAnsi="Liberation Mono"/>
                <w:sz w:val="17"/>
              </w:rPr>
            </w:r>
            <w:r>
              <w:br/>
            </w:r>
            <w:r>
              <w:rPr>
                <w:rFonts w:ascii="Liberation Mono" w:hAnsi="Liberation Mono"/>
                <w:sz w:val="17"/>
              </w:rPr>
              <w:t>node_id | node_type | raw_entity_id | display_name | source_registry | underlying_entity_has_dual_role</w:t>
            </w:r>
          </w:p>
        </w:tc>
      </w:tr>
    </w:tbl>
    <w:p/>
    <w:p>
      <w:pPr>
        <w:pStyle w:val="Heading1"/>
      </w:pPr>
      <w:r>
        <w:t>9. Edge-Table Materialization and Integrity</w:t>
      </w:r>
    </w:p>
    <w:p>
      <w:r>
        <w:t>The structural edge table materializes exactly the frozen Phase-3.3 schema. Every integrity check passed: there are no duplicate edge IDs or source-relation-destination triples, no graph-node self-loops, no same-underlying-entity relations, no missing endpoints, no endpoint identity mismatches, no missing SHARED_FOUNDER reverse records, no missing ACQUIRED_BY inverses, and no T60 holdout leakage records.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Relation</w:t>
            </w:r>
          </w:p>
        </w:tc>
        <w:tc>
          <w:tcPr>
            <w:tcW w:type="dxa" w:w="216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Directed edges</w:t>
            </w:r>
          </w:p>
        </w:tc>
        <w:tc>
          <w:tcPr>
            <w:tcW w:type="dxa" w:w="25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Unique source nodes</w:t>
            </w:r>
          </w:p>
        </w:tc>
        <w:tc>
          <w:tcPr>
            <w:tcW w:type="dxa" w:w="25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Unique destination nodes</w:t>
            </w:r>
          </w:p>
        </w:tc>
      </w:tr>
      <w:tr>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shared_founder</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94,818</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50,314</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50,314</w:t>
            </w:r>
          </w:p>
        </w:tc>
      </w:tr>
      <w:tr>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acquired</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32,000</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14,107</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23,267</w:t>
            </w:r>
          </w:p>
        </w:tc>
      </w:tr>
      <w:tr>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acquired_by</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32,000</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23,267</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14,107</w:t>
            </w:r>
          </w:p>
        </w:tc>
      </w:tr>
      <w:tr>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Total</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158,818</w:t>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r>
          </w:p>
        </w:tc>
        <w:tc>
          <w:tcPr>
            <w:tcW w:type="dxa" w:w="25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r>
          </w:p>
        </w:tc>
      </w:tr>
    </w:tbl>
    <w:p/>
    <w:tbl>
      <w:tblPr>
        <w:tblW w:type="auto" w:w="0"/>
        <w:jc w:val="center"/>
        <w:tblLook w:firstColumn="1" w:firstRow="1" w:lastColumn="0" w:lastRow="0" w:noHBand="0" w:noVBand="1" w:val="04A0"/>
      </w:tblPr>
      <w:tblGrid>
        <w:gridCol w:w="10166"/>
      </w:tblGrid>
      <w:tr>
        <w:tc>
          <w:tcPr>
            <w:tcW w:type="dxa" w:w="10166"/>
            <w:shd w:fill="EAF2F8"/>
            <w:tcBorders>
              <w:top w:val="single" w:sz="6" w:color="666666"/>
              <w:left w:val="single" w:sz="6" w:color="666666"/>
              <w:bottom w:val="single" w:sz="6" w:color="666666"/>
              <w:right w:val="single" w:sz="6" w:color="666666"/>
            </w:tcBorders>
          </w:tcPr>
          <w:p>
            <w:r>
              <w:rPr>
                <w:rFonts w:ascii="Aptos" w:hAnsi="Aptos"/>
                <w:b/>
                <w:sz w:val="21"/>
              </w:rPr>
              <w:t xml:space="preserve">Leakage result: </w:t>
            </w:r>
            <w:r>
              <w:rPr>
                <w:rFonts w:ascii="Aptos" w:hAnsi="Aptos"/>
                <w:sz w:val="21"/>
              </w:rPr>
              <w:t>The final structural edge table contains 0 edge records whose unordered underlying entity pair matches one of the 22,326 T60 holdout mask pairs.</w:t>
            </w:r>
          </w:p>
        </w:tc>
      </w:tr>
    </w:tbl>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data/experimental/phase_3/graph/edges.parquet</w:t>
            </w:r>
            <w:r>
              <w:br/>
            </w:r>
            <w:r>
              <w:rPr>
                <w:rFonts w:ascii="Liberation Mono" w:hAnsi="Liberation Mono"/>
                <w:sz w:val="17"/>
              </w:rPr>
              <w:t>rows:    158,818</w:t>
            </w:r>
            <w:r>
              <w:br/>
            </w:r>
            <w:r>
              <w:rPr>
                <w:rFonts w:ascii="Liberation Mono" w:hAnsi="Liberation Mono"/>
                <w:sz w:val="17"/>
              </w:rPr>
              <w:t>columns: 15</w:t>
            </w:r>
            <w:r>
              <w:br/>
            </w:r>
            <w:r>
              <w:rPr>
                <w:rFonts w:ascii="Liberation Mono" w:hAnsi="Liberation Mono"/>
                <w:sz w:val="17"/>
              </w:rPr>
            </w:r>
            <w:r>
              <w:br/>
            </w:r>
            <w:r>
              <w:rPr>
                <w:rFonts w:ascii="Liberation Mono" w:hAnsi="Liberation Mono"/>
                <w:sz w:val="17"/>
              </w:rPr>
              <w:t>semantic relations: shared_founder | acquired | acquired_by</w:t>
            </w:r>
            <w:r>
              <w:br/>
            </w:r>
            <w:r>
              <w:rPr>
                <w:rFonts w:ascii="Liberation Mono" w:hAnsi="Liberation Mono"/>
                <w:sz w:val="17"/>
              </w:rPr>
              <w:t>typed relation channels: 12</w:t>
            </w:r>
          </w:p>
        </w:tc>
      </w:tr>
    </w:tbl>
    <w:p/>
    <w:p>
      <w:pPr>
        <w:jc w:val="center"/>
      </w:pPr>
      <w:r>
        <w:drawing>
          <wp:inline xmlns:a="http://schemas.openxmlformats.org/drawingml/2006/main" xmlns:pic="http://schemas.openxmlformats.org/drawingml/2006/picture">
            <wp:extent cx="6035040" cy="4636465"/>
            <wp:docPr id="3" name="Picture 3"/>
            <wp:cNvGraphicFramePr>
              <a:graphicFrameLocks noChangeAspect="1"/>
            </wp:cNvGraphicFramePr>
            <a:graphic>
              <a:graphicData uri="http://schemas.openxmlformats.org/drawingml/2006/picture">
                <pic:pic>
                  <pic:nvPicPr>
                    <pic:cNvPr id="0" name="typed_relations.png"/>
                    <pic:cNvPicPr/>
                  </pic:nvPicPr>
                  <pic:blipFill>
                    <a:blip r:embed="rId13"/>
                    <a:stretch>
                      <a:fillRect/>
                    </a:stretch>
                  </pic:blipFill>
                  <pic:spPr>
                    <a:xfrm>
                      <a:off x="0" y="0"/>
                      <a:ext cx="6035040" cy="4636465"/>
                    </a:xfrm>
                    <a:prstGeom prst="rect"/>
                  </pic:spPr>
                </pic:pic>
              </a:graphicData>
            </a:graphic>
          </wp:inline>
        </w:drawing>
      </w:r>
    </w:p>
    <w:p>
      <w:pPr>
        <w:spacing w:after="160"/>
        <w:jc w:val="center"/>
      </w:pPr>
      <w:r>
        <w:rPr>
          <w:i/>
          <w:color w:val="5A5A5A"/>
          <w:sz w:val="18"/>
        </w:rPr>
        <w:t>Figure 3. Final typed R-GCN relation-channel edge counts.</w:t>
      </w:r>
    </w:p>
    <w:p>
      <w:pPr>
        <w:pStyle w:val="Heading1"/>
      </w:pPr>
      <w:r>
        <w:t>10. Model-Ready Encoding</w:t>
      </w:r>
    </w:p>
    <w:p>
      <w:r>
        <w:t>Phase 3.4 converted the scientific string-identified graph into deterministic integer indices without changing graph semantics. Investor nodes occupy indices 0-165,974 and Startup nodes occupy indices 165,975-477,563. Typed relations are sorted lexicographically and assigned deterministic relation IDs 0-11. All node and relation round-trip checks returned zero mismatches.</w:t>
      </w:r>
    </w:p>
    <w:tbl>
      <w:tblPr>
        <w:tblW w:type="auto" w:w="0"/>
        <w:jc w:val="center"/>
        <w:tblLayout w:type="fixed"/>
        <w:tblLook w:firstColumn="1" w:firstRow="1" w:lastColumn="0" w:lastRow="0" w:noHBand="0" w:noVBand="1" w:val="04A0"/>
      </w:tblPr>
      <w:tblGrid>
        <w:gridCol w:w="5083"/>
        <w:gridCol w:w="5083"/>
      </w:tblGrid>
      <w:tr>
        <w:tc>
          <w:tcPr>
            <w:tcW w:type="dxa" w:w="374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Model-ready artifact</w:t>
            </w:r>
          </w:p>
        </w:tc>
        <w:tc>
          <w:tcPr>
            <w:tcW w:type="dxa" w:w="6192"/>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Specification</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node_index.parquet</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477,564 deterministic contiguous node indices</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relation_index.csv</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12 deterministic typed relation IDs</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edge_index.npy</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shape (2, 158,818), int64; row 0 source, row 1 destination</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edge_type.npy</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shape (158,818,), int64 typed relation IDs</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edge_manifest.parquet</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Tensor position -&gt; source graph edge audit mapping</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graph_variant_masks.npz</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core, founder_only_ablation, acquisition_only_ablation</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model_ready_graph_metadata.json</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Ordering rules and file checksums</w:t>
            </w:r>
          </w:p>
        </w:tc>
      </w:tr>
      <w:tr>
        <w:tc>
          <w:tcPr>
            <w:tcW w:type="dxa" w:w="3744"/>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node_structural_coverage.parquet</w:t>
            </w:r>
          </w:p>
        </w:tc>
        <w:tc>
          <w:tcPr>
            <w:tcW w:type="dxa" w:w="6192"/>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Per-node variant degrees and structural-source class</w:t>
            </w:r>
          </w:p>
        </w:tc>
      </w:tr>
    </w:tbl>
    <w:p/>
    <w:tbl>
      <w:tblPr>
        <w:tblW w:type="auto" w:w="0"/>
        <w:jc w:val="center"/>
        <w:tblLayout w:type="fixed"/>
        <w:tblLook w:firstColumn="1" w:firstRow="1" w:lastColumn="0" w:lastRow="0" w:noHBand="0" w:noVBand="1" w:val="04A0"/>
      </w:tblPr>
      <w:tblGrid>
        <w:gridCol w:w="3389"/>
        <w:gridCol w:w="3389"/>
        <w:gridCol w:w="3389"/>
      </w:tblGrid>
      <w:tr>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Graph variant</w:t>
            </w:r>
          </w:p>
        </w:tc>
        <w:tc>
          <w:tcPr>
            <w:tcW w:type="dxa" w:w="489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Relations</w:t>
            </w:r>
          </w:p>
        </w:tc>
        <w:tc>
          <w:tcPr>
            <w:tcW w:type="dxa" w:w="216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Directed edge records</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Core</w:t>
            </w:r>
          </w:p>
        </w:tc>
        <w:tc>
          <w:tcPr>
            <w:tcW w:type="dxa" w:w="489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shared_founder | acquired | acquired_by</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158,818</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Founder-only ablation</w:t>
            </w:r>
          </w:p>
        </w:tc>
        <w:tc>
          <w:tcPr>
            <w:tcW w:type="dxa" w:w="489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shared_founder</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94,818</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Acquisition-only ablation</w:t>
            </w:r>
          </w:p>
        </w:tc>
        <w:tc>
          <w:tcPr>
            <w:tcW w:type="dxa" w:w="489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acquired | acquired_by</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64,000</w:t>
            </w:r>
          </w:p>
        </w:tc>
      </w:tr>
    </w:tbl>
    <w:p/>
    <w:p>
      <w:pPr>
        <w:pStyle w:val="Heading1"/>
      </w:pPr>
      <w:r>
        <w:t>11. Structural Coverage and Sparsity</w:t>
      </w:r>
    </w:p>
    <w:p>
      <w:r>
        <w:t>The most important empirical limitation of the reconstructed graph is coverage. Only 74,757 of 477,564 role nodes have at least one structural neighbor in the core graph. This sparsity is treated as a property of the available Crunchbase relationship exports, not as a preprocessing error; isolated nodes are retained in the canonical recommendation universe.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Population</w:t>
            </w:r>
          </w:p>
        </w:tc>
        <w:tc>
          <w:tcPr>
            <w:tcW w:type="dxa" w:w="230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Connected nodes</w:t>
            </w:r>
          </w:p>
        </w:tc>
        <w:tc>
          <w:tcPr>
            <w:tcW w:type="dxa" w:w="230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Total nodes</w:t>
            </w:r>
          </w:p>
        </w:tc>
        <w:tc>
          <w:tcPr>
            <w:tcW w:type="dxa" w:w="216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Connected share</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Investors</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8,771</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165,975</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5.2845%</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Startups</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65,986</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311,589</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21.1773%</w:t>
            </w:r>
          </w:p>
        </w:tc>
      </w:tr>
      <w:tr>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All role nodes</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74,757</w:t>
            </w:r>
          </w:p>
        </w:tc>
        <w:tc>
          <w:tcPr>
            <w:tcW w:type="dxa" w:w="230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477,564</w:t>
            </w:r>
          </w:p>
        </w:tc>
        <w:tc>
          <w:tcPr>
            <w:tcW w:type="dxa" w:w="216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15.6538%</w:t>
            </w:r>
          </w:p>
        </w:tc>
      </w:tr>
    </w:tbl>
    <w:p/>
    <w:p>
      <w:pPr>
        <w:jc w:val="center"/>
      </w:pPr>
      <w:r>
        <w:drawing>
          <wp:inline xmlns:a="http://schemas.openxmlformats.org/drawingml/2006/main" xmlns:pic="http://schemas.openxmlformats.org/drawingml/2006/picture">
            <wp:extent cx="5943600" cy="3421380"/>
            <wp:docPr id="4" name="Picture 4"/>
            <wp:cNvGraphicFramePr>
              <a:graphicFrameLocks noChangeAspect="1"/>
            </wp:cNvGraphicFramePr>
            <a:graphic>
              <a:graphicData uri="http://schemas.openxmlformats.org/drawingml/2006/picture">
                <pic:pic>
                  <pic:nvPicPr>
                    <pic:cNvPr id="0" name="variant_coverage.png"/>
                    <pic:cNvPicPr/>
                  </pic:nvPicPr>
                  <pic:blipFill>
                    <a:blip r:embed="rId14"/>
                    <a:stretch>
                      <a:fillRect/>
                    </a:stretch>
                  </pic:blipFill>
                  <pic:spPr>
                    <a:xfrm>
                      <a:off x="0" y="0"/>
                      <a:ext cx="5943600" cy="3421380"/>
                    </a:xfrm>
                    <a:prstGeom prst="rect"/>
                  </pic:spPr>
                </pic:pic>
              </a:graphicData>
            </a:graphic>
          </wp:inline>
        </w:drawing>
      </w:r>
    </w:p>
    <w:p>
      <w:pPr>
        <w:spacing w:after="160"/>
        <w:jc w:val="center"/>
      </w:pPr>
      <w:r>
        <w:rPr>
          <w:i/>
          <w:color w:val="5A5A5A"/>
          <w:sz w:val="18"/>
        </w:rPr>
        <w:t>Figure 4. Investor and Startup structural coverage by graph variant.</w:t>
      </w:r>
    </w:p>
    <w:p>
      <w:r>
        <w:t>The two structural sources are complementary rather than redundant. Of all role nodes, 10,543 receive information from both founder and acquisition relations, 39,771 are founder-only, 24,443 are acquisition-only, and 402,807 receive neither structural source.</w:t>
      </w:r>
    </w:p>
    <w:p>
      <w:pPr>
        <w:jc w:val="center"/>
      </w:pPr>
      <w:r>
        <w:drawing>
          <wp:inline xmlns:a="http://schemas.openxmlformats.org/drawingml/2006/main" xmlns:pic="http://schemas.openxmlformats.org/drawingml/2006/picture">
            <wp:extent cx="5943600" cy="3253740"/>
            <wp:docPr id="5" name="Picture 5"/>
            <wp:cNvGraphicFramePr>
              <a:graphicFrameLocks noChangeAspect="1"/>
            </wp:cNvGraphicFramePr>
            <a:graphic>
              <a:graphicData uri="http://schemas.openxmlformats.org/drawingml/2006/picture">
                <pic:pic>
                  <pic:nvPicPr>
                    <pic:cNvPr id="0" name="source_overlap.png"/>
                    <pic:cNvPicPr/>
                  </pic:nvPicPr>
                  <pic:blipFill>
                    <a:blip r:embed="rId15"/>
                    <a:stretch>
                      <a:fillRect/>
                    </a:stretch>
                  </pic:blipFill>
                  <pic:spPr>
                    <a:xfrm>
                      <a:off x="0" y="0"/>
                      <a:ext cx="5943600" cy="3253740"/>
                    </a:xfrm>
                    <a:prstGeom prst="rect"/>
                  </pic:spPr>
                </pic:pic>
              </a:graphicData>
            </a:graphic>
          </wp:inline>
        </w:drawing>
      </w:r>
    </w:p>
    <w:p>
      <w:pPr>
        <w:spacing w:after="160"/>
        <w:jc w:val="center"/>
      </w:pPr>
      <w:r>
        <w:rPr>
          <w:i/>
          <w:color w:val="5A5A5A"/>
          <w:sz w:val="18"/>
        </w:rPr>
        <w:t>Figure 5. Complementarity of founder and acquisition structural sources.</w:t>
      </w:r>
    </w:p>
    <w:p>
      <w:r>
        <w:t>T60 coverage is also limited. Among 11,884 unique T60 investors, 864 (7.2703%) have a core structural neighbor. Among 8,992 unique T60 startups, 1,349 (15.0022%) have a core structural neighbor. At the pair level, only 653 held-out pairs (2.9247%) have structural information on both endpoints, while 16,113 (72.1682%) have no structural neighbor on either endpoint.</w:t>
      </w:r>
    </w:p>
    <w:tbl>
      <w:tblPr>
        <w:tblW w:type="auto" w:w="0"/>
        <w:jc w:val="center"/>
        <w:tblLayout w:type="fixed"/>
        <w:tblLook w:firstColumn="1" w:firstRow="1" w:lastColumn="0" w:lastRow="0" w:noHBand="0" w:noVBand="1" w:val="04A0"/>
      </w:tblPr>
      <w:tblGrid>
        <w:gridCol w:w="3389"/>
        <w:gridCol w:w="3389"/>
        <w:gridCol w:w="3389"/>
      </w:tblGrid>
      <w:tr>
        <w:tc>
          <w:tcPr>
            <w:tcW w:type="dxa" w:w="518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T60 pair structural state</w:t>
            </w:r>
          </w:p>
        </w:tc>
        <w:tc>
          <w:tcPr>
            <w:tcW w:type="dxa" w:w="201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Pairs</w:t>
            </w:r>
          </w:p>
        </w:tc>
        <w:tc>
          <w:tcPr>
            <w:tcW w:type="dxa" w:w="201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Share</w:t>
            </w:r>
          </w:p>
        </w:tc>
      </w:tr>
      <w:tr>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Both endpoints connected</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653</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2.9247%</w:t>
            </w:r>
          </w:p>
        </w:tc>
      </w:tr>
      <w:tr>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Investor only connected</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1,798</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8.0530%</w:t>
            </w:r>
          </w:p>
        </w:tc>
      </w:tr>
      <w:tr>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Startup only connected</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3,763</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16.8540%</w:t>
            </w:r>
          </w:p>
        </w:tc>
      </w:tr>
      <w:tr>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Neither endpoint connected</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16,113</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72.1682%</w:t>
            </w:r>
          </w:p>
        </w:tc>
      </w:tr>
      <w:tr>
        <w:tc>
          <w:tcPr>
            <w:tcW w:type="dxa" w:w="5184"/>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At least one endpoint connected</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6,214</w:t>
            </w:r>
          </w:p>
        </w:tc>
        <w:tc>
          <w:tcPr>
            <w:tcW w:type="dxa" w:w="2016"/>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27.8318%</w:t>
            </w:r>
          </w:p>
        </w:tc>
      </w:tr>
    </w:tbl>
    <w:p/>
    <w:p>
      <w:pPr>
        <w:jc w:val="center"/>
      </w:pPr>
      <w:r>
        <w:drawing>
          <wp:inline xmlns:a="http://schemas.openxmlformats.org/drawingml/2006/main" xmlns:pic="http://schemas.openxmlformats.org/drawingml/2006/picture">
            <wp:extent cx="5943600" cy="3253740"/>
            <wp:docPr id="6" name="Picture 6"/>
            <wp:cNvGraphicFramePr>
              <a:graphicFrameLocks noChangeAspect="1"/>
            </wp:cNvGraphicFramePr>
            <a:graphic>
              <a:graphicData uri="http://schemas.openxmlformats.org/drawingml/2006/picture">
                <pic:pic>
                  <pic:nvPicPr>
                    <pic:cNvPr id="0" name="t60_pair_coverage.png"/>
                    <pic:cNvPicPr/>
                  </pic:nvPicPr>
                  <pic:blipFill>
                    <a:blip r:embed="rId16"/>
                    <a:stretch>
                      <a:fillRect/>
                    </a:stretch>
                  </pic:blipFill>
                  <pic:spPr>
                    <a:xfrm>
                      <a:off x="0" y="0"/>
                      <a:ext cx="5943600" cy="3253740"/>
                    </a:xfrm>
                    <a:prstGeom prst="rect"/>
                  </pic:spPr>
                </pic:pic>
              </a:graphicData>
            </a:graphic>
          </wp:inline>
        </w:drawing>
      </w:r>
    </w:p>
    <w:p>
      <w:pPr>
        <w:spacing w:after="160"/>
        <w:jc w:val="center"/>
      </w:pPr>
      <w:r>
        <w:rPr>
          <w:i/>
          <w:color w:val="5A5A5A"/>
          <w:sz w:val="18"/>
        </w:rPr>
        <w:t>Figure 6. Structural information available to the frozen T60 held-out pairs.</w:t>
      </w:r>
    </w:p>
    <w:tbl>
      <w:tblPr>
        <w:tblW w:type="auto" w:w="0"/>
        <w:jc w:val="center"/>
        <w:tblLook w:firstColumn="1" w:firstRow="1" w:lastColumn="0" w:lastRow="0" w:noHBand="0" w:noVBand="1" w:val="04A0"/>
      </w:tblPr>
      <w:tblGrid>
        <w:gridCol w:w="10166"/>
      </w:tblGrid>
      <w:tr>
        <w:tc>
          <w:tcPr>
            <w:tcW w:type="dxa" w:w="10166"/>
            <w:shd w:fill="EAF2F8"/>
            <w:tcBorders>
              <w:top w:val="single" w:sz="6" w:color="666666"/>
              <w:left w:val="single" w:sz="6" w:color="666666"/>
              <w:bottom w:val="single" w:sz="6" w:color="666666"/>
              <w:right w:val="single" w:sz="6" w:color="666666"/>
            </w:tcBorders>
          </w:tcPr>
          <w:p>
            <w:r>
              <w:rPr>
                <w:rFonts w:ascii="Aptos" w:hAnsi="Aptos"/>
                <w:b/>
                <w:sz w:val="21"/>
              </w:rPr>
              <w:t xml:space="preserve">Evaluation implication: </w:t>
            </w:r>
            <w:r>
              <w:rPr>
                <w:rFonts w:ascii="Aptos" w:hAnsi="Aptos"/>
                <w:sz w:val="21"/>
              </w:rPr>
              <w:t>The T60 evaluation set must remain unchanged. node_structural_coverage.parquet should be used later only for diagnostic performance slices such as structurally covered versus isolated investors or pairs; it must not be used to filter the primary test population.</w:t>
            </w:r>
          </w:p>
        </w:tc>
      </w:tr>
    </w:tbl>
    <w:p/>
    <w:p>
      <w:pPr>
        <w:pStyle w:val="Heading1"/>
      </w:pPr>
      <w:r>
        <w:t>12. Final Integrity and Frozen Deliverables</w:t>
      </w:r>
    </w:p>
    <w:p>
      <w:r>
        <w:t>Phase 3.4.3 rechecked the complete chain from canonical interactions through scientific graph materialization and model-ready arrays. Every closure check passed, including canonical counts, node counts, edge counts, typed relation counts, variant-mask reconstruction, T60 pair counts, zero structural leakage, and structural coverage totals.</w:t>
      </w:r>
    </w:p>
    <w:tbl>
      <w:tblPr>
        <w:tblW w:type="auto" w:w="0"/>
        <w:jc w:val="center"/>
        <w:tblLayout w:type="fixed"/>
        <w:tblLook w:firstColumn="1" w:firstRow="1" w:lastColumn="0" w:lastRow="0" w:noHBand="0" w:noVBand="1" w:val="04A0"/>
      </w:tblPr>
      <w:tblGrid>
        <w:gridCol w:w="5083"/>
        <w:gridCol w:w="5083"/>
      </w:tblGrid>
      <w:tr>
        <w:tc>
          <w:tcPr>
            <w:tcW w:type="dxa" w:w="676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Closure check group</w:t>
            </w:r>
          </w:p>
        </w:tc>
        <w:tc>
          <w:tcPr>
            <w:tcW w:type="dxa" w:w="28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9"/>
              </w:rPr>
              <w:t>Result</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Canonical Phase-1 universe</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Role identity / underlying identity</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Scientific node table</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Scientific edge table</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Typed relation vocabulary</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Model-ready node indices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edge_index / edge_type shapes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Graph variant masks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T60 structural leakage</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 (0 records)</w:t>
            </w:r>
          </w:p>
        </w:tc>
      </w:tr>
      <w:tr>
        <w:tc>
          <w:tcPr>
            <w:tcW w:type="dxa" w:w="6768"/>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Structural coverage totals</w:t>
            </w:r>
          </w:p>
        </w:tc>
        <w:tc>
          <w:tcPr>
            <w:tcW w:type="dxa" w:w="28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9"/>
              </w:rPr>
              <w:t>PASS</w:t>
            </w:r>
          </w:p>
        </w:tc>
      </w:tr>
    </w:tbl>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Scientific graph:</w:t>
            </w:r>
            <w:r>
              <w:br/>
            </w:r>
            <w:r>
              <w:rPr>
                <w:rFonts w:ascii="Liberation Mono" w:hAnsi="Liberation Mono"/>
                <w:sz w:val="17"/>
              </w:rPr>
              <w:t xml:space="preserve">  data/experimental/phase_3/graph/nodes.parquet</w:t>
            </w:r>
            <w:r>
              <w:br/>
            </w:r>
            <w:r>
              <w:rPr>
                <w:rFonts w:ascii="Liberation Mono" w:hAnsi="Liberation Mono"/>
                <w:sz w:val="17"/>
              </w:rPr>
              <w:t xml:space="preserve">  data/experimental/phase_3/graph/edges.parquet</w:t>
            </w:r>
            <w:r>
              <w:br/>
            </w:r>
            <w:r>
              <w:rPr>
                <w:rFonts w:ascii="Liberation Mono" w:hAnsi="Liberation Mono"/>
                <w:sz w:val="17"/>
              </w:rPr>
            </w:r>
            <w:r>
              <w:br/>
            </w:r>
            <w:r>
              <w:rPr>
                <w:rFonts w:ascii="Liberation Mono" w:hAnsi="Liberation Mono"/>
                <w:sz w:val="17"/>
              </w:rPr>
              <w:t>Model-ready graph:</w:t>
            </w:r>
            <w:r>
              <w:br/>
            </w:r>
            <w:r>
              <w:rPr>
                <w:rFonts w:ascii="Liberation Mono" w:hAnsi="Liberation Mono"/>
                <w:sz w:val="17"/>
              </w:rPr>
              <w:t xml:space="preserve">  data/experimental/phase_3/model_ready/node_index.parquet</w:t>
            </w:r>
            <w:r>
              <w:br/>
            </w:r>
            <w:r>
              <w:rPr>
                <w:rFonts w:ascii="Liberation Mono" w:hAnsi="Liberation Mono"/>
                <w:sz w:val="17"/>
              </w:rPr>
              <w:t xml:space="preserve">  data/experimental/phase_3/model_ready/relation_index.csv</w:t>
            </w:r>
            <w:r>
              <w:br/>
            </w:r>
            <w:r>
              <w:rPr>
                <w:rFonts w:ascii="Liberation Mono" w:hAnsi="Liberation Mono"/>
                <w:sz w:val="17"/>
              </w:rPr>
              <w:t xml:space="preserve">  data/experimental/phase_3/model_ready/edge_index.npy</w:t>
            </w:r>
            <w:r>
              <w:br/>
            </w:r>
            <w:r>
              <w:rPr>
                <w:rFonts w:ascii="Liberation Mono" w:hAnsi="Liberation Mono"/>
                <w:sz w:val="17"/>
              </w:rPr>
              <w:t xml:space="preserve">  data/experimental/phase_3/model_ready/edge_type.npy</w:t>
            </w:r>
            <w:r>
              <w:br/>
            </w:r>
            <w:r>
              <w:rPr>
                <w:rFonts w:ascii="Liberation Mono" w:hAnsi="Liberation Mono"/>
                <w:sz w:val="17"/>
              </w:rPr>
              <w:t xml:space="preserve">  data/experimental/phase_3/model_ready/edge_manifest.parquet</w:t>
            </w:r>
            <w:r>
              <w:br/>
            </w:r>
            <w:r>
              <w:rPr>
                <w:rFonts w:ascii="Liberation Mono" w:hAnsi="Liberation Mono"/>
                <w:sz w:val="17"/>
              </w:rPr>
              <w:t xml:space="preserve">  data/experimental/phase_3/model_ready/graph_variant_masks.npz</w:t>
            </w:r>
            <w:r>
              <w:br/>
            </w:r>
            <w:r>
              <w:rPr>
                <w:rFonts w:ascii="Liberation Mono" w:hAnsi="Liberation Mono"/>
                <w:sz w:val="17"/>
              </w:rPr>
              <w:t xml:space="preserve">  data/experimental/phase_3/model_ready/model_ready_graph_metadata.json</w:t>
            </w:r>
            <w:r>
              <w:br/>
            </w:r>
            <w:r>
              <w:rPr>
                <w:rFonts w:ascii="Liberation Mono" w:hAnsi="Liberation Mono"/>
                <w:sz w:val="17"/>
              </w:rPr>
              <w:t xml:space="preserve">  data/experimental/phase_3/model_ready/node_structural_coverage.parquet</w:t>
            </w:r>
            <w:r>
              <w:br/>
            </w:r>
            <w:r>
              <w:rPr>
                <w:rFonts w:ascii="Liberation Mono" w:hAnsi="Liberation Mono"/>
                <w:sz w:val="17"/>
              </w:rPr>
              <w:t xml:space="preserve">  data/experimental/phase_3/model_ready/phase_3_closure_manifest.json</w:t>
            </w:r>
          </w:p>
        </w:tc>
      </w:tr>
    </w:tbl>
    <w:p/>
    <w:p>
      <w:pPr>
        <w:pStyle w:val="Heading1"/>
      </w:pPr>
      <w:r>
        <w:t>13. Known Limitations</w:t>
      </w:r>
    </w:p>
    <w:tbl>
      <w:tblPr>
        <w:tblW w:type="auto" w:w="0"/>
        <w:jc w:val="center"/>
        <w:tblLayout w:type="fixed"/>
        <w:tblLook w:firstColumn="1" w:firstRow="1" w:lastColumn="0" w:lastRow="0" w:noHBand="0" w:noVBand="1" w:val="04A0"/>
      </w:tblPr>
      <w:tblGrid>
        <w:gridCol w:w="5083"/>
        <w:gridCol w:w="5083"/>
      </w:tblGrid>
      <w:tr>
        <w:tc>
          <w:tcPr>
            <w:tcW w:type="dxa" w:w="360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Limitation</w:t>
            </w:r>
          </w:p>
        </w:tc>
        <w:tc>
          <w:tcPr>
            <w:tcW w:type="dxa" w:w="6336"/>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8"/>
              </w:rPr>
              <w:t>Phase-3 handling</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Full ITRS 103-relation vocabulary unavailable</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Reproduce disclosed construction principle; do not force 103 relation types.</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Most Tianyancha primitive relationships unavailable in exports</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Exclude unsupported shareholder/control/supplier/client/competitor/shareholding relations rather than approximate them.</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Founder relationships temporally unversioned</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Preserve provenance as current_snapshot_unversioned and disclose possible historical-information leakage as a dataset limitation.</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ACQUIRED is a Crunchbase adaptation</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Label explicitly as an adaptation following the ITRS company-relationship principle.</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Structural graph sparsity</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Retain 402,807 isolates and preserve full canonical recommendation universe.</w:t>
            </w:r>
          </w:p>
        </w:tc>
      </w:tr>
      <w:tr>
        <w:tc>
          <w:tcPr>
            <w:tcW w:type="dxa" w:w="3600"/>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Limited structural information for T60 pairs</w:t>
            </w:r>
          </w:p>
        </w:tc>
        <w:tc>
          <w:tcPr>
            <w:tcW w:type="dxa" w:w="6336"/>
            <w:vAlign w:val="center"/>
            <w:tcBorders>
              <w:top w:val="single" w:sz="6" w:color="000000"/>
              <w:left w:val="single" w:sz="6" w:color="000000"/>
              <w:bottom w:val="single" w:sz="6" w:color="000000"/>
              <w:right w:val="single" w:sz="6" w:color="000000"/>
            </w:tcBorders>
          </w:tcPr>
          <w:p>
            <w:pPr>
              <w:spacing w:after="0" w:before="0"/>
            </w:pPr>
            <w:r>
              <w:rPr>
                <w:rFonts w:ascii="Aptos" w:hAnsi="Aptos"/>
                <w:sz w:val="18"/>
              </w:rPr>
              <w:t>Do not change evaluation set; use structural-coverage slices only as later diagnostics.</w:t>
            </w:r>
          </w:p>
        </w:tc>
      </w:tr>
    </w:tbl>
    <w:p/>
    <w:p>
      <w:pPr>
        <w:pStyle w:val="Heading1"/>
      </w:pPr>
      <w:r>
        <w:t>14. Phase-4 Handoff Constraints</w:t>
      </w:r>
    </w:p>
    <w:p>
      <w:r>
        <w:t>Phase 4 begins from a frozen graph. Model reconstruction may consume or transform the model-ready arrays, but it must not silently change Phase-3 graph semantics.</w:t>
      </w:r>
    </w:p>
    <w:p>
      <w:pPr>
        <w:pStyle w:val="ListNumber"/>
      </w:pPr>
      <w:r>
        <w:t>Do not change the canonical Investor/Startup node universe or remove structural isolates.</w:t>
      </w:r>
    </w:p>
    <w:p>
      <w:pPr>
        <w:pStyle w:val="ListNumber"/>
      </w:pPr>
      <w:r>
        <w:t>Do not merge investor::&lt;uuid&gt; and startup::&lt;uuid&gt; when the same underlying UUID has two semantic roles.</w:t>
      </w:r>
    </w:p>
    <w:p>
      <w:pPr>
        <w:pStyle w:val="ListNumber"/>
      </w:pPr>
      <w:r>
        <w:t>Do not add historical INVESTMENT_EVENT records as structural R-GCN edges unless a separately documented experimental variant is explicitly introduced.</w:t>
      </w:r>
    </w:p>
    <w:p>
      <w:pPr>
        <w:pStyle w:val="ListNumber"/>
      </w:pPr>
      <w:r>
        <w:t>Use the deterministic relation_index.csv mapping; never infer relation semantics from integer IDs alone.</w:t>
      </w:r>
    </w:p>
    <w:p>
      <w:pPr>
        <w:pStyle w:val="ListNumber"/>
      </w:pPr>
      <w:r>
        <w:t>Keep the core graph at 158,818 directed structural edge records unless a named ablation/extension is being evaluated.</w:t>
      </w:r>
    </w:p>
    <w:p>
      <w:pPr>
        <w:pStyle w:val="ListNumber"/>
      </w:pPr>
      <w:r>
        <w:t>Preserve the global T60 underlying-pair leakage mask and keep structural leakage at zero.</w:t>
      </w:r>
    </w:p>
    <w:p>
      <w:pPr>
        <w:pStyle w:val="ListNumber"/>
      </w:pPr>
      <w:r>
        <w:t>Retain temporal provenance: acquisitions are timestamped_pre_T60; founder relations are current_snapshot_unversioned.</w:t>
      </w:r>
    </w:p>
    <w:p>
      <w:pPr>
        <w:pStyle w:val="ListNumber"/>
      </w:pPr>
      <w:r>
        <w:t>Use graph_variant_masks.npz for founder-only and acquisition-only ablations rather than rebuilding the graph differently.</w:t>
      </w:r>
    </w:p>
    <w:p>
      <w:pPr>
        <w:pStyle w:val="ListNumber"/>
      </w:pPr>
      <w:r>
        <w:t>Use node_structural_coverage.parquet only for diagnostic evaluation slices, not for test-set filtering.</w:t>
      </w:r>
    </w:p>
    <w:p>
      <w:pPr>
        <w:pStyle w:val="ListNumber"/>
      </w:pPr>
      <w:r>
        <w:t>Treat Phase-2 temporal interactions as the authoritative investment-event sequence for the model trend component.</w:t>
      </w:r>
    </w:p>
    <w:tbl>
      <w:tblPr>
        <w:tblW w:type="auto" w:w="0"/>
        <w:jc w:val="center"/>
        <w:tblLook w:firstColumn="1" w:firstRow="1" w:lastColumn="0" w:lastRow="0" w:noHBand="0" w:noVBand="1" w:val="04A0"/>
      </w:tblPr>
      <w:tblGrid>
        <w:gridCol w:w="10166"/>
      </w:tblGrid>
      <w:tr>
        <w:tc>
          <w:tcPr>
            <w:tcW w:type="dxa" w:w="10166"/>
            <w:shd w:fill="EAF2F8"/>
            <w:tcBorders>
              <w:top w:val="single" w:sz="6" w:color="666666"/>
              <w:left w:val="single" w:sz="6" w:color="666666"/>
              <w:bottom w:val="single" w:sz="6" w:color="666666"/>
              <w:right w:val="single" w:sz="6" w:color="666666"/>
            </w:tcBorders>
          </w:tcPr>
          <w:p>
            <w:r>
              <w:rPr>
                <w:rFonts w:ascii="Aptos" w:hAnsi="Aptos"/>
                <w:b/>
                <w:sz w:val="21"/>
              </w:rPr>
              <w:t xml:space="preserve">Phase-3 closure status: </w:t>
            </w:r>
            <w:r>
              <w:rPr>
                <w:rFonts w:ascii="Aptos" w:hAnsi="Aptos"/>
                <w:sz w:val="21"/>
              </w:rPr>
              <w:t>COMPLETE. The graph identity, structural relation semantics, node/edge tables, typed relation vocabulary, model-ready indices and arrays, variant masks, leakage policy, temporal provenance, and known limitations are now frozen for Phase 4.</w:t>
            </w:r>
          </w:p>
        </w:tc>
      </w:tr>
    </w:tbl>
    <w:p/>
    <w:p>
      <w:pPr>
        <w:pStyle w:val="Heading1"/>
      </w:pPr>
      <w:r>
        <w:t>Appendix A. Final Typed Relation Vocabulary</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64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ID</w:t>
            </w:r>
          </w:p>
        </w:tc>
        <w:tc>
          <w:tcPr>
            <w:tcW w:type="dxa" w:w="122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Source</w:t>
            </w:r>
          </w:p>
        </w:tc>
        <w:tc>
          <w:tcPr>
            <w:tcW w:type="dxa" w:w="1728"/>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Relation</w:t>
            </w:r>
          </w:p>
        </w:tc>
        <w:tc>
          <w:tcPr>
            <w:tcW w:type="dxa" w:w="122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Target</w:t>
            </w:r>
          </w:p>
        </w:tc>
        <w:tc>
          <w:tcPr>
            <w:tcW w:type="dxa" w:w="4464"/>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Typed relation key</w:t>
            </w:r>
          </w:p>
        </w:tc>
        <w:tc>
          <w:tcPr>
            <w:tcW w:type="dxa" w:w="1080"/>
            <w:vAlign w:val="center"/>
            <w:shd w:fill="D9E2F3"/>
            <w:tcBorders>
              <w:top w:val="single" w:sz="6" w:color="000000"/>
              <w:left w:val="single" w:sz="6" w:color="000000"/>
              <w:bottom w:val="single" w:sz="6" w:color="000000"/>
              <w:right w:val="single" w:sz="6" w:color="000000"/>
            </w:tcBorders>
          </w:tcPr>
          <w:p>
            <w:pPr>
              <w:spacing w:after="0" w:before="0"/>
            </w:pPr>
            <w:r>
              <w:rPr>
                <w:rFonts w:ascii="Aptos" w:hAnsi="Aptos"/>
                <w:b/>
                <w:sz w:val="15"/>
              </w:rPr>
              <w:t>Edges</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0</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acquired_by</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investor|acquired_by|investor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1,565</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acquired_by</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investor|acquired_by|startup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1,271</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2</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investor|acquired|investor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1,565</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3</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investor|acquired|startup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11,427</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4</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shared_founder</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investor|shared_founder|investor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2,460</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5</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shared_founder</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investor|shared_founder|startup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7,768</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6</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acquired_by</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startup|acquired_by|investor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11,427</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7</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acquired_by</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startup|acquired_by|startup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17,737</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8</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startup|acquired|investor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1,271</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9</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acquired</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startup|acquired|startup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17,737</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10</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shared_founder</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investor</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startup|shared_founder|investor</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7,768</w:t>
            </w:r>
          </w:p>
        </w:tc>
      </w:tr>
      <w:tr>
        <w:tc>
          <w:tcPr>
            <w:tcW w:type="dxa" w:w="64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11</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1728"/>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shared_founder</w:t>
            </w:r>
          </w:p>
        </w:tc>
        <w:tc>
          <w:tcPr>
            <w:tcW w:type="dxa" w:w="122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w:t>
            </w:r>
          </w:p>
        </w:tc>
        <w:tc>
          <w:tcPr>
            <w:tcW w:type="dxa" w:w="4464"/>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startup|shared_founder|startup</w:t>
            </w:r>
          </w:p>
        </w:tc>
        <w:tc>
          <w:tcPr>
            <w:tcW w:type="dxa" w:w="1080"/>
            <w:vAlign w:val="center"/>
            <w:tcBorders>
              <w:top w:val="single" w:sz="6" w:color="000000"/>
              <w:left w:val="single" w:sz="6" w:color="000000"/>
              <w:bottom w:val="single" w:sz="6" w:color="000000"/>
              <w:right w:val="single" w:sz="6" w:color="000000"/>
            </w:tcBorders>
          </w:tcPr>
          <w:p>
            <w:pPr>
              <w:spacing w:after="0" w:before="0"/>
            </w:pPr>
            <w:r>
              <w:rPr>
                <w:rFonts w:ascii="Aptos" w:hAnsi="Aptos"/>
                <w:sz w:val="15"/>
              </w:rPr>
              <w:t>76,822</w:t>
            </w:r>
          </w:p>
        </w:tc>
      </w:tr>
    </w:tbl>
    <w:p/>
    <w:p>
      <w:pPr>
        <w:pStyle w:val="Heading1"/>
      </w:pPr>
      <w:r>
        <w:t>Appendix B. Phase-3 Script and Artifact Inventory</w:t>
      </w:r>
    </w:p>
    <w:p>
      <w:r>
        <w:t>Confirmed Phase-3 scripts:</w:t>
      </w:r>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scripts/phase_3_2_1_raw_dataset_schema_inventory.py</w:t>
            </w:r>
            <w:r>
              <w:br/>
            </w:r>
            <w:r>
              <w:rPr>
                <w:rFonts w:ascii="Liberation Mono" w:hAnsi="Liberation Mono"/>
                <w:sz w:val="17"/>
              </w:rPr>
              <w:t>scripts/phase_3_2_2_companies_master_entity_audit.py</w:t>
            </w:r>
            <w:r>
              <w:br/>
            </w:r>
            <w:r>
              <w:rPr>
                <w:rFonts w:ascii="Liberation Mono" w:hAnsi="Liberation Mono"/>
                <w:sz w:val="17"/>
              </w:rPr>
              <w:t>scripts/phase_3_2_3_cross_role_identity_and_company_duplicate_audit.py</w:t>
            </w:r>
            <w:r>
              <w:br/>
            </w:r>
            <w:r>
              <w:rPr>
                <w:rFonts w:ascii="Liberation Mono" w:hAnsi="Liberation Mono"/>
                <w:sz w:val="17"/>
              </w:rPr>
              <w:t>scripts/phase_3_2_4_identity_anomaly_closure_audit.py</w:t>
            </w:r>
            <w:r>
              <w:br/>
            </w:r>
            <w:r>
              <w:rPr>
                <w:rFonts w:ascii="Liberation Mono" w:hAnsi="Liberation Mono"/>
                <w:sz w:val="17"/>
              </w:rPr>
              <w:t>scripts/phase_3_2_5_relationship_source_dataset_discovery.py</w:t>
            </w:r>
            <w:r>
              <w:br/>
            </w:r>
            <w:r>
              <w:rPr>
                <w:rFonts w:ascii="Liberation Mono" w:hAnsi="Liberation Mono"/>
                <w:sz w:val="17"/>
              </w:rPr>
              <w:t>scripts/phase_3_2_6_relationship_source_schema_semantics_audit.py</w:t>
            </w:r>
            <w:r>
              <w:br/>
            </w:r>
            <w:r>
              <w:rPr>
                <w:rFonts w:ascii="Liberation Mono" w:hAnsi="Liberation Mono"/>
                <w:sz w:val="17"/>
              </w:rPr>
              <w:t>scripts/phase_3_2_7_cross_dataset_reference_bridge_audit.py</w:t>
            </w:r>
            <w:r>
              <w:br/>
            </w:r>
            <w:r>
              <w:rPr>
                <w:rFonts w:ascii="Liberation Mono" w:hAnsi="Liberation Mono"/>
                <w:sz w:val="17"/>
              </w:rPr>
              <w:t>scripts/phase_3_2_8_acquisition_endpoint_resolution_audit.py</w:t>
            </w:r>
            <w:r>
              <w:br/>
            </w:r>
            <w:r>
              <w:rPr>
                <w:rFonts w:ascii="Liberation Mono" w:hAnsi="Liberation Mono"/>
                <w:sz w:val="17"/>
              </w:rPr>
              <w:t>scripts/phase_3_2_9_conservative_acquisition_acceptance_audit.py</w:t>
            </w:r>
            <w:r>
              <w:br/>
            </w:r>
            <w:r>
              <w:rPr>
                <w:rFonts w:ascii="Liberation Mono" w:hAnsi="Liberation Mono"/>
                <w:sz w:val="17"/>
              </w:rPr>
              <w:t>scripts/phase_3_2_10_shared_founder_candidate_leakage_audit.py</w:t>
            </w:r>
            <w:r>
              <w:br/>
            </w:r>
            <w:r>
              <w:rPr>
                <w:rFonts w:ascii="Liberation Mono" w:hAnsi="Liberation Mono"/>
                <w:sz w:val="17"/>
              </w:rPr>
              <w:t>scripts/phase_3_2_11_relation_support_matrix_closure.py</w:t>
            </w:r>
            <w:r>
              <w:br/>
            </w:r>
            <w:r>
              <w:rPr>
                <w:rFonts w:ascii="Liberation Mono" w:hAnsi="Liberation Mono"/>
                <w:sz w:val="17"/>
              </w:rPr>
              <w:t>scripts/phase_3_3_1_graph_schema_specification.py</w:t>
            </w:r>
            <w:r>
              <w:br/>
            </w:r>
            <w:r>
              <w:rPr>
                <w:rFonts w:ascii="Liberation Mono" w:hAnsi="Liberation Mono"/>
                <w:sz w:val="17"/>
              </w:rPr>
              <w:t>scripts/phase_3_3_2_graph_node_table_materialization.py</w:t>
            </w:r>
            <w:r>
              <w:br/>
            </w:r>
            <w:r>
              <w:rPr>
                <w:rFonts w:ascii="Liberation Mono" w:hAnsi="Liberation Mono"/>
                <w:sz w:val="17"/>
              </w:rPr>
              <w:t>scripts/phase_3_3_3_structural_edge_table_materialization.py</w:t>
            </w:r>
            <w:r>
              <w:br/>
            </w:r>
            <w:r>
              <w:rPr>
                <w:rFonts w:ascii="Liberation Mono" w:hAnsi="Liberation Mono"/>
                <w:sz w:val="17"/>
              </w:rPr>
              <w:t>scripts/phase_3_4_1_model_ready_graph_encoding.py</w:t>
            </w:r>
            <w:r>
              <w:br/>
            </w:r>
            <w:r>
              <w:rPr>
                <w:rFonts w:ascii="Liberation Mono" w:hAnsi="Liberation Mono"/>
                <w:sz w:val="17"/>
              </w:rPr>
              <w:t>scripts/phase_3_4_2_structural_coverage_relation_degree_audit.py</w:t>
            </w:r>
            <w:r>
              <w:br/>
            </w:r>
            <w:r>
              <w:rPr>
                <w:rFonts w:ascii="Liberation Mono" w:hAnsi="Liberation Mono"/>
                <w:sz w:val="17"/>
              </w:rPr>
              <w:t>scripts/phase_3_4_3_final_integrity_and_closure.py</w:t>
            </w:r>
          </w:p>
        </w:tc>
      </w:tr>
    </w:tbl>
    <w:p/>
    <w:p>
      <w:r>
        <w:t>High-value audit/config outputs:</w:t>
      </w:r>
    </w:p>
    <w:tbl>
      <w:tblPr>
        <w:tblW w:type="auto" w:w="0"/>
        <w:jc w:val="center"/>
        <w:tblLook w:firstColumn="1" w:firstRow="1" w:lastColumn="0" w:lastRow="0" w:noHBand="0" w:noVBand="1" w:val="04A0"/>
      </w:tblPr>
      <w:tblGrid>
        <w:gridCol w:w="10166"/>
      </w:tblGrid>
      <w:tr>
        <w:tc>
          <w:tcPr>
            <w:tcW w:type="dxa" w:w="10166"/>
            <w:shd w:fill="F7F7F7"/>
            <w:tcBorders>
              <w:top w:val="single" w:sz="4" w:color="999999"/>
              <w:left w:val="single" w:sz="4" w:color="999999"/>
              <w:bottom w:val="single" w:sz="4" w:color="999999"/>
              <w:right w:val="single" w:sz="4" w:color="999999"/>
            </w:tcBorders>
          </w:tcPr>
          <w:p>
            <w:pPr>
              <w:spacing w:after="0"/>
            </w:pPr>
            <w:r>
              <w:rPr>
                <w:rFonts w:ascii="Liberation Mono" w:hAnsi="Liberation Mono"/>
                <w:sz w:val="17"/>
              </w:rPr>
              <w:t>configs/phase_3_itrs_graph_schema.json</w:t>
            </w:r>
            <w:r>
              <w:br/>
            </w:r>
            <w:r>
              <w:rPr>
                <w:rFonts w:ascii="Liberation Mono" w:hAnsi="Liberation Mono"/>
                <w:sz w:val="17"/>
              </w:rPr>
              <w:t>data/experimental/phase_3/audits/itrs_crunchbase_relation_support_matrix.csv</w:t>
            </w:r>
            <w:r>
              <w:br/>
            </w:r>
            <w:r>
              <w:rPr>
                <w:rFonts w:ascii="Liberation Mono" w:hAnsi="Liberation Mono"/>
                <w:sz w:val="17"/>
              </w:rPr>
              <w:t>data/experimental/phase_3/audits/crunchbase_relation_source_decision_matrix.csv</w:t>
            </w:r>
            <w:r>
              <w:br/>
            </w:r>
            <w:r>
              <w:rPr>
                <w:rFonts w:ascii="Liberation Mono" w:hAnsi="Liberation Mono"/>
                <w:sz w:val="17"/>
              </w:rPr>
              <w:t>data/experimental/phase_3/audits/phase_3_2_closure_summary.csv</w:t>
            </w:r>
            <w:r>
              <w:br/>
            </w:r>
            <w:r>
              <w:rPr>
                <w:rFonts w:ascii="Liberation Mono" w:hAnsi="Liberation Mono"/>
                <w:sz w:val="17"/>
              </w:rPr>
              <w:t>data/experimental/phase_3/audits/graph_node_identity_summary.csv</w:t>
            </w:r>
            <w:r>
              <w:br/>
            </w:r>
            <w:r>
              <w:rPr>
                <w:rFonts w:ascii="Liberation Mono" w:hAnsi="Liberation Mono"/>
                <w:sz w:val="17"/>
              </w:rPr>
              <w:t>data/experimental/phase_3/audits/graph_edge_integrity_summary.csv</w:t>
            </w:r>
            <w:r>
              <w:br/>
            </w:r>
            <w:r>
              <w:rPr>
                <w:rFonts w:ascii="Liberation Mono" w:hAnsi="Liberation Mono"/>
                <w:sz w:val="17"/>
              </w:rPr>
              <w:t>data/experimental/phase_3/audits/graph_edge_typed_relation_summary.csv</w:t>
            </w:r>
            <w:r>
              <w:br/>
            </w:r>
            <w:r>
              <w:rPr>
                <w:rFonts w:ascii="Liberation Mono" w:hAnsi="Liberation Mono"/>
                <w:sz w:val="17"/>
              </w:rPr>
              <w:t>data/experimental/phase_3/audits/graph_edge_holdout_leakage_audit.csv</w:t>
            </w:r>
            <w:r>
              <w:br/>
            </w:r>
            <w:r>
              <w:rPr>
                <w:rFonts w:ascii="Liberation Mono" w:hAnsi="Liberation Mono"/>
                <w:sz w:val="17"/>
              </w:rPr>
              <w:t>data/experimental/phase_3/audits/graph_variant_node_coverage.csv</w:t>
            </w:r>
            <w:r>
              <w:br/>
            </w:r>
            <w:r>
              <w:rPr>
                <w:rFonts w:ascii="Liberation Mono" w:hAnsi="Liberation Mono"/>
                <w:sz w:val="17"/>
              </w:rPr>
              <w:t>data/experimental/phase_3/audits/structural_source_node_overlap.csv</w:t>
            </w:r>
            <w:r>
              <w:br/>
            </w:r>
            <w:r>
              <w:rPr>
                <w:rFonts w:ascii="Liberation Mono" w:hAnsi="Liberation Mono"/>
                <w:sz w:val="17"/>
              </w:rPr>
              <w:t>data/experimental/phase_3/audits/t60_holdout_endpoint_structural_coverage.csv</w:t>
            </w:r>
            <w:r>
              <w:br/>
            </w:r>
            <w:r>
              <w:rPr>
                <w:rFonts w:ascii="Liberation Mono" w:hAnsi="Liberation Mono"/>
                <w:sz w:val="17"/>
              </w:rPr>
              <w:t>data/experimental/phase_3/audits/t60_holdout_pair_structural_coverage.csv</w:t>
            </w:r>
            <w:r>
              <w:br/>
            </w:r>
            <w:r>
              <w:rPr>
                <w:rFonts w:ascii="Liberation Mono" w:hAnsi="Liberation Mono"/>
                <w:sz w:val="17"/>
              </w:rPr>
              <w:t>data/experimental/phase_3/audits/phase_3_final_integrity_summary.csv</w:t>
            </w:r>
            <w:r>
              <w:br/>
            </w:r>
            <w:r>
              <w:rPr>
                <w:rFonts w:ascii="Liberation Mono" w:hAnsi="Liberation Mono"/>
                <w:sz w:val="17"/>
              </w:rPr>
              <w:t>data/experimental/phase_3/audits/phase_3_final_counts.csv</w:t>
            </w:r>
            <w:r>
              <w:br/>
            </w:r>
            <w:r>
              <w:rPr>
                <w:rFonts w:ascii="Liberation Mono" w:hAnsi="Liberation Mono"/>
                <w:sz w:val="17"/>
              </w:rPr>
              <w:t>data/experimental/phase_3/audits/phase_3_final_relation_vocabulary.csv</w:t>
            </w:r>
            <w:r>
              <w:br/>
            </w:r>
            <w:r>
              <w:rPr>
                <w:rFonts w:ascii="Liberation Mono" w:hAnsi="Liberation Mono"/>
                <w:sz w:val="17"/>
              </w:rPr>
              <w:t>data/experimental/phase_3/audits/phase_3_final_graph_variants.csv</w:t>
            </w:r>
            <w:r>
              <w:br/>
            </w:r>
            <w:r>
              <w:rPr>
                <w:rFonts w:ascii="Liberation Mono" w:hAnsi="Liberation Mono"/>
                <w:sz w:val="17"/>
              </w:rPr>
              <w:t>data/experimental/phase_3/audits/phase_3_known_limitations.csv</w:t>
            </w:r>
          </w:p>
        </w:tc>
      </w:tr>
    </w:tbl>
    <w:p/>
    <w:p>
      <w:pPr>
        <w:pStyle w:val="Heading1"/>
      </w:pPr>
      <w:r>
        <w:t>References</w:t>
      </w:r>
    </w:p>
    <w:p>
      <w:r>
        <w:t>[1] Chen et al. (2021). A Trend-aware Investment Target Recommendation System with Heterogeneous Graph. International Joint Conference on Neural Networks (IJCNN).</w:t>
      </w:r>
    </w:p>
    <w:p>
      <w:r>
        <w:t>Project source: Crunchbase CSV exports audited during Phase 3. The closure report documents only relationships and counts established by the recorded Phase-3 scripts and terminal audits.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05050"/>
        <w:sz w:val="17"/>
      </w:rPr>
      <w:t>ITRS Crunchbase Reproduction | Phase 3 Closure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