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m3brwfeyb6bx"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i w:val="1"/>
                <w:sz w:val="20"/>
                <w:szCs w:val="20"/>
              </w:rPr>
            </w:pPr>
            <w:r w:rsidDel="00000000" w:rsidR="00000000" w:rsidRPr="00000000">
              <w:rPr>
                <w:i w:val="1"/>
                <w:sz w:val="20"/>
                <w:szCs w:val="20"/>
                <w:rtl w:val="0"/>
              </w:rPr>
              <w:t xml:space="preserve">Hasta la fecha se ha avanzado en la fase de planificación y análisis del proyecto RenTools. Se elaboró el documento de Requerimientos de Software (ERS), donde se definieron el propósito, el ámbito del sistema, la visión general, las funciones principales y los riesgos asociados. Además, se desarrolló el cronograma de actividades y recursos, junto con el Plan de Gestión de Riesgos, que permitió identificar, evaluar y establecer estrategias de mitigación para los principales riesgos del proyecto.</w:t>
            </w:r>
          </w:p>
          <w:p w:rsidR="00000000" w:rsidDel="00000000" w:rsidP="00000000" w:rsidRDefault="00000000" w:rsidRPr="00000000" w14:paraId="0000000F">
            <w:pPr>
              <w:spacing w:after="240" w:before="240" w:lineRule="auto"/>
              <w:jc w:val="both"/>
              <w:rPr>
                <w:i w:val="1"/>
                <w:sz w:val="20"/>
                <w:szCs w:val="20"/>
              </w:rPr>
            </w:pPr>
            <w:r w:rsidDel="00000000" w:rsidR="00000000" w:rsidRPr="00000000">
              <w:rPr>
                <w:i w:val="1"/>
                <w:sz w:val="20"/>
                <w:szCs w:val="20"/>
                <w:rtl w:val="0"/>
              </w:rPr>
              <w:t xml:space="preserve">En paralelo, se han definido las actividades relacionadas con el contexto y requerimientos iniciales del sistema, y se ha preparado la base para la construcción de las historias de usuario y backlog, que servirán como guía en la siguiente etapa de diseño y desarrollo. Hasta el momento, los objetivos específicos planteados se han cumplido según lo planificado, sin modificaciones significativas en la metodología.</w:t>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b w:val="1"/>
                <w:i w:val="1"/>
                <w:sz w:val="20"/>
                <w:szCs w:val="20"/>
              </w:rPr>
            </w:pPr>
            <w:r w:rsidDel="00000000" w:rsidR="00000000" w:rsidRPr="00000000">
              <w:rPr>
                <w:i w:val="1"/>
                <w:sz w:val="20"/>
                <w:szCs w:val="20"/>
                <w:rtl w:val="0"/>
              </w:rPr>
              <w:t xml:space="preserve">No se han realizado ajustes a los objetivos específicos del proyecto. Se mantienen vigentes los planteados inicialmente, enfocados en desarrollar un sistema web para la gestión de arriendo de herramientas integrado con Bsale, que optimice la trazabilidad, reduzca errores administrativos y mejore la experiencia de los clientes.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sz w:val="20"/>
                <w:szCs w:val="20"/>
              </w:rPr>
            </w:pPr>
            <w:r w:rsidDel="00000000" w:rsidR="00000000" w:rsidRPr="00000000">
              <w:rPr>
                <w:i w:val="1"/>
                <w:sz w:val="20"/>
                <w:szCs w:val="20"/>
                <w:rtl w:val="0"/>
              </w:rPr>
              <w:t xml:space="preserve">No se han efectuado cambios en la metodología definida. El proyecto continúa utilizando un enfoque ágil basado en SCRUM, con planificación en fases, elaboración de historias de usuario y gestión del backlog, acompañado del uso de herramientas de apoyo como Trello, GitHub y Google Docs.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Como parte del desarrollo del proyecto RenTools, se presentan diversas evidencias que reflejan los avances alcanzados hasta la fecha. En la fase 1 de planificación y análisis se elaboraron los siguientes documentos:</w:t>
            </w:r>
          </w:p>
          <w:p w:rsidR="00000000" w:rsidDel="00000000" w:rsidP="00000000" w:rsidRDefault="00000000" w:rsidRPr="00000000" w14:paraId="00000016">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Análisis de contexto y requerimientos iniciales</w:t>
            </w:r>
            <w:r w:rsidDel="00000000" w:rsidR="00000000" w:rsidRPr="00000000">
              <w:rPr>
                <w:sz w:val="20"/>
                <w:szCs w:val="20"/>
                <w:rtl w:val="0"/>
              </w:rPr>
              <w:t xml:space="preserve">, donde se detalla la situación actual de la Ferretería El Alba, su modelo de negocio y las problemáticas asociadas al arriendo de herramientas, junto con la propuesta de solución.</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Documento ERS (Especificación de Requerimientos de Software)</w:t>
            </w:r>
            <w:r w:rsidDel="00000000" w:rsidR="00000000" w:rsidRPr="00000000">
              <w:rPr>
                <w:sz w:val="20"/>
                <w:szCs w:val="20"/>
                <w:rtl w:val="0"/>
              </w:rPr>
              <w:t xml:space="preserve">, que define el propósito, alcance, visión general, funciones principales, requisitos y riesgos identificados.</w:t>
            </w:r>
          </w:p>
          <w:p w:rsidR="00000000" w:rsidDel="00000000" w:rsidP="00000000" w:rsidRDefault="00000000" w:rsidRPr="00000000" w14:paraId="0000001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Historias de usuario y product backlog inicial</w:t>
            </w:r>
            <w:r w:rsidDel="00000000" w:rsidR="00000000" w:rsidRPr="00000000">
              <w:rPr>
                <w:sz w:val="20"/>
                <w:szCs w:val="20"/>
                <w:rtl w:val="0"/>
              </w:rPr>
              <w:t xml:space="preserve">, que establecen los requerimientos funcionales desde la perspectiva del usuario y su priorización dentro de un enfoque ágil.</w:t>
            </w:r>
          </w:p>
          <w:p w:rsidR="00000000" w:rsidDel="00000000" w:rsidP="00000000" w:rsidRDefault="00000000" w:rsidRPr="00000000" w14:paraId="00000019">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Cronograma de actividades y recursos</w:t>
            </w:r>
            <w:r w:rsidDel="00000000" w:rsidR="00000000" w:rsidRPr="00000000">
              <w:rPr>
                <w:sz w:val="20"/>
                <w:szCs w:val="20"/>
                <w:rtl w:val="0"/>
              </w:rPr>
              <w:t xml:space="preserve">, que organiza las fases, tareas y recursos necesarios para la ejecución del proyecto.</w:t>
            </w:r>
          </w:p>
          <w:p w:rsidR="00000000" w:rsidDel="00000000" w:rsidP="00000000" w:rsidRDefault="00000000" w:rsidRPr="00000000" w14:paraId="0000001A">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Plan de gestión de riesgos,</w:t>
            </w:r>
            <w:r w:rsidDel="00000000" w:rsidR="00000000" w:rsidRPr="00000000">
              <w:rPr>
                <w:sz w:val="20"/>
                <w:szCs w:val="20"/>
                <w:rtl w:val="0"/>
              </w:rPr>
              <w:t xml:space="preserve"> que incluye la identificación, análisis, evaluación y planes de respuesta para mitigar amenazas técnicas, organizativas y externas.</w:t>
            </w:r>
          </w:p>
          <w:p w:rsidR="00000000" w:rsidDel="00000000" w:rsidP="00000000" w:rsidRDefault="00000000" w:rsidRPr="00000000" w14:paraId="0000001B">
            <w:pPr>
              <w:spacing w:after="240" w:before="240" w:lineRule="auto"/>
              <w:jc w:val="both"/>
              <w:rPr>
                <w:sz w:val="20"/>
                <w:szCs w:val="20"/>
              </w:rPr>
            </w:pPr>
            <w:r w:rsidDel="00000000" w:rsidR="00000000" w:rsidRPr="00000000">
              <w:rPr>
                <w:sz w:val="20"/>
                <w:szCs w:val="20"/>
                <w:rtl w:val="0"/>
              </w:rPr>
              <w:t xml:space="preserve">Estas evidencias permiten dar cuenta del avance del proyecto, pues abarcan desde el análisis del problema hasta la planificación detallada del desarrollo, asegurando que las decisiones técnicas y de gestión se basen en una metodología formal.</w:t>
            </w:r>
          </w:p>
          <w:p w:rsidR="00000000" w:rsidDel="00000000" w:rsidP="00000000" w:rsidRDefault="00000000" w:rsidRPr="00000000" w14:paraId="0000001C">
            <w:pPr>
              <w:spacing w:after="240" w:before="240" w:lineRule="auto"/>
              <w:jc w:val="both"/>
              <w:rPr>
                <w:sz w:val="20"/>
                <w:szCs w:val="20"/>
              </w:rPr>
            </w:pPr>
            <w:r w:rsidDel="00000000" w:rsidR="00000000" w:rsidRPr="00000000">
              <w:rPr>
                <w:sz w:val="20"/>
                <w:szCs w:val="20"/>
                <w:rtl w:val="0"/>
              </w:rPr>
              <w:t xml:space="preserve">Para resguardar la calidad del trabajo se ha aplicado un enfoque ágil mediante SCRUM, desglosando el proyecto en fases y sprints, y utilizando herramientas de apoyo como Trello para la gestión de tareas, GitHub para el control de versiones y Google Docs para la colaboración en documentación. Además, cada evidencia se ha elaborado siguiendo buenas prácticas de ingeniería de software, lo que garantiza coherencia, trazabilidad y una base sólida para las etapas siguientes de diseño y desarrollo.</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sdt>
      <w:sdtPr>
        <w:lock w:val="contentLocked"/>
        <w:id w:val="-419852425"/>
        <w:tag w:val="goog_rdk_0"/>
      </w:sdtPr>
      <w:sdtContent>
        <w:tbl>
          <w:tblPr>
            <w:tblStyle w:val="Table3"/>
            <w:tblW w:w="958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b w:val="1"/>
                    <w:color w:val="1f3864"/>
                    <w:sz w:val="28"/>
                    <w:szCs w:val="28"/>
                    <w:rtl w:val="0"/>
                  </w:rPr>
                  <w:t xml:space="preserve">2. Monitoreo del Plan de Trabajo </w:t>
                </w:r>
                <w:r w:rsidDel="00000000" w:rsidR="00000000" w:rsidRPr="00000000">
                  <w:rPr>
                    <w:rtl w:val="0"/>
                  </w:rPr>
                </w:r>
              </w:p>
            </w:tc>
          </w:tr>
          <w:tr>
            <w:trPr>
              <w:cantSplit w:val="0"/>
              <w:trHeight w:val="762.109375" w:hRule="atLeast"/>
              <w:tblHeader w:val="0"/>
            </w:trPr>
            <w:tc>
              <w:tcPr>
                <w:tcBorders>
                  <w:top w:color="bfbfbf" w:space="0" w:sz="8" w:val="single"/>
                  <w:left w:color="bfbfbf" w:space="0" w:sz="8" w:val="single"/>
                  <w:bottom w:color="bfbfbf" w:space="0" w:sz="8" w:val="single"/>
                  <w:right w:color="bfbfbf"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tr>
        </w:tbl>
      </w:sdtContent>
    </w:sdt>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sdt>
      <w:sdtPr>
        <w:lock w:val="contentLocked"/>
        <w:id w:val="567013619"/>
        <w:tag w:val="goog_rdk_1"/>
      </w:sdtPr>
      <w:sdtContent>
        <w:tbl>
          <w:tblPr>
            <w:tblStyle w:val="Table4"/>
            <w:tblW w:w="1065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245"/>
            <w:gridCol w:w="1020"/>
            <w:gridCol w:w="840"/>
            <w:gridCol w:w="1185"/>
            <w:gridCol w:w="1800"/>
            <w:gridCol w:w="1050"/>
            <w:gridCol w:w="1785"/>
            <w:tblGridChange w:id="0">
              <w:tblGrid>
                <w:gridCol w:w="1725"/>
                <w:gridCol w:w="1245"/>
                <w:gridCol w:w="1020"/>
                <w:gridCol w:w="840"/>
                <w:gridCol w:w="1185"/>
                <w:gridCol w:w="1800"/>
                <w:gridCol w:w="1050"/>
                <w:gridCol w:w="1785"/>
              </w:tblGrid>
            </w:tblGridChange>
          </w:tblGrid>
          <w:tr>
            <w:trPr>
              <w:cantSplit w:val="0"/>
              <w:trHeight w:val="440" w:hRule="atLeast"/>
              <w:tblHeader w:val="0"/>
            </w:trPr>
            <w:tc>
              <w:tcPr>
                <w:gridSpan w:val="8"/>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24"/>
                    <w:szCs w:val="24"/>
                  </w:rPr>
                </w:pPr>
                <w:r w:rsidDel="00000000" w:rsidR="00000000" w:rsidRPr="00000000">
                  <w:rPr>
                    <w:color w:val="1f3864"/>
                    <w:sz w:val="18"/>
                    <w:szCs w:val="18"/>
                    <w:rtl w:val="0"/>
                  </w:rPr>
                  <w:t xml:space="preserve">Plan de Trabajo</w:t>
                </w:r>
                <w:r w:rsidDel="00000000" w:rsidR="00000000" w:rsidRPr="00000000">
                  <w:rPr>
                    <w:rtl w:val="0"/>
                  </w:rPr>
                </w:r>
              </w:p>
            </w:tc>
          </w:tr>
          <w:tr>
            <w:trPr>
              <w:cantSplit w:val="0"/>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24"/>
                    <w:szCs w:val="24"/>
                  </w:rPr>
                </w:pPr>
                <w:r w:rsidDel="00000000" w:rsidR="00000000" w:rsidRPr="00000000">
                  <w:rPr>
                    <w:color w:val="1f3864"/>
                    <w:sz w:val="18"/>
                    <w:szCs w:val="18"/>
                    <w:rtl w:val="0"/>
                  </w:rPr>
                  <w:t xml:space="preserve">Competencia o unidades de competencias</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24"/>
                    <w:szCs w:val="24"/>
                  </w:rPr>
                </w:pPr>
                <w:r w:rsidDel="00000000" w:rsidR="00000000" w:rsidRPr="00000000">
                  <w:rPr>
                    <w:color w:val="1f3864"/>
                    <w:sz w:val="18"/>
                    <w:szCs w:val="18"/>
                    <w:rtl w:val="0"/>
                  </w:rPr>
                  <w:t xml:space="preserve">Actividades</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24"/>
                    <w:szCs w:val="24"/>
                  </w:rPr>
                </w:pPr>
                <w:r w:rsidDel="00000000" w:rsidR="00000000" w:rsidRPr="00000000">
                  <w:rPr>
                    <w:color w:val="1f3864"/>
                    <w:sz w:val="18"/>
                    <w:szCs w:val="18"/>
                    <w:rtl w:val="0"/>
                  </w:rPr>
                  <w:t xml:space="preserve">Recursos</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24"/>
                    <w:szCs w:val="24"/>
                  </w:rPr>
                </w:pPr>
                <w:r w:rsidDel="00000000" w:rsidR="00000000" w:rsidRPr="00000000">
                  <w:rPr>
                    <w:color w:val="1f3864"/>
                    <w:sz w:val="18"/>
                    <w:szCs w:val="18"/>
                    <w:rtl w:val="0"/>
                  </w:rPr>
                  <w:t xml:space="preserve">Duración de la actividad</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24"/>
                    <w:szCs w:val="24"/>
                  </w:rPr>
                </w:pPr>
                <w:r w:rsidDel="00000000" w:rsidR="00000000" w:rsidRPr="00000000">
                  <w:rPr>
                    <w:color w:val="1f3864"/>
                    <w:sz w:val="18"/>
                    <w:szCs w:val="18"/>
                    <w:rtl w:val="0"/>
                  </w:rPr>
                  <w:t xml:space="preserve">Responsable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24"/>
                    <w:szCs w:val="24"/>
                  </w:rPr>
                </w:pPr>
                <w:r w:rsidDel="00000000" w:rsidR="00000000" w:rsidRPr="00000000">
                  <w:rPr>
                    <w:color w:val="1f3864"/>
                    <w:sz w:val="18"/>
                    <w:szCs w:val="18"/>
                    <w:rtl w:val="0"/>
                  </w:rPr>
                  <w:t xml:space="preserve">Observaciones</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24"/>
                    <w:szCs w:val="24"/>
                  </w:rPr>
                </w:pPr>
                <w:r w:rsidDel="00000000" w:rsidR="00000000" w:rsidRPr="00000000">
                  <w:rPr>
                    <w:color w:val="1f3864"/>
                    <w:sz w:val="18"/>
                    <w:szCs w:val="18"/>
                    <w:rtl w:val="0"/>
                  </w:rPr>
                  <w:t xml:space="preserve">Estado de avance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95959"/>
                    <w:sz w:val="24"/>
                    <w:szCs w:val="24"/>
                  </w:rPr>
                </w:pPr>
                <w:r w:rsidDel="00000000" w:rsidR="00000000" w:rsidRPr="00000000">
                  <w:rPr>
                    <w:color w:val="1f3864"/>
                    <w:sz w:val="18"/>
                    <w:szCs w:val="18"/>
                    <w:rtl w:val="0"/>
                  </w:rPr>
                  <w:t xml:space="preserve">Ajustes</w:t>
                </w:r>
                <w:r w:rsidDel="00000000" w:rsidR="00000000" w:rsidRPr="00000000">
                  <w:rPr>
                    <w:rtl w:val="0"/>
                  </w:rPr>
                </w:r>
              </w:p>
            </w:tc>
          </w:tr>
          <w:tr>
            <w:trPr>
              <w:cantSplit w:val="0"/>
              <w:trHeight w:val="870" w:hRule="atLeast"/>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Análisis y levantamiento de requerimientos</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Analizar contexto y requerimientos iniciales del proyecto</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2 laptops y Google Docs</w:t>
                  <w:tab/>
                  <w:tab/>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5 días</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Ingeniero Informático 1 e Ingeniero Informático 2</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Requiere recopilar información de la empresa y del problema real para definir correctamente la solución.</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Completado</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Se agregó esta actividad al plan de trabajo ya que inicialmente no estaba incluido. </w:t>
                </w:r>
              </w:p>
            </w:tc>
          </w:tr>
          <w:tr>
            <w:trPr>
              <w:cantSplit w:val="0"/>
              <w:trHeight w:val="1170" w:hRule="atLeast"/>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Especificación de requerimientos de software</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Elaborar documento ERS</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both"/>
                  <w:rPr>
                    <w:sz w:val="20"/>
                    <w:szCs w:val="20"/>
                  </w:rPr>
                </w:pPr>
                <w:r w:rsidDel="00000000" w:rsidR="00000000" w:rsidRPr="00000000">
                  <w:rPr>
                    <w:sz w:val="20"/>
                    <w:szCs w:val="20"/>
                    <w:rtl w:val="0"/>
                  </w:rPr>
                  <w:t xml:space="preserve">2 laptops y Google Docs</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7 días </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both"/>
                  <w:rPr>
                    <w:sz w:val="20"/>
                    <w:szCs w:val="20"/>
                  </w:rPr>
                </w:pPr>
                <w:r w:rsidDel="00000000" w:rsidR="00000000" w:rsidRPr="00000000">
                  <w:rPr>
                    <w:sz w:val="20"/>
                    <w:szCs w:val="20"/>
                    <w:rtl w:val="0"/>
                  </w:rPr>
                  <w:t xml:space="preserve">Ingeniero Informático 1 e Ingeniero Informático 2</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documento requirió varias iteraciones para definir secciones como propósito, ámbito y visión general.</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both"/>
                  <w:rPr>
                    <w:sz w:val="20"/>
                    <w:szCs w:val="20"/>
                  </w:rPr>
                </w:pPr>
                <w:r w:rsidDel="00000000" w:rsidR="00000000" w:rsidRPr="00000000">
                  <w:rPr>
                    <w:sz w:val="20"/>
                    <w:szCs w:val="20"/>
                    <w:rtl w:val="0"/>
                  </w:rPr>
                  <w:t xml:space="preserve">Completado</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ajuste que se hizo fue el tema del tiempo pasando de 2 semanas a una sola para su elaboración. </w:t>
                </w:r>
              </w:p>
            </w:tc>
          </w:tr>
          <w:tr>
            <w:trPr>
              <w:cantSplit w:val="0"/>
              <w:trHeight w:val="1170" w:hRule="atLeast"/>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Análisis funcional bajo metodologías ágiles</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Definir historias de usuario y backlog inicial</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2 laptops, Google Docs y Trello</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7 días</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both"/>
                  <w:rPr>
                    <w:sz w:val="20"/>
                    <w:szCs w:val="20"/>
                  </w:rPr>
                </w:pPr>
                <w:r w:rsidDel="00000000" w:rsidR="00000000" w:rsidRPr="00000000">
                  <w:rPr>
                    <w:sz w:val="20"/>
                    <w:szCs w:val="20"/>
                    <w:rtl w:val="0"/>
                  </w:rPr>
                  <w:t xml:space="preserve">Ingeniero Informático 1 e Ingeniero Informático 2</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Fue necesario priorizar las historias según valor de negocio y esfuerzo técnico.</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both"/>
                  <w:rPr>
                    <w:sz w:val="20"/>
                    <w:szCs w:val="20"/>
                  </w:rPr>
                </w:pPr>
                <w:r w:rsidDel="00000000" w:rsidR="00000000" w:rsidRPr="00000000">
                  <w:rPr>
                    <w:sz w:val="20"/>
                    <w:szCs w:val="20"/>
                    <w:rtl w:val="0"/>
                  </w:rPr>
                  <w:t xml:space="preserve">Completado</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Se agregó esta actividad al plan de trabajo, ya que no estaba incluida inicialmente</w:t>
                </w:r>
              </w:p>
            </w:tc>
          </w:tr>
          <w:tr>
            <w:trPr>
              <w:cantSplit w:val="0"/>
              <w:trHeight w:val="1170" w:hRule="atLeast"/>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Planificación de proyectos de software</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Crear cronograma y asignación de recursos</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both"/>
                  <w:rPr>
                    <w:sz w:val="20"/>
                    <w:szCs w:val="20"/>
                  </w:rPr>
                </w:pPr>
                <w:r w:rsidDel="00000000" w:rsidR="00000000" w:rsidRPr="00000000">
                  <w:rPr>
                    <w:sz w:val="20"/>
                    <w:szCs w:val="20"/>
                    <w:rtl w:val="0"/>
                  </w:rPr>
                  <w:t xml:space="preserve">2 laptops, Google Docs y Trello</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5 días </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both"/>
                  <w:rPr>
                    <w:sz w:val="20"/>
                    <w:szCs w:val="20"/>
                  </w:rPr>
                </w:pPr>
                <w:r w:rsidDel="00000000" w:rsidR="00000000" w:rsidRPr="00000000">
                  <w:rPr>
                    <w:sz w:val="20"/>
                    <w:szCs w:val="20"/>
                    <w:rtl w:val="0"/>
                  </w:rPr>
                  <w:t xml:space="preserve">Ingeniero Informático 1 e Ingeniero Informático 2</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Hubo que definir recursos de software, hardware y servicios en la nube con claridad.</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both"/>
                  <w:rPr>
                    <w:sz w:val="20"/>
                    <w:szCs w:val="20"/>
                  </w:rPr>
                </w:pPr>
                <w:r w:rsidDel="00000000" w:rsidR="00000000" w:rsidRPr="00000000">
                  <w:rPr>
                    <w:sz w:val="20"/>
                    <w:szCs w:val="20"/>
                    <w:rtl w:val="0"/>
                  </w:rPr>
                  <w:t xml:space="preserve">Completado</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both"/>
                  <w:rPr>
                    <w:sz w:val="20"/>
                    <w:szCs w:val="20"/>
                  </w:rPr>
                </w:pPr>
                <w:r w:rsidDel="00000000" w:rsidR="00000000" w:rsidRPr="00000000">
                  <w:rPr>
                    <w:sz w:val="20"/>
                    <w:szCs w:val="20"/>
                    <w:rtl w:val="0"/>
                  </w:rPr>
                  <w:t xml:space="preserve">El ajuste que se hizo fue el tema del tiempo pasando de 1 semana a 5 días para su elaboración. </w:t>
                </w:r>
              </w:p>
            </w:tc>
          </w:tr>
          <w:tr>
            <w:trPr>
              <w:cantSplit w:val="0"/>
              <w:trHeight w:val="1708.9843749999995" w:hRule="atLeast"/>
              <w:tblHeader w:val="0"/>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Gestión de riesgos en proyectos de software</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Crear plan de gestión de riesgos</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both"/>
                  <w:rPr>
                    <w:sz w:val="20"/>
                    <w:szCs w:val="20"/>
                  </w:rPr>
                </w:pPr>
                <w:r w:rsidDel="00000000" w:rsidR="00000000" w:rsidRPr="00000000">
                  <w:rPr>
                    <w:sz w:val="20"/>
                    <w:szCs w:val="20"/>
                    <w:rtl w:val="0"/>
                  </w:rPr>
                  <w:t xml:space="preserve">2 laptops y Google Docs</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4 días</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Ingeniero Informático 1 e Ingeniero Informático 2</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Fue necesario ajustar la tabla de control de riesgos para que se adaptara mejor al alcance del proyecto</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both"/>
                  <w:rPr>
                    <w:sz w:val="20"/>
                    <w:szCs w:val="20"/>
                  </w:rPr>
                </w:pPr>
                <w:r w:rsidDel="00000000" w:rsidR="00000000" w:rsidRPr="00000000">
                  <w:rPr>
                    <w:sz w:val="20"/>
                    <w:szCs w:val="20"/>
                    <w:rtl w:val="0"/>
                  </w:rPr>
                  <w:t xml:space="preserve">Completado</w:t>
                </w:r>
              </w:p>
            </w:tc>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both"/>
                  <w:rPr>
                    <w:sz w:val="20"/>
                    <w:szCs w:val="20"/>
                  </w:rPr>
                </w:pPr>
                <w:r w:rsidDel="00000000" w:rsidR="00000000" w:rsidRPr="00000000">
                  <w:rPr>
                    <w:sz w:val="20"/>
                    <w:szCs w:val="20"/>
                    <w:rtl w:val="0"/>
                  </w:rPr>
                  <w:t xml:space="preserve">El ajuste que se hizo fue el tema del tiempo pasando de 1 semana a 4 días para su elaboración. </w:t>
                </w:r>
              </w:p>
            </w:tc>
          </w:tr>
        </w:tbl>
      </w:sdtContent>
    </w:sdt>
    <w:p w:rsidR="00000000" w:rsidDel="00000000" w:rsidP="00000000" w:rsidRDefault="00000000" w:rsidRPr="00000000" w14:paraId="00000066">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1606.8697916666658"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A">
            <w:pPr>
              <w:jc w:val="both"/>
              <w:rPr>
                <w:b w:val="1"/>
                <w:i w:val="1"/>
                <w:color w:val="548dd4"/>
                <w:sz w:val="20"/>
                <w:szCs w:val="20"/>
              </w:rPr>
            </w:pPr>
            <w:r w:rsidDel="00000000" w:rsidR="00000000" w:rsidRPr="00000000">
              <w:rPr>
                <w:b w:val="1"/>
                <w:color w:val="1f3864"/>
                <w:rtl w:val="0"/>
              </w:rPr>
              <w:t xml:space="preserve">Factores que han facilitado y/o dificultado el desarrollo de mi plan de trabajo</w:t>
            </w:r>
            <w:r w:rsidDel="00000000" w:rsidR="00000000" w:rsidRPr="00000000">
              <w:rPr>
                <w:rtl w:val="0"/>
              </w:rPr>
            </w:r>
          </w:p>
          <w:p w:rsidR="00000000" w:rsidDel="00000000" w:rsidP="00000000" w:rsidRDefault="00000000" w:rsidRPr="00000000" w14:paraId="0000006B">
            <w:pPr>
              <w:spacing w:after="240" w:before="240" w:lineRule="auto"/>
              <w:jc w:val="both"/>
              <w:rPr>
                <w:color w:val="1f3864"/>
              </w:rPr>
            </w:pPr>
            <w:r w:rsidDel="00000000" w:rsidR="00000000" w:rsidRPr="00000000">
              <w:rPr>
                <w:color w:val="1f3864"/>
                <w:rtl w:val="0"/>
              </w:rPr>
              <w:t xml:space="preserve">Entre los aspectos que han facilitado el avance, destaca el uso de herramientas colaborativas como Google Docs y Trello, que han permitido mantener un orden en las actividades, realizar comentarios en tiempo real y asegurar que ambos integrantes del equipo tengan visibilidad del progreso. Asimismo, la distribución equitativa de las tareas y la definición clara de responsabilidades han favorecido el cumplimiento de las actividades dentro de los plazos establecidos.</w:t>
            </w:r>
          </w:p>
          <w:p w:rsidR="00000000" w:rsidDel="00000000" w:rsidP="00000000" w:rsidRDefault="00000000" w:rsidRPr="00000000" w14:paraId="0000006C">
            <w:pPr>
              <w:spacing w:after="240" w:before="240" w:lineRule="auto"/>
              <w:jc w:val="both"/>
              <w:rPr>
                <w:color w:val="1f3864"/>
              </w:rPr>
            </w:pPr>
            <w:r w:rsidDel="00000000" w:rsidR="00000000" w:rsidRPr="00000000">
              <w:rPr>
                <w:color w:val="1f3864"/>
                <w:rtl w:val="0"/>
              </w:rPr>
              <w:t xml:space="preserve">No obstante, también se han presentado dificultades. Una de ellas corresponde a la ausencia física de uno de los integrantes, quien viajó a Estados Unidos por intercambio estudiantil al inicio del segundo semestre. Esto generó problemas de coordinación debido a la diferencia horaria, dificultando la organización de reuniones. Para superar esta situación, el equipo ha optado por mantener una comunicación constante por mensajes y programar reuniones virtuales en horarios compatibles, además de reforzar el uso de comentarios en los documentos compartidos para resolver dudas o registrar cambios.</w:t>
            </w:r>
          </w:p>
          <w:p w:rsidR="00000000" w:rsidDel="00000000" w:rsidP="00000000" w:rsidRDefault="00000000" w:rsidRPr="00000000" w14:paraId="0000006D">
            <w:pPr>
              <w:spacing w:after="240" w:before="240" w:lineRule="auto"/>
              <w:jc w:val="both"/>
              <w:rPr>
                <w:color w:val="1f3864"/>
              </w:rPr>
            </w:pPr>
            <w:r w:rsidDel="00000000" w:rsidR="00000000" w:rsidRPr="00000000">
              <w:rPr>
                <w:color w:val="1f3864"/>
                <w:rtl w:val="0"/>
              </w:rPr>
              <w:t xml:space="preserve">Otra dificultad se relaciona con percances en la práctica profesional de uno de los estudiantes, lo que generó sobrecarga de trabajo y complicó temporalmente su disponibilidad para avanzar con el proyecto. Como medida de solución, se organizaron las tareas de acuerdo con la disponibilidad de cada integrante, asegurando que los objetivos principales continúan cumpliéndose dentro de los plazos planificados.</w:t>
            </w:r>
          </w:p>
          <w:p w:rsidR="00000000" w:rsidDel="00000000" w:rsidP="00000000" w:rsidRDefault="00000000" w:rsidRPr="00000000" w14:paraId="0000006E">
            <w:pPr>
              <w:spacing w:after="240" w:before="240" w:lineRule="auto"/>
              <w:jc w:val="both"/>
              <w:rPr>
                <w:rFonts w:ascii="Calibri" w:cs="Calibri" w:eastAsia="Calibri" w:hAnsi="Calibri"/>
                <w:i w:val="1"/>
                <w:color w:val="548dd4"/>
                <w:sz w:val="20"/>
                <w:szCs w:val="20"/>
              </w:rPr>
            </w:pPr>
            <w:r w:rsidDel="00000000" w:rsidR="00000000" w:rsidRPr="00000000">
              <w:rPr>
                <w:color w:val="1f3864"/>
                <w:rtl w:val="0"/>
              </w:rPr>
              <w:t xml:space="preserve">En conclusión, aunque se han enfrentado obstáculos, la flexibilidad en la organización, el uso de herramientas colaborativas y la comunicación constante han permitido que el proyecto se mantenga en curso y que los ajustes realizados fortalezcan la capacidad del equipo para adaptarse a nuevas condiciones.</w:t>
            </w:r>
            <w:r w:rsidDel="00000000" w:rsidR="00000000" w:rsidRPr="00000000">
              <w:rPr>
                <w:rtl w:val="0"/>
              </w:rPr>
            </w:r>
          </w:p>
        </w:tc>
      </w:tr>
    </w:tbl>
    <w:p w:rsidR="00000000" w:rsidDel="00000000" w:rsidP="00000000" w:rsidRDefault="00000000" w:rsidRPr="00000000" w14:paraId="0000006F">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0">
            <w:pPr>
              <w:jc w:val="both"/>
              <w:rPr>
                <w:b w:val="1"/>
                <w:color w:val="1f3864"/>
              </w:rPr>
            </w:pPr>
            <w:r w:rsidDel="00000000" w:rsidR="00000000" w:rsidRPr="00000000">
              <w:rPr>
                <w:b w:val="1"/>
                <w:color w:val="1f3864"/>
                <w:rtl w:val="0"/>
              </w:rPr>
              <w:t xml:space="preserve">Actividades ajustadas o eliminadas: </w:t>
            </w:r>
          </w:p>
          <w:p w:rsidR="00000000" w:rsidDel="00000000" w:rsidP="00000000" w:rsidRDefault="00000000" w:rsidRPr="00000000" w14:paraId="00000071">
            <w:pPr>
              <w:spacing w:after="240" w:before="240" w:lineRule="auto"/>
              <w:jc w:val="both"/>
              <w:rPr>
                <w:color w:val="1f3864"/>
              </w:rPr>
            </w:pPr>
            <w:r w:rsidDel="00000000" w:rsidR="00000000" w:rsidRPr="00000000">
              <w:rPr>
                <w:color w:val="1f3864"/>
                <w:rtl w:val="0"/>
              </w:rPr>
              <w:t xml:space="preserve">El plan de trabajo del proyecto RenTools experimentó algunos ajustes necesarios para asegurar una mejor organización y cumplimiento de los objetivos planteados.</w:t>
            </w:r>
          </w:p>
          <w:p w:rsidR="00000000" w:rsidDel="00000000" w:rsidP="00000000" w:rsidRDefault="00000000" w:rsidRPr="00000000" w14:paraId="00000072">
            <w:pPr>
              <w:spacing w:after="240" w:before="240" w:lineRule="auto"/>
              <w:jc w:val="both"/>
              <w:rPr>
                <w:color w:val="1f3864"/>
              </w:rPr>
            </w:pPr>
            <w:r w:rsidDel="00000000" w:rsidR="00000000" w:rsidRPr="00000000">
              <w:rPr>
                <w:color w:val="1f3864"/>
                <w:rtl w:val="0"/>
              </w:rPr>
              <w:t xml:space="preserve">En primer lugar, se agregaron dos actividades que no estaban contempladas inicialmente: el análisis de contexto y requerimientos iniciales y la definición de historias de usuario y backlog. Ambas actividades resultaron fundamentales para dar mayor solidez a la fase de planificación y análisis, ya que permitieron comprender en detalle la problemática de la Ferretería El Alba y traducir los requerimientos del sistema en historias de usuario priorizadas bajo un enfoque ágil.</w:t>
            </w:r>
          </w:p>
          <w:p w:rsidR="00000000" w:rsidDel="00000000" w:rsidP="00000000" w:rsidRDefault="00000000" w:rsidRPr="00000000" w14:paraId="00000073">
            <w:pPr>
              <w:spacing w:after="240" w:before="240" w:lineRule="auto"/>
              <w:jc w:val="both"/>
              <w:rPr>
                <w:color w:val="1f3864"/>
              </w:rPr>
            </w:pPr>
            <w:r w:rsidDel="00000000" w:rsidR="00000000" w:rsidRPr="00000000">
              <w:rPr>
                <w:color w:val="1f3864"/>
                <w:rtl w:val="0"/>
              </w:rPr>
              <w:t xml:space="preserve">En segundo lugar, se realizaron ajustes en los tiempos de ejecución de tres actividades. La elaboración del documento ERS, que inicialmente estaba planificada para dos semanas, se redujo a una semana tras reorganizar las tareas y optimizar el trabajo en equipo. De manera similar, la actividad de crear el cronograma y asignación de recursos pasó de una duración de una semana a cinco días, mientras que la de elaborar el plan de gestión de riesgos se redujo de una semana a cuatro días. Estos cambios de tiempo no afectaron negativamente el desarrollo, ya que se sustentaron en una buena coordinación, comunicación constante y un uso efectivo de las herramientas colaborativas (Google Docs y Trello).</w:t>
            </w:r>
          </w:p>
          <w:p w:rsidR="00000000" w:rsidDel="00000000" w:rsidP="00000000" w:rsidRDefault="00000000" w:rsidRPr="00000000" w14:paraId="00000074">
            <w:pPr>
              <w:spacing w:after="240" w:before="240" w:lineRule="auto"/>
              <w:jc w:val="both"/>
              <w:rPr>
                <w:rFonts w:ascii="Calibri" w:cs="Calibri" w:eastAsia="Calibri" w:hAnsi="Calibri"/>
                <w:i w:val="1"/>
                <w:color w:val="548dd4"/>
                <w:sz w:val="20"/>
                <w:szCs w:val="20"/>
              </w:rPr>
            </w:pPr>
            <w:r w:rsidDel="00000000" w:rsidR="00000000" w:rsidRPr="00000000">
              <w:rPr>
                <w:color w:val="1f3864"/>
                <w:rtl w:val="0"/>
              </w:rPr>
              <w:t xml:space="preserve">En conclusión, los ajustes realizados no solo respondieron a necesidades prácticas del proyecto, sino que también fortalecieron la calidad del trabajo, ya que las actividades agregadas aportaron mayor claridad y los cambios en tiempos reflejaron una ejecución más eficiente sin comprometer los entregables.</w:t>
            </w:r>
            <w:r w:rsidDel="00000000" w:rsidR="00000000" w:rsidRPr="00000000">
              <w:rPr>
                <w:rtl w:val="0"/>
              </w:rPr>
            </w:r>
          </w:p>
        </w:tc>
      </w:tr>
    </w:tbl>
    <w:p w:rsidR="00000000" w:rsidDel="00000000" w:rsidP="00000000" w:rsidRDefault="00000000" w:rsidRPr="00000000" w14:paraId="0000007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7">
            <w:pPr>
              <w:jc w:val="both"/>
              <w:rPr>
                <w:i w:val="1"/>
                <w:color w:val="548dd4"/>
                <w:sz w:val="20"/>
                <w:szCs w:val="20"/>
              </w:rPr>
            </w:pPr>
            <w:r w:rsidDel="00000000" w:rsidR="00000000" w:rsidRPr="00000000">
              <w:rPr>
                <w:b w:val="1"/>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78">
            <w:pPr>
              <w:spacing w:after="240" w:before="240" w:lineRule="auto"/>
              <w:jc w:val="both"/>
              <w:rPr>
                <w:sz w:val="20"/>
                <w:szCs w:val="20"/>
              </w:rPr>
            </w:pPr>
            <w:r w:rsidDel="00000000" w:rsidR="00000000" w:rsidRPr="00000000">
              <w:rPr>
                <w:sz w:val="20"/>
                <w:szCs w:val="20"/>
                <w:rtl w:val="0"/>
              </w:rPr>
              <w:t xml:space="preserve">En relación con la fase 1 de planificación y análisis, todas las actividades programadas fueron ejecutadas en los plazos establecidos, por lo que no existen tareas pendientes ni retrasadas en esa etapa.</w:t>
            </w:r>
          </w:p>
          <w:p w:rsidR="00000000" w:rsidDel="00000000" w:rsidP="00000000" w:rsidRDefault="00000000" w:rsidRPr="00000000" w14:paraId="00000079">
            <w:pPr>
              <w:spacing w:after="240" w:before="240" w:lineRule="auto"/>
              <w:jc w:val="both"/>
              <w:rPr>
                <w:sz w:val="20"/>
                <w:szCs w:val="20"/>
              </w:rPr>
            </w:pPr>
            <w:r w:rsidDel="00000000" w:rsidR="00000000" w:rsidRPr="00000000">
              <w:rPr>
                <w:sz w:val="20"/>
                <w:szCs w:val="20"/>
                <w:rtl w:val="0"/>
              </w:rPr>
              <w:t xml:space="preserve">Sin embargo, en el inicio de la fase 2 (diseño y desarrollo) se han presentado algunos leves atrasos en la elaboración de ciertas evidencias, debido principalmente a las dificultades de coordinación entre los integrantes del equipo y a la sobrecarga académica y profesional mencionada anteriormente. Aun así, estas actividades no se encuentran detenidas, sino que se han estado desarrollando de manera progresiva para evitar un impacto mayor en el avance general del proyecto.</w:t>
            </w:r>
          </w:p>
          <w:p w:rsidR="00000000" w:rsidDel="00000000" w:rsidP="00000000" w:rsidRDefault="00000000" w:rsidRPr="00000000" w14:paraId="0000007A">
            <w:pPr>
              <w:spacing w:after="240" w:before="240" w:lineRule="auto"/>
              <w:jc w:val="both"/>
              <w:rPr>
                <w:sz w:val="20"/>
                <w:szCs w:val="20"/>
              </w:rPr>
            </w:pPr>
            <w:r w:rsidDel="00000000" w:rsidR="00000000" w:rsidRPr="00000000">
              <w:rPr>
                <w:sz w:val="20"/>
                <w:szCs w:val="20"/>
                <w:rtl w:val="0"/>
              </w:rPr>
              <w:t xml:space="preserve">Como estrategia para superar estos retrasos, el equipo ha reforzado la comunicación mediante mensajes y comentarios en documentos compartidos, además de reorganizar tareas para distribuir la carga de forma más equilibrada. Con estas medidas se espera regularizar los tiempos de entrega de la fase 2 y asegurar que no se vea comprometida la continuidad del proyecto.</w:t>
            </w:r>
          </w:p>
        </w:tc>
      </w:tr>
    </w:tbl>
    <w:p w:rsidR="00000000" w:rsidDel="00000000" w:rsidP="00000000" w:rsidRDefault="00000000" w:rsidRPr="00000000" w14:paraId="0000007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t1BYsmbbnLk/fjkw2P4wSx9oGQ==">CgMxLjAaHwoBMBIaChgICVIUChJ0YWJsZS5qaG4zeXhwdnA5eDYaHwoBMRIaChgICVIUChJ0YWJsZS5zZWcwZWE5b3hndnUyDmgubTNicndmZXliNmJ4OAByITFYS2RQRFV4ejFCVEp4UFBOY2d6R2IzbDJkTU4wXzJDbw==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