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2563EB"/>
          <w:sz w:val="22"/>
        </w:rPr>
        <w:t>PROYECTO DE TESIS — DOCUMENTACIÓN TÉCNICA Y METODOLÓGICA</w:t>
        <w:br/>
      </w:r>
      <w:r>
        <w:rPr>
          <w:rFonts w:ascii="Calibri" w:hAnsi="Calibri"/>
          <w:b/>
          <w:color w:val="0F172A"/>
          <w:sz w:val="40"/>
        </w:rPr>
        <w:t>GUÍA EXPLICATIVA DEL MÓDULO DE REABASTECIMIENTO Y MODELOS PREDICTIVOS</w:t>
      </w:r>
    </w:p>
    <w:p>
      <w:pPr>
        <w:spacing w:after="480"/>
        <w:jc w:val="center"/>
      </w:pPr>
      <w:r>
        <w:rPr>
          <w:i/>
          <w:color w:val="64748B"/>
          <w:sz w:val="19"/>
        </w:rPr>
        <w:t>Sistema OperaStock · Control Predictivo de Compras e Inventario</w:t>
        <w:br/>
        <w:t>Moneda de Costeo: Soles (S/) · Cobertura Geográfica: Perú</w:t>
      </w:r>
    </w:p>
    <w:p>
      <w:pPr>
        <w:pStyle w:val="Heading1"/>
      </w:pPr>
      <w:r>
        <w:t>1. Resumen Ejecutivo y Flujo General del Sistema</w:t>
      </w:r>
    </w:p>
    <w:p>
      <w:pPr>
        <w:spacing w:after="200"/>
      </w:pPr>
      <w:r>
        <w:t>El módulo de abastecimiento de OperaStock fue diseñado para resolver el problema crítico de gestión de inventarios en plantas de producción: determinar el momento exacto (¿Cuándo comprar?) y la cantidad óptima (¿Cuánto comprar?) de materias primas sin incurrir en paradas de planta por desabastecimiento ni en sobrecostos por exceso de almacenamiento.</w:t>
      </w:r>
    </w:p>
    <w:p>
      <w:pPr>
        <w:pStyle w:val="Heading2"/>
      </w:pPr>
      <w:r>
        <w:t>1.1. Flujo Metodológico en 7 Pasos</w:t>
      </w:r>
    </w:p>
    <w:p>
      <w:pPr>
        <w:pStyle w:val="ListBullet"/>
        <w:spacing w:after="80"/>
      </w:pPr>
      <w:r>
        <w:rPr>
          <w:b/>
          <w:color w:val="0F172A"/>
        </w:rPr>
        <w:t xml:space="preserve">1. Registro de Consumos Reales: </w:t>
      </w:r>
      <w:r>
        <w:t>El sistema captura diariamente el insumo consumido en cada producción confirmada.</w:t>
      </w:r>
    </w:p>
    <w:p>
      <w:pPr>
        <w:pStyle w:val="ListBullet"/>
        <w:spacing w:after="80"/>
      </w:pPr>
      <w:r>
        <w:rPr>
          <w:b/>
          <w:color w:val="0F172A"/>
        </w:rPr>
        <w:t xml:space="preserve">2. Filtrado de Anomalías (IQR): </w:t>
      </w:r>
      <w:r>
        <w:t>Se aíslan valores atípicos mediante el Rango Intercuartílico para evitar sesgar las predicciones.</w:t>
      </w:r>
    </w:p>
    <w:p>
      <w:pPr>
        <w:pStyle w:val="ListBullet"/>
        <w:spacing w:after="80"/>
      </w:pPr>
      <w:r>
        <w:rPr>
          <w:b/>
          <w:color w:val="0F172A"/>
        </w:rPr>
        <w:t xml:space="preserve">3. Competencia Multimodelo en Paralelo: </w:t>
      </w:r>
      <w:r>
        <w:t>Se entrenan 4 modelos (Random Forest, SARIMA, Holt-Winters y Promedio Móvil) sobre el 80% de los datos.</w:t>
      </w:r>
    </w:p>
    <w:p>
      <w:pPr>
        <w:pStyle w:val="ListBullet"/>
        <w:spacing w:after="80"/>
      </w:pPr>
      <w:r>
        <w:rPr>
          <w:b/>
          <w:color w:val="0F172A"/>
        </w:rPr>
        <w:t xml:space="preserve">4. Evaluación y Selección Óptima: </w:t>
      </w:r>
      <w:r>
        <w:t>Se valida el desempeño de los 4 modelos sobre el 20% restante (Holdout Chronological) y se selecciona el de menor RMSE.</w:t>
      </w:r>
    </w:p>
    <w:p>
      <w:pPr>
        <w:pStyle w:val="ListBullet"/>
        <w:spacing w:after="80"/>
      </w:pPr>
      <w:r>
        <w:rPr>
          <w:b/>
          <w:color w:val="0F172A"/>
        </w:rPr>
        <w:t xml:space="preserve">5. Cálculo de Stock de Seguridad (SS): </w:t>
      </w:r>
      <w:r>
        <w:t>Se determina el colchón de reserva dinámico en función de la desviación estándar y el tiempo de entrega del proveedor.</w:t>
      </w:r>
    </w:p>
    <w:p>
      <w:pPr>
        <w:pStyle w:val="ListBullet"/>
        <w:spacing w:after="80"/>
      </w:pPr>
      <w:r>
        <w:rPr>
          <w:b/>
          <w:color w:val="0F172A"/>
        </w:rPr>
        <w:t xml:space="preserve">6. Alerta de Punto de Reorden (ROP): </w:t>
      </w:r>
      <w:r>
        <w:t>Se compara el Stock Utilizable actual contra el ROP. Si Stock ≤ ROP, se dispara la sugerencia de compra.</w:t>
      </w:r>
    </w:p>
    <w:p>
      <w:pPr>
        <w:pStyle w:val="ListBullet"/>
        <w:spacing w:after="80"/>
      </w:pPr>
      <w:r>
        <w:rPr>
          <w:b/>
          <w:color w:val="0F172A"/>
        </w:rPr>
        <w:t xml:space="preserve">7. Ajuste Comercial y Gobernanza: </w:t>
      </w:r>
      <w:r>
        <w:t>Se aplica el MOQ y múltiplos del proveedor en Soles (S/). El usuario puede editar la cantidad antes de aprobar la orden de compra.</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before="80" w:after="80"/>
            </w:pPr>
            <w:r>
              <w:rPr>
                <w:rFonts w:ascii="Calibri" w:hAnsi="Calibri"/>
                <w:b/>
                <w:color w:val="16A34A"/>
                <w:sz w:val="21"/>
              </w:rPr>
              <w:t>📌 APORTE DE TESIS</w:t>
              <w:br/>
            </w:r>
            <w:r>
              <w:rPr>
                <w:rFonts w:ascii="Calibri" w:hAnsi="Calibri"/>
                <w:color w:val="334155"/>
                <w:sz w:val="20"/>
              </w:rPr>
              <w:t>Esta arquitectura garantiza que la planta nunca dependa de la intuición o de cálculos estáticos. Si los consumos se vuelven estables, el modelo ajusta el stock a la baja para ahorrar capital; si hay picos, el algoritmo reacciona ampliando la cobertura de protección.</w:t>
            </w:r>
          </w:p>
        </w:tc>
      </w:tr>
    </w:tbl>
    <w:p/>
    <w:p>
      <w:pPr>
        <w:pStyle w:val="Heading1"/>
      </w:pPr>
      <w:r>
        <w:t>2. Explicación Detallada de los 4 Modelos Predictivos</w:t>
      </w:r>
    </w:p>
    <w:p>
      <w:r>
        <w:t>A diferencia de los software comerciales tradicionales que aplican una fórmula fija para todos los insumos, OperaStock ejecuta un esquema competitivo de 4 algoritmos adaptativos:</w:t>
      </w:r>
    </w:p>
    <w:p>
      <w:pPr>
        <w:pStyle w:val="Heading2"/>
      </w:pPr>
      <w:r>
        <w:t>2.1. Random Forest Regressor (Machine Learning)</w:t>
      </w:r>
    </w:p>
    <w:p>
      <w:r>
        <w:t>Random Forest es un algoritmo de aprendizaje supervisado basado en un ensamble de múltiples árboles de decisión. Para predecir el consumo futuro, el modelo genera cientos de árboles independientes entrenados con subconjuntos aleatorios de datos y promedia sus resultados para reducir la variancia.</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pPr>
              <w:spacing w:after="40"/>
            </w:pPr>
            <w:r>
              <w:rPr>
                <w:b/>
                <w:sz w:val="19"/>
              </w:rPr>
              <w:t>Ecuación / Lógica de Ensamble</w:t>
            </w:r>
          </w:p>
        </w:tc>
        <w:tc>
          <w:tcPr>
            <w:tcW w:type="dxa" w:w="6192"/>
            <w:tcMar>
              <w:top w:w="80" w:type="dxa"/>
              <w:bottom w:w="80" w:type="dxa"/>
              <w:left w:w="100" w:type="dxa"/>
              <w:right w:w="100" w:type="dxa"/>
            </w:tcMar>
          </w:tcPr>
          <w:p>
            <w:pPr>
              <w:spacing w:after="40"/>
            </w:pPr>
            <w:r>
              <w:rPr>
                <w:sz w:val="19"/>
              </w:rPr>
              <w:t>y_hat = (1 / B) * Σ T_b(x)   [Promedio de las predicciones de B árboles]</w:t>
            </w:r>
          </w:p>
        </w:tc>
      </w:tr>
      <w:tr>
        <w:tc>
          <w:tcPr>
            <w:tcW w:type="dxa" w:w="3168"/>
            <w:shd w:fill="F1F5F9"/>
            <w:tcMar>
              <w:top w:w="80" w:type="dxa"/>
              <w:bottom w:w="80" w:type="dxa"/>
              <w:left w:w="100" w:type="dxa"/>
              <w:right w:w="100" w:type="dxa"/>
            </w:tcMar>
          </w:tcPr>
          <w:p>
            <w:pPr>
              <w:spacing w:after="40"/>
            </w:pPr>
            <w:r>
              <w:rPr>
                <w:b/>
                <w:sz w:val="19"/>
              </w:rPr>
              <w:t>Features (Variables de Entrada)</w:t>
            </w:r>
          </w:p>
        </w:tc>
        <w:tc>
          <w:tcPr>
            <w:tcW w:type="dxa" w:w="6192"/>
            <w:tcMar>
              <w:top w:w="80" w:type="dxa"/>
              <w:bottom w:w="80" w:type="dxa"/>
              <w:left w:w="100" w:type="dxa"/>
              <w:right w:w="100" w:type="dxa"/>
            </w:tcMar>
          </w:tcPr>
          <w:p>
            <w:pPr>
              <w:spacing w:after="40"/>
            </w:pPr>
            <w:r>
              <w:rPr>
                <w:sz w:val="19"/>
              </w:rPr>
              <w:t>Consumos pasados en t-7, t-14, t-21, t-30 días, promedios móviles y desviación estándar.</w:t>
            </w:r>
          </w:p>
        </w:tc>
      </w:tr>
      <w:tr>
        <w:tc>
          <w:tcPr>
            <w:tcW w:type="dxa" w:w="3168"/>
            <w:shd w:fill="F1F5F9"/>
            <w:tcMar>
              <w:top w:w="80" w:type="dxa"/>
              <w:bottom w:w="80" w:type="dxa"/>
              <w:left w:w="100" w:type="dxa"/>
              <w:right w:w="100" w:type="dxa"/>
            </w:tcMar>
          </w:tcPr>
          <w:p>
            <w:pPr>
              <w:spacing w:after="40"/>
            </w:pPr>
            <w:r>
              <w:rPr>
                <w:b/>
                <w:sz w:val="19"/>
              </w:rPr>
              <w:t>Parámetros en OperaStock</w:t>
            </w:r>
          </w:p>
        </w:tc>
        <w:tc>
          <w:tcPr>
            <w:tcW w:type="dxa" w:w="6192"/>
            <w:tcMar>
              <w:top w:w="80" w:type="dxa"/>
              <w:bottom w:w="80" w:type="dxa"/>
              <w:left w:w="100" w:type="dxa"/>
              <w:right w:w="100" w:type="dxa"/>
            </w:tcMar>
          </w:tcPr>
          <w:p>
            <w:pPr>
              <w:spacing w:after="40"/>
            </w:pPr>
            <w:r>
              <w:rPr>
                <w:sz w:val="19"/>
              </w:rPr>
              <w:t>n_estimators=100, max_depth=8, min_samples_leaf=2, random_state=42.</w:t>
            </w:r>
          </w:p>
        </w:tc>
      </w:tr>
      <w:tr>
        <w:tc>
          <w:tcPr>
            <w:tcW w:type="dxa" w:w="3168"/>
            <w:shd w:fill="F1F5F9"/>
            <w:tcMar>
              <w:top w:w="80" w:type="dxa"/>
              <w:bottom w:w="80" w:type="dxa"/>
              <w:left w:w="100" w:type="dxa"/>
              <w:right w:w="100" w:type="dxa"/>
            </w:tcMar>
          </w:tcPr>
          <w:p>
            <w:pPr>
              <w:spacing w:after="40"/>
            </w:pPr>
            <w:r>
              <w:rPr>
                <w:b/>
                <w:sz w:val="19"/>
              </w:rPr>
              <w:t>¿Por qué se utiliza en la tesis?</w:t>
            </w:r>
          </w:p>
        </w:tc>
        <w:tc>
          <w:tcPr>
            <w:tcW w:type="dxa" w:w="6192"/>
            <w:tcMar>
              <w:top w:w="80" w:type="dxa"/>
              <w:bottom w:w="80" w:type="dxa"/>
              <w:left w:w="100" w:type="dxa"/>
              <w:right w:w="100" w:type="dxa"/>
            </w:tcMar>
          </w:tcPr>
          <w:p>
            <w:pPr>
              <w:spacing w:after="40"/>
            </w:pPr>
            <w:r>
              <w:rPr>
                <w:sz w:val="19"/>
              </w:rPr>
              <w:t>Captura relaciones complejas no lineales que los modelos estadísticos lineales no pueden detectar.</w:t>
            </w:r>
          </w:p>
        </w:tc>
      </w:tr>
    </w:tbl>
    <w:p/>
    <w:p>
      <w:pPr>
        <w:pStyle w:val="Heading2"/>
      </w:pPr>
      <w:r>
        <w:t>2.2. SARIMA (Seasonal AutoRegressive Integrated Moving Average)</w:t>
      </w:r>
    </w:p>
    <w:p>
      <w:r>
        <w:t>SARIMA es el modelo estadístico por excelencia para series de tiempo temporales con comportamiento cíclico. Combina componentes autorregresivos (AR), diferenciación de integración (I) para volver la serie estacionaria, y componentes de promedio móvil (MA), tanto a nivel ordinario como estacional.</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pPr>
              <w:spacing w:after="40"/>
            </w:pPr>
            <w:r>
              <w:rPr>
                <w:b/>
                <w:sz w:val="19"/>
              </w:rPr>
              <w:t>Ecuación General</w:t>
            </w:r>
          </w:p>
        </w:tc>
        <w:tc>
          <w:tcPr>
            <w:tcW w:type="dxa" w:w="6192"/>
            <w:tcMar>
              <w:top w:w="80" w:type="dxa"/>
              <w:bottom w:w="80" w:type="dxa"/>
              <w:left w:w="100" w:type="dxa"/>
              <w:right w:w="100" w:type="dxa"/>
            </w:tcMar>
          </w:tcPr>
          <w:p>
            <w:pPr>
              <w:spacing w:after="40"/>
            </w:pPr>
            <w:r>
              <w:rPr>
                <w:sz w:val="19"/>
              </w:rPr>
              <w:t>Φ_P(B^s) * φ_p(B) * (1-B)^d * (1-B^s)^D * y_t = Θ_Q(B^s) * θ_q(B) * ε_t</w:t>
            </w:r>
          </w:p>
        </w:tc>
      </w:tr>
      <w:tr>
        <w:tc>
          <w:tcPr>
            <w:tcW w:type="dxa" w:w="3168"/>
            <w:shd w:fill="F1F5F9"/>
            <w:tcMar>
              <w:top w:w="80" w:type="dxa"/>
              <w:bottom w:w="80" w:type="dxa"/>
              <w:left w:w="100" w:type="dxa"/>
              <w:right w:w="100" w:type="dxa"/>
            </w:tcMar>
          </w:tcPr>
          <w:p>
            <w:pPr>
              <w:spacing w:after="40"/>
            </w:pPr>
            <w:r>
              <w:rPr>
                <w:b/>
                <w:sz w:val="19"/>
              </w:rPr>
              <w:t>Parámetros Ordinarios (p, d, q)</w:t>
            </w:r>
          </w:p>
        </w:tc>
        <w:tc>
          <w:tcPr>
            <w:tcW w:type="dxa" w:w="6192"/>
            <w:tcMar>
              <w:top w:w="80" w:type="dxa"/>
              <w:bottom w:w="80" w:type="dxa"/>
              <w:left w:w="100" w:type="dxa"/>
              <w:right w:w="100" w:type="dxa"/>
            </w:tcMar>
          </w:tcPr>
          <w:p>
            <w:pPr>
              <w:spacing w:after="40"/>
            </w:pPr>
            <w:r>
              <w:rPr>
                <w:sz w:val="19"/>
              </w:rPr>
              <w:t>order = (1, 1, 1) -&gt; 1 término autorregresivo, 1 diferenciación, 1 término MA.</w:t>
            </w:r>
          </w:p>
        </w:tc>
      </w:tr>
      <w:tr>
        <w:tc>
          <w:tcPr>
            <w:tcW w:type="dxa" w:w="3168"/>
            <w:shd w:fill="F1F5F9"/>
            <w:tcMar>
              <w:top w:w="80" w:type="dxa"/>
              <w:bottom w:w="80" w:type="dxa"/>
              <w:left w:w="100" w:type="dxa"/>
              <w:right w:w="100" w:type="dxa"/>
            </w:tcMar>
          </w:tcPr>
          <w:p>
            <w:pPr>
              <w:spacing w:after="40"/>
            </w:pPr>
            <w:r>
              <w:rPr>
                <w:b/>
                <w:sz w:val="19"/>
              </w:rPr>
              <w:t>Parámetros Estacionales (P, D, Q)_s</w:t>
            </w:r>
          </w:p>
        </w:tc>
        <w:tc>
          <w:tcPr>
            <w:tcW w:type="dxa" w:w="6192"/>
            <w:tcMar>
              <w:top w:w="80" w:type="dxa"/>
              <w:bottom w:w="80" w:type="dxa"/>
              <w:left w:w="100" w:type="dxa"/>
              <w:right w:w="100" w:type="dxa"/>
            </w:tcMar>
          </w:tcPr>
          <w:p>
            <w:pPr>
              <w:spacing w:after="40"/>
            </w:pPr>
            <w:r>
              <w:rPr>
                <w:sz w:val="19"/>
              </w:rPr>
              <w:t>seasonal_order = (1, 0, 1, 7) -&gt; Período estacional de 7 días (semanal).</w:t>
            </w:r>
          </w:p>
        </w:tc>
      </w:tr>
      <w:tr>
        <w:tc>
          <w:tcPr>
            <w:tcW w:type="dxa" w:w="3168"/>
            <w:shd w:fill="F1F5F9"/>
            <w:tcMar>
              <w:top w:w="80" w:type="dxa"/>
              <w:bottom w:w="80" w:type="dxa"/>
              <w:left w:w="100" w:type="dxa"/>
              <w:right w:w="100" w:type="dxa"/>
            </w:tcMar>
          </w:tcPr>
          <w:p>
            <w:pPr>
              <w:spacing w:after="40"/>
            </w:pPr>
            <w:r>
              <w:rPr>
                <w:b/>
                <w:sz w:val="19"/>
              </w:rPr>
              <w:t>¿Por qué se utiliza en la tesis?</w:t>
            </w:r>
          </w:p>
        </w:tc>
        <w:tc>
          <w:tcPr>
            <w:tcW w:type="dxa" w:w="6192"/>
            <w:tcMar>
              <w:top w:w="80" w:type="dxa"/>
              <w:bottom w:w="80" w:type="dxa"/>
              <w:left w:w="100" w:type="dxa"/>
              <w:right w:w="100" w:type="dxa"/>
            </w:tcMar>
          </w:tcPr>
          <w:p>
            <w:pPr>
              <w:spacing w:after="40"/>
            </w:pPr>
            <w:r>
              <w:rPr>
                <w:sz w:val="19"/>
              </w:rPr>
              <w:t>Modela con precisión patrones estacionales repetitivos (ej. aumentos de consumo los viernes).</w:t>
            </w:r>
          </w:p>
        </w:tc>
      </w:tr>
    </w:tbl>
    <w:p/>
    <w:p>
      <w:pPr>
        <w:pStyle w:val="Heading2"/>
      </w:pPr>
      <w:r>
        <w:t>2.3. Holt-Winters (Suavizado Exponencial Triple)</w:t>
      </w:r>
    </w:p>
    <w:p>
      <w:r>
        <w:t>El modelo de Holt-Winters descompone la demanda histórica en tres componentes dinámicos: el nivel base (ℓ_t), la tendencia (b_t) y la estacionalidad (s_t). Aplica factores de suavizado exponencial que le otorgan mayor peso a los datos más recientes.</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pPr>
              <w:spacing w:after="40"/>
            </w:pPr>
            <w:r>
              <w:rPr>
                <w:b/>
                <w:sz w:val="19"/>
              </w:rPr>
              <w:t>Ecuaciones de Suavizado</w:t>
            </w:r>
          </w:p>
        </w:tc>
        <w:tc>
          <w:tcPr>
            <w:tcW w:type="dxa" w:w="6192"/>
            <w:tcMar>
              <w:top w:w="80" w:type="dxa"/>
              <w:bottom w:w="80" w:type="dxa"/>
              <w:left w:w="100" w:type="dxa"/>
              <w:right w:w="100" w:type="dxa"/>
            </w:tcMar>
          </w:tcPr>
          <w:p>
            <w:pPr>
              <w:spacing w:after="40"/>
            </w:pPr>
            <w:r>
              <w:rPr>
                <w:sz w:val="19"/>
              </w:rPr>
              <w:t>Nivel: ℓ_t = α(y_t - s_{t-m}) + (1-α)(ℓ_{t-1} + b_{t-1})</w:t>
              <w:br/>
              <w:t>Tendencia: b_t = β(ℓ_t - ℓ_{t-1}) + (1-β)b_{t-1}</w:t>
              <w:br/>
              <w:t>Estacionalidad: s_t = γ(y_t - ℓ_{t-1} - b_{t-1}) + (1-γ)s_{t-m}</w:t>
            </w:r>
          </w:p>
        </w:tc>
      </w:tr>
      <w:tr>
        <w:tc>
          <w:tcPr>
            <w:tcW w:type="dxa" w:w="3168"/>
            <w:shd w:fill="F1F5F9"/>
            <w:tcMar>
              <w:top w:w="80" w:type="dxa"/>
              <w:bottom w:w="80" w:type="dxa"/>
              <w:left w:w="100" w:type="dxa"/>
              <w:right w:w="100" w:type="dxa"/>
            </w:tcMar>
          </w:tcPr>
          <w:p>
            <w:pPr>
              <w:spacing w:after="40"/>
            </w:pPr>
            <w:r>
              <w:rPr>
                <w:b/>
                <w:sz w:val="19"/>
              </w:rPr>
              <w:t>Ecuación de Pronóstico</w:t>
            </w:r>
          </w:p>
        </w:tc>
        <w:tc>
          <w:tcPr>
            <w:tcW w:type="dxa" w:w="6192"/>
            <w:tcMar>
              <w:top w:w="80" w:type="dxa"/>
              <w:bottom w:w="80" w:type="dxa"/>
              <w:left w:w="100" w:type="dxa"/>
              <w:right w:w="100" w:type="dxa"/>
            </w:tcMar>
          </w:tcPr>
          <w:p>
            <w:pPr>
              <w:spacing w:after="40"/>
            </w:pPr>
            <w:r>
              <w:rPr>
                <w:sz w:val="19"/>
              </w:rPr>
              <w:t>y_hat_{t+h} = ℓ_t + h * b_t + s_{t+h-m(k+1)}</w:t>
            </w:r>
          </w:p>
        </w:tc>
      </w:tr>
      <w:tr>
        <w:tc>
          <w:tcPr>
            <w:tcW w:type="dxa" w:w="3168"/>
            <w:shd w:fill="F1F5F9"/>
            <w:tcMar>
              <w:top w:w="80" w:type="dxa"/>
              <w:bottom w:w="80" w:type="dxa"/>
              <w:left w:w="100" w:type="dxa"/>
              <w:right w:w="100" w:type="dxa"/>
            </w:tcMar>
          </w:tcPr>
          <w:p>
            <w:pPr>
              <w:spacing w:after="40"/>
            </w:pPr>
            <w:r>
              <w:rPr>
                <w:b/>
                <w:sz w:val="19"/>
              </w:rPr>
              <w:t>Parámetros en OperaStock</w:t>
            </w:r>
          </w:p>
        </w:tc>
        <w:tc>
          <w:tcPr>
            <w:tcW w:type="dxa" w:w="6192"/>
            <w:tcMar>
              <w:top w:w="80" w:type="dxa"/>
              <w:bottom w:w="80" w:type="dxa"/>
              <w:left w:w="100" w:type="dxa"/>
              <w:right w:w="100" w:type="dxa"/>
            </w:tcMar>
          </w:tcPr>
          <w:p>
            <w:pPr>
              <w:spacing w:after="40"/>
            </w:pPr>
            <w:r>
              <w:rPr>
                <w:sz w:val="19"/>
              </w:rPr>
              <w:t>trend = 'add', seasonal = 'add', seasonal_periods = 7.</w:t>
            </w:r>
          </w:p>
        </w:tc>
      </w:tr>
      <w:tr>
        <w:tc>
          <w:tcPr>
            <w:tcW w:type="dxa" w:w="3168"/>
            <w:shd w:fill="F1F5F9"/>
            <w:tcMar>
              <w:top w:w="80" w:type="dxa"/>
              <w:bottom w:w="80" w:type="dxa"/>
              <w:left w:w="100" w:type="dxa"/>
              <w:right w:w="100" w:type="dxa"/>
            </w:tcMar>
          </w:tcPr>
          <w:p>
            <w:pPr>
              <w:spacing w:after="40"/>
            </w:pPr>
            <w:r>
              <w:rPr>
                <w:b/>
                <w:sz w:val="19"/>
              </w:rPr>
              <w:t>¿Por qué se utiliza en la tesis?</w:t>
            </w:r>
          </w:p>
        </w:tc>
        <w:tc>
          <w:tcPr>
            <w:tcW w:type="dxa" w:w="6192"/>
            <w:tcMar>
              <w:top w:w="80" w:type="dxa"/>
              <w:bottom w:w="80" w:type="dxa"/>
              <w:left w:w="100" w:type="dxa"/>
              <w:right w:w="100" w:type="dxa"/>
            </w:tcMar>
          </w:tcPr>
          <w:p>
            <w:pPr>
              <w:spacing w:after="40"/>
            </w:pPr>
            <w:r>
              <w:rPr>
                <w:sz w:val="19"/>
              </w:rPr>
              <w:t>Reacciona inmediatamente si la planta acelera su ritmo de consumo diario de una semana a otra.</w:t>
            </w:r>
          </w:p>
        </w:tc>
      </w:tr>
    </w:tbl>
    <w:p/>
    <w:p>
      <w:pPr>
        <w:pStyle w:val="Heading2"/>
      </w:pPr>
      <w:r>
        <w:t>2.4. Promedio Móvil (Baseline / Referencia Mínima)</w:t>
      </w:r>
    </w:p>
    <w:p>
      <w:r>
        <w:t>El Promedio Móvil calcula la media aritmética simple sobre los últimos N días de producción. Es un modelo determinista que asume consumo futuro uniforme.</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00" w:type="dxa"/>
              <w:right w:w="100" w:type="dxa"/>
            </w:tcMar>
          </w:tcPr>
          <w:p>
            <w:pPr>
              <w:spacing w:after="40"/>
            </w:pPr>
            <w:r>
              <w:rPr>
                <w:b/>
                <w:sz w:val="19"/>
              </w:rPr>
              <w:t>Ecuación Matemática</w:t>
            </w:r>
          </w:p>
        </w:tc>
        <w:tc>
          <w:tcPr>
            <w:tcW w:type="dxa" w:w="6192"/>
            <w:tcMar>
              <w:top w:w="80" w:type="dxa"/>
              <w:bottom w:w="80" w:type="dxa"/>
              <w:left w:w="100" w:type="dxa"/>
              <w:right w:w="100" w:type="dxa"/>
            </w:tcMar>
          </w:tcPr>
          <w:p>
            <w:pPr>
              <w:spacing w:after="40"/>
            </w:pPr>
            <w:r>
              <w:rPr>
                <w:sz w:val="19"/>
              </w:rPr>
              <w:t>d_promedio = (1 / N) * Σ y_{t-i+1}   [para i=1 hasta N]</w:t>
            </w:r>
          </w:p>
        </w:tc>
      </w:tr>
      <w:tr>
        <w:tc>
          <w:tcPr>
            <w:tcW w:type="dxa" w:w="3168"/>
            <w:shd w:fill="F1F5F9"/>
            <w:tcMar>
              <w:top w:w="80" w:type="dxa"/>
              <w:bottom w:w="80" w:type="dxa"/>
              <w:left w:w="100" w:type="dxa"/>
              <w:right w:w="100" w:type="dxa"/>
            </w:tcMar>
          </w:tcPr>
          <w:p>
            <w:pPr>
              <w:spacing w:after="40"/>
            </w:pPr>
            <w:r>
              <w:rPr>
                <w:b/>
                <w:sz w:val="19"/>
              </w:rPr>
              <w:t>Configuración en OperaStock</w:t>
            </w:r>
          </w:p>
        </w:tc>
        <w:tc>
          <w:tcPr>
            <w:tcW w:type="dxa" w:w="6192"/>
            <w:tcMar>
              <w:top w:w="80" w:type="dxa"/>
              <w:bottom w:w="80" w:type="dxa"/>
              <w:left w:w="100" w:type="dxa"/>
              <w:right w:w="100" w:type="dxa"/>
            </w:tcMar>
          </w:tcPr>
          <w:p>
            <w:pPr>
              <w:spacing w:after="40"/>
            </w:pPr>
            <w:r>
              <w:rPr>
                <w:sz w:val="19"/>
              </w:rPr>
              <w:t>Ventana móvil N = 7 días de operación.</w:t>
            </w:r>
          </w:p>
        </w:tc>
      </w:tr>
      <w:tr>
        <w:tc>
          <w:tcPr>
            <w:tcW w:type="dxa" w:w="3168"/>
            <w:shd w:fill="F1F5F9"/>
            <w:tcMar>
              <w:top w:w="80" w:type="dxa"/>
              <w:bottom w:w="80" w:type="dxa"/>
              <w:left w:w="100" w:type="dxa"/>
              <w:right w:w="100" w:type="dxa"/>
            </w:tcMar>
          </w:tcPr>
          <w:p>
            <w:pPr>
              <w:spacing w:after="40"/>
            </w:pPr>
            <w:r>
              <w:rPr>
                <w:b/>
                <w:sz w:val="19"/>
              </w:rPr>
              <w:t>Función 1: Baseline de Control</w:t>
            </w:r>
          </w:p>
        </w:tc>
        <w:tc>
          <w:tcPr>
            <w:tcW w:type="dxa" w:w="6192"/>
            <w:tcMar>
              <w:top w:w="80" w:type="dxa"/>
              <w:bottom w:w="80" w:type="dxa"/>
              <w:left w:w="100" w:type="dxa"/>
              <w:right w:w="100" w:type="dxa"/>
            </w:tcMar>
          </w:tcPr>
          <w:p>
            <w:pPr>
              <w:spacing w:after="40"/>
            </w:pPr>
            <w:r>
              <w:rPr>
                <w:sz w:val="19"/>
              </w:rPr>
              <w:t>Permite validar científicamente si los modelos avanzados de Machine Learning aportan una mejora real frente a la media.</w:t>
            </w:r>
          </w:p>
        </w:tc>
      </w:tr>
      <w:tr>
        <w:tc>
          <w:tcPr>
            <w:tcW w:type="dxa" w:w="3168"/>
            <w:shd w:fill="F1F5F9"/>
            <w:tcMar>
              <w:top w:w="80" w:type="dxa"/>
              <w:bottom w:w="80" w:type="dxa"/>
              <w:left w:w="100" w:type="dxa"/>
              <w:right w:w="100" w:type="dxa"/>
            </w:tcMar>
          </w:tcPr>
          <w:p>
            <w:pPr>
              <w:spacing w:after="40"/>
            </w:pPr>
            <w:r>
              <w:rPr>
                <w:b/>
                <w:sz w:val="19"/>
              </w:rPr>
              <w:t>Función 2: Fallback de Seguridad</w:t>
            </w:r>
          </w:p>
        </w:tc>
        <w:tc>
          <w:tcPr>
            <w:tcW w:type="dxa" w:w="6192"/>
            <w:tcMar>
              <w:top w:w="80" w:type="dxa"/>
              <w:bottom w:w="80" w:type="dxa"/>
              <w:left w:w="100" w:type="dxa"/>
              <w:right w:w="100" w:type="dxa"/>
            </w:tcMar>
          </w:tcPr>
          <w:p>
            <w:pPr>
              <w:spacing w:after="40"/>
            </w:pPr>
            <w:r>
              <w:rPr>
                <w:sz w:val="19"/>
              </w:rPr>
              <w:t>Si una materia prima es nueva (menos de 30 datos) o los modelos avanzados no convergen, el sistema cae de manera segura a esta fórmula para no detener la operación.</w:t>
            </w:r>
          </w:p>
        </w:tc>
      </w:tr>
    </w:tbl>
    <w:p/>
    <w:p>
      <w:pPr>
        <w:pStyle w:val="Heading1"/>
      </w:pPr>
      <w:r>
        <w:t>3. Métricas de Evaluación y Selección del Modelo Óptimo</w:t>
      </w:r>
    </w:p>
    <w:p>
      <w:r>
        <w:t>Para decidir de manera imparcial cuál de los 4 modelos debe generar las compras, OperaStock utiliza la validación cruzada cronológica (*Holdout Chronological Validation*) reservando el último 20% del historial. Se calculan dos métricas principales:</w:t>
      </w:r>
    </w:p>
    <w:p>
      <w:r>
        <w:t>1. Error Medio Absoluto (MAE):</w:t>
        <w:br/>
        <w:t xml:space="preserve">   MAE = (1 / n) * Σ |y_i - y_hat_i|</w:t>
        <w:br/>
        <w:t xml:space="preserve">   Mide la magnitud promedio de los errores en las mismas unidades de la materia prima (ej. kilos errados).</w:t>
      </w:r>
    </w:p>
    <w:p>
      <w:r>
        <w:t>2. Raíz del Error Cuadrático Medio (RMSE):</w:t>
        <w:br/>
        <w:t xml:space="preserve">   RMSE = √[ (1 / n) * Σ (y_i - y_hat_i)² ]</w:t>
        <w:br/>
        <w:t xml:space="preserve">   Penaliza con mayor severidad los errores grandes o desviaciones atípicas.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24" w:space="0" w:color="16A34A"/>
              <w:bottom w:val="none"/>
              <w:right w:val="none"/>
            </w:tcBorders>
          </w:tcPr>
          <w:p>
            <w:pPr>
              <w:spacing w:before="80" w:after="80"/>
            </w:pPr>
            <w:r>
              <w:rPr>
                <w:rFonts w:ascii="Calibri" w:hAnsi="Calibri"/>
                <w:b/>
                <w:color w:val="16A34A"/>
                <w:sz w:val="21"/>
              </w:rPr>
              <w:t>🎯 CRITERIO DE SELECCIÓN DE LA IA</w:t>
              <w:br/>
            </w:r>
            <w:r>
              <w:rPr>
                <w:rFonts w:ascii="Calibri" w:hAnsi="Calibri"/>
                <w:color w:val="334155"/>
                <w:sz w:val="20"/>
              </w:rPr>
              <w:t>Criterio de Selección: El sistema compara el RMSE de los 4 competidores. El modelo con MENOR RMSE es guardado en formato binario (.joblib) con su hash SHA-256 para garantizar integridad auditada.</w:t>
            </w:r>
          </w:p>
        </w:tc>
      </w:tr>
    </w:tbl>
    <w:p/>
    <w:p>
      <w:pPr>
        <w:pStyle w:val="Heading1"/>
      </w:pPr>
      <w:r>
        <w:t>4. Formulación Matemática del Reabastecimiento</w:t>
      </w:r>
    </w:p>
    <w:p>
      <w:r>
        <w:t>Una vez obtenido el consumo diario proyectado (d_hat) del modelo ganador, se aplican las ecuaciones de la teoría de control de inventarios:</w:t>
      </w:r>
    </w:p>
    <w:p>
      <w:pPr>
        <w:pStyle w:val="Heading2"/>
      </w:pPr>
      <w:r>
        <w:t>4.1. Stock de Seguridad Dinámico (SS)</w:t>
      </w:r>
    </w:p>
    <w:p>
      <w:r>
        <w:t>SS = Z * σ_d * √(Lead Time)</w:t>
      </w:r>
    </w:p>
    <w:p>
      <w:r>
        <w:t>• Z = Nivel de servicio deseado (Z = 1.645 para 95% de confianza contra agotamiento).</w:t>
        <w:br/>
        <w:t>• σ_d = Desviación estándar del consumo diario en la ventana de evaluación.</w:t>
        <w:br/>
        <w:t>• Lead Time = Tiempo de entrega en días del proveedor asignado en Perú.</w:t>
      </w:r>
    </w:p>
    <w:p>
      <w:pPr>
        <w:pStyle w:val="Heading2"/>
      </w:pPr>
      <w:r>
        <w:t>4.2. Punto de Reorden (ROP)</w:t>
      </w:r>
    </w:p>
    <w:p>
      <w:r>
        <w:t>ROP = (d_hat * Lead Time) + SS</w:t>
      </w:r>
    </w:p>
    <w:p>
      <w:r>
        <w:t>El ROP establece el umbral de activación de la orden de compra. Si Stock Utilizable ≤ ROP, el sistema genera inmediatamente la sugerencia de reabastecimiento.</w:t>
      </w:r>
    </w:p>
    <w:p>
      <w:pPr>
        <w:pStyle w:val="Heading2"/>
      </w:pPr>
      <w:r>
        <w:t>4.3. Lote Óptimo de Compra (Q) y Ajuste Comercial</w:t>
      </w:r>
    </w:p>
    <w:p>
      <w:r>
        <w:t>Q_bruto = (d_hat * Cobertura Días) + SS - Stock Utilizable - Pedidos en Tránsito</w:t>
      </w:r>
    </w:p>
    <w:p>
      <w:r>
        <w:t>Q_final = max( MOQ, ceil( Q_bruto / Múltiplo ) * Múltiplo )</w:t>
      </w:r>
    </w:p>
    <w:p>
      <w:r>
        <w:t>Esta formulación garantiza que la recomendación matemática respete los mínimos de venta (MOQ) y múltiplos de presentación del proveedor (ej. sacos de 5 kg o galones).</w:t>
      </w:r>
    </w:p>
    <w:p>
      <w:pPr>
        <w:pStyle w:val="Heading1"/>
      </w:pPr>
      <w:r>
        <w:t>5. Gobernanza Human-in-the-Loop y Auditoría</w:t>
      </w:r>
    </w:p>
    <w:p>
      <w:r>
        <w:t>OperaStock implementa la filosofía Human-in-the-Loop. El algoritmo propone la cantidad matemáticamente óptima (ej. 55 kg), pero el comprador humano puede ajustar la cantidad a pedir (ej. 65 kg) antes de emitir la Orden de Compra.</w:t>
      </w:r>
    </w:p>
    <w:p>
      <w:r>
        <w:t>Cada modificación manual queda registrada en el módulo de auditoría con la firma del usuario, guardando la discrepancia entre la IA y la decisión humana para evaluaciones posteriores en la tesis.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