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专利申请信息表</w:t>
      </w:r>
    </w:p>
    <w:p>
      <w:pPr>
        <w:jc w:val="center"/>
        <w:rPr>
          <w:rFonts w:hint="default" w:ascii="宋体" w:hAnsi="宋体" w:eastAsia="宋体"/>
          <w:szCs w:val="21"/>
          <w:lang w:val="en-US" w:eastAsia="zh-CN"/>
        </w:rPr>
      </w:pPr>
      <w:r>
        <w:rPr>
          <w:rFonts w:hint="eastAsia" w:ascii="宋体" w:hAnsi="宋体"/>
          <w:b/>
          <w:sz w:val="32"/>
          <w:szCs w:val="32"/>
        </w:rPr>
        <w:t xml:space="preserve">                             </w:t>
      </w:r>
      <w:r>
        <w:rPr>
          <w:rFonts w:hint="eastAsia" w:ascii="宋体" w:hAnsi="宋体"/>
          <w:szCs w:val="21"/>
        </w:rPr>
        <w:t>日期：20</w:t>
      </w:r>
      <w:r>
        <w:rPr>
          <w:rFonts w:hint="eastAsia" w:ascii="宋体" w:hAnsi="宋体"/>
          <w:szCs w:val="21"/>
          <w:lang w:val="en-US" w:eastAsia="zh-CN"/>
        </w:rPr>
        <w:t>26</w:t>
      </w:r>
      <w:r>
        <w:rPr>
          <w:rFonts w:hint="eastAsia" w:ascii="宋体" w:hAnsi="宋体"/>
          <w:szCs w:val="21"/>
        </w:rPr>
        <w:t>.</w:t>
      </w:r>
      <w:r>
        <w:rPr>
          <w:rFonts w:hint="eastAsia" w:ascii="宋体" w:hAnsi="宋体"/>
          <w:szCs w:val="21"/>
          <w:lang w:val="en-US" w:eastAsia="zh-CN"/>
        </w:rPr>
        <w:t>1.9</w:t>
      </w:r>
    </w:p>
    <w:p>
      <w:pPr>
        <w:jc w:val="center"/>
        <w:rPr>
          <w:rFonts w:hint="eastAsia" w:ascii="宋体" w:hAnsi="宋体"/>
          <w:szCs w:val="21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5"/>
        <w:gridCol w:w="1633"/>
        <w:gridCol w:w="192"/>
        <w:gridCol w:w="2064"/>
        <w:gridCol w:w="29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6324" w:type="dxa"/>
            <w:gridSpan w:val="4"/>
            <w:noWrap w:val="0"/>
            <w:vAlign w:val="center"/>
          </w:tcPr>
          <w:p>
            <w:pPr>
              <w:spacing w:line="360" w:lineRule="auto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专利名称： 基于特征解耦与数据重构的开放集域适应方法</w:t>
            </w:r>
          </w:p>
        </w:tc>
        <w:tc>
          <w:tcPr>
            <w:tcW w:w="2951" w:type="dxa"/>
            <w:noWrap w:val="0"/>
            <w:vAlign w:val="center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9275" w:type="dxa"/>
            <w:gridSpan w:val="5"/>
            <w:noWrap w:val="0"/>
            <w:vAlign w:val="center"/>
          </w:tcPr>
          <w:p>
            <w:pPr>
              <w:wordWrap w:val="0"/>
              <w:rPr>
                <w:rFonts w:hint="eastAsia" w:ascii="宋体" w:hAnsi="宋体" w:eastAsia="宋体"/>
                <w:b/>
                <w:sz w:val="24"/>
                <w:lang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申请人（公司/个人）： 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南京邮电大学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9275" w:type="dxa"/>
            <w:gridSpan w:val="5"/>
            <w:noWrap w:val="0"/>
            <w:vAlign w:val="center"/>
          </w:tcPr>
          <w:p>
            <w:pPr>
              <w:wordWrap w:val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申请人组织机构代码或身份证：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10293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atLeast"/>
          <w:jc w:val="center"/>
        </w:trPr>
        <w:tc>
          <w:tcPr>
            <w:tcW w:w="9275" w:type="dxa"/>
            <w:gridSpan w:val="5"/>
            <w:noWrap w:val="0"/>
            <w:vAlign w:val="center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申请人详细地址： 江苏省南京市栖霞区文苑路9号南京邮电大学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4068" w:type="dxa"/>
            <w:gridSpan w:val="2"/>
            <w:noWrap w:val="0"/>
            <w:vAlign w:val="center"/>
          </w:tcPr>
          <w:p>
            <w:pPr>
              <w:wordWrap w:val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邮编：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210023</w:t>
            </w:r>
          </w:p>
        </w:tc>
        <w:tc>
          <w:tcPr>
            <w:tcW w:w="5207" w:type="dxa"/>
            <w:gridSpan w:val="3"/>
            <w:noWrap w:val="0"/>
            <w:vAlign w:val="center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电话：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9275" w:type="dxa"/>
            <w:gridSpan w:val="5"/>
            <w:noWrap w:val="0"/>
            <w:vAlign w:val="center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发明人（可以多人）： 林伟峰、周昀、陈棠帅、朱涛、徐天宇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4260" w:type="dxa"/>
            <w:gridSpan w:val="3"/>
            <w:noWrap w:val="0"/>
            <w:vAlign w:val="center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第一发明人： 林伟峰</w:t>
            </w:r>
          </w:p>
        </w:tc>
        <w:tc>
          <w:tcPr>
            <w:tcW w:w="5015" w:type="dxa"/>
            <w:gridSpan w:val="2"/>
            <w:noWrap w:val="0"/>
            <w:vAlign w:val="center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第一发明人身份证号码：430602200501020133</w:t>
            </w:r>
          </w:p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  <w:jc w:val="center"/>
        </w:trPr>
        <w:tc>
          <w:tcPr>
            <w:tcW w:w="2435" w:type="dxa"/>
            <w:noWrap w:val="0"/>
            <w:vAlign w:val="center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联系人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4"/>
              </w:rPr>
              <w:t>林伟峰</w:t>
            </w:r>
          </w:p>
        </w:tc>
        <w:tc>
          <w:tcPr>
            <w:tcW w:w="3889" w:type="dxa"/>
            <w:gridSpan w:val="3"/>
            <w:noWrap w:val="0"/>
            <w:vAlign w:val="center"/>
          </w:tcPr>
          <w:p>
            <w:pPr>
              <w:wordWrap w:val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手机：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17873015372</w:t>
            </w:r>
          </w:p>
        </w:tc>
        <w:tc>
          <w:tcPr>
            <w:tcW w:w="2951" w:type="dxa"/>
            <w:noWrap w:val="0"/>
            <w:vAlign w:val="center"/>
          </w:tcPr>
          <w:p>
            <w:pPr>
              <w:wordWrap w:val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E-mail: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1209995635@qq.com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6" w:hRule="atLeast"/>
          <w:jc w:val="center"/>
        </w:trPr>
        <w:tc>
          <w:tcPr>
            <w:tcW w:w="9275" w:type="dxa"/>
            <w:gridSpan w:val="5"/>
            <w:noWrap w:val="0"/>
            <w:vAlign w:val="top"/>
          </w:tcPr>
          <w:p>
            <w:pPr>
              <w:wordWrap w:val="0"/>
              <w:rPr>
                <w:rFonts w:hint="eastAsia" w:ascii="宋体" w:hAnsi="宋体"/>
                <w:b/>
                <w:u w:val="single"/>
              </w:rPr>
            </w:pPr>
            <w:r>
              <w:rPr>
                <w:rFonts w:hint="eastAsia" w:ascii="宋体" w:hAnsi="宋体"/>
                <w:b/>
                <w:u w:val="single"/>
              </w:rPr>
              <w:t>填写注意事项：</w:t>
            </w:r>
          </w:p>
          <w:p>
            <w:pPr>
              <w:numPr>
                <w:ilvl w:val="0"/>
                <w:numId w:val="2"/>
              </w:numPr>
              <w:wordWrap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申请人可以是个人或具有法人资格的企事业团体，如果申请人是个人，请填写身份证号码；如果申请人是具有法人资格的企事业团体，请填写企业组织机构代码；如果是多个申请人共同申请的，请</w:t>
            </w:r>
            <w:r>
              <w:rPr>
                <w:rFonts w:hint="eastAsia" w:ascii="宋体" w:hAnsi="宋体"/>
                <w:b/>
              </w:rPr>
              <w:t>分别详细</w:t>
            </w:r>
            <w:r>
              <w:rPr>
                <w:rFonts w:hint="eastAsia" w:ascii="宋体" w:hAnsi="宋体"/>
              </w:rPr>
              <w:t>填写各个申请人的姓名或名称、电话、身份证或组织机构代码、邮编及详细地址。</w:t>
            </w:r>
          </w:p>
          <w:p>
            <w:pPr>
              <w:numPr>
                <w:ilvl w:val="0"/>
                <w:numId w:val="2"/>
              </w:numPr>
              <w:wordWrap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发明人或设计人一定是自然人，人数不限；请填写第一发明人的姓名、身份证号码。</w:t>
            </w:r>
          </w:p>
          <w:p>
            <w:pPr>
              <w:numPr>
                <w:ilvl w:val="0"/>
                <w:numId w:val="2"/>
              </w:numPr>
              <w:wordWrap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英文缩写要有中文译文，避免使用英文单词。全文对同一事物的说法要统一，不要出现一物多名的现象。</w:t>
            </w:r>
          </w:p>
          <w:p>
            <w:pPr>
              <w:numPr>
                <w:ilvl w:val="0"/>
                <w:numId w:val="2"/>
              </w:numPr>
              <w:wordWrap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用语应当符合避免行业规范，需采用专业术语。</w:t>
            </w:r>
          </w:p>
          <w:p>
            <w:pPr>
              <w:numPr>
                <w:ilvl w:val="0"/>
                <w:numId w:val="2"/>
              </w:numPr>
              <w:wordWrap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对于技术方案的描述应当公开充分、足够详细，同领域的技术人员应当可以根据所描述的内容，无需创造性劳动即可实施本发明所述技术方案。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  <w:jc w:val="center"/>
        </w:trPr>
        <w:tc>
          <w:tcPr>
            <w:tcW w:w="9275" w:type="dxa"/>
            <w:gridSpan w:val="5"/>
            <w:noWrap w:val="0"/>
            <w:vAlign w:val="top"/>
          </w:tcPr>
          <w:p>
            <w:pPr>
              <w:wordWrap w:val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备注:</w:t>
            </w:r>
          </w:p>
          <w:p>
            <w:pPr>
              <w:wordWrap w:val="0"/>
              <w:rPr>
                <w:rFonts w:hint="eastAsia" w:ascii="宋体" w:hAnsi="宋体"/>
              </w:rPr>
            </w:pPr>
          </w:p>
          <w:p>
            <w:pPr>
              <w:wordWrap w:val="0"/>
              <w:rPr>
                <w:rFonts w:hint="eastAsia" w:ascii="宋体" w:hAnsi="宋体"/>
              </w:rPr>
            </w:pPr>
          </w:p>
          <w:p>
            <w:pPr>
              <w:wordWrap w:val="0"/>
              <w:rPr>
                <w:rFonts w:hint="eastAsia" w:ascii="宋体" w:hAnsi="宋体"/>
              </w:rPr>
            </w:pPr>
          </w:p>
          <w:p>
            <w:pPr>
              <w:wordWrap w:val="0"/>
              <w:rPr>
                <w:rFonts w:hint="eastAsia" w:ascii="宋体" w:hAnsi="宋体"/>
              </w:rPr>
            </w:pPr>
          </w:p>
          <w:p>
            <w:pPr>
              <w:wordWrap w:val="0"/>
              <w:rPr>
                <w:rFonts w:hint="eastAsia" w:ascii="宋体" w:hAnsi="宋体"/>
              </w:rPr>
            </w:pPr>
          </w:p>
          <w:p>
            <w:pPr>
              <w:wordWrap w:val="0"/>
              <w:rPr>
                <w:rFonts w:hint="eastAsia" w:ascii="宋体" w:hAnsi="宋体"/>
              </w:rPr>
            </w:pPr>
          </w:p>
          <w:p>
            <w:pPr>
              <w:wordWrap w:val="0"/>
              <w:rPr>
                <w:rFonts w:hint="eastAsia" w:ascii="宋体" w:hAnsi="宋体"/>
              </w:rPr>
            </w:pPr>
          </w:p>
          <w:p>
            <w:pPr>
              <w:wordWrap w:val="0"/>
              <w:rPr>
                <w:rFonts w:hint="eastAsia" w:ascii="宋体" w:hAnsi="宋体"/>
              </w:rPr>
            </w:pPr>
          </w:p>
        </w:tc>
      </w:tr>
    </w:tbl>
    <w:p>
      <w:pPr>
        <w:wordWrap w:val="0"/>
        <w:jc w:val="center"/>
        <w:rPr>
          <w:rFonts w:hint="eastAsia" w:ascii="宋体" w:hAnsi="宋体"/>
          <w:b/>
          <w:sz w:val="30"/>
          <w:szCs w:val="30"/>
        </w:rPr>
      </w:pPr>
    </w:p>
    <w:p>
      <w:pPr>
        <w:wordWrap w:val="0"/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技术交底书</w:t>
      </w:r>
    </w:p>
    <w:p>
      <w:pPr>
        <w:wordWrap w:val="0"/>
        <w:jc w:val="center"/>
        <w:rPr>
          <w:rFonts w:hint="eastAsia" w:ascii="宋体" w:hAnsi="宋体"/>
          <w:sz w:val="10"/>
          <w:szCs w:val="10"/>
        </w:rPr>
      </w:pP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9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pStyle w:val="16"/>
              <w:rPr>
                <w:rFonts w:hint="eastAsia" w:ascii="楷体" w:hAnsi="楷体" w:eastAsia="楷体"/>
              </w:rPr>
            </w:pPr>
            <w:r>
              <w:rPr>
                <w:rFonts w:hint="eastAsia" w:ascii="宋体" w:hAnsi="宋体"/>
                <w:b/>
                <w:sz w:val="24"/>
              </w:rPr>
              <w:t>1．发明创造名称（专利名称）：基于特征解耦与数据重构的开放集域适应方法</w:t>
            </w:r>
            <w:r>
              <w:rPr>
                <w:rFonts w:hint="eastAsia" w:ascii="楷体" w:hAnsi="楷体" w:eastAsia="楷体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-457200</wp:posOffset>
                      </wp:positionH>
                      <wp:positionV relativeFrom="paragraph">
                        <wp:posOffset>0</wp:posOffset>
                      </wp:positionV>
                      <wp:extent cx="5943600" cy="0"/>
                      <wp:effectExtent l="0" t="4445" r="0" b="5080"/>
                      <wp:wrapNone/>
                      <wp:docPr id="1" name="直线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3" o:spid="_x0000_s1026" o:spt="20" style="position:absolute;left:0pt;margin-left:-36pt;margin-top:0pt;height:0pt;width:468pt;z-index:251659264;mso-width-relative:page;mso-height-relative:page;" filled="f" stroked="t" coordsize="21600,21600" o:gfxdata="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tZkTA1AAA&#10;AAUBAAAPAAAAAAAAAAEAIAAAACIAAABkcnMvZG93bnJldi54bWxQSwECFAAUAAAACACHTuJA1GyG&#10;7OkBAADbAwAADgAAAAAAAAABACAAAAAjAQAAZHJzL2Uyb0RvYy54bWxQSwUGAAAAAAYABgBZAQAA&#10;f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spacing w:line="360" w:lineRule="auto"/>
              <w:ind w:firstLine="360" w:firstLineChars="200"/>
              <w:rPr>
                <w:rFonts w:hint="eastAsia" w:ascii="宋体" w:hAnsi="宋体"/>
                <w:color w:val="80808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9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ordWrap w:val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2．技术领域：本发明属于人工智能技术领域，具体涉及机器学习中的迁移学习、计算机视觉中的域适应方法，特别是一种针对开放集场景（Open-Set Scenario）的特征解耦与数据重构相结合的域适应技术。</w:t>
            </w:r>
          </w:p>
          <w:p>
            <w:pPr>
              <w:spacing w:line="360" w:lineRule="auto"/>
              <w:ind w:firstLine="480" w:firstLineChars="200"/>
              <w:rPr>
                <w:rFonts w:hint="eastAsia" w:ascii="宋体" w:hAnsi="宋体"/>
                <w:color w:val="808080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/>
                <w:color w:val="808080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/>
                <w:color w:val="808080"/>
                <w:sz w:val="24"/>
              </w:rPr>
            </w:pPr>
          </w:p>
          <w:p>
            <w:pPr>
              <w:spacing w:line="360" w:lineRule="auto"/>
              <w:ind w:firstLine="480" w:firstLineChars="200"/>
              <w:rPr>
                <w:rFonts w:hint="eastAsia" w:ascii="宋体" w:hAnsi="宋体"/>
                <w:color w:val="80808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6" w:hRule="atLeast"/>
          <w:jc w:val="center"/>
        </w:trPr>
        <w:tc>
          <w:tcPr>
            <w:tcW w:w="9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wordWrap w:val="0"/>
              <w:rPr>
                <w:rFonts w:hint="eastAsia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3.</w:t>
            </w:r>
            <w:r>
              <w:rPr>
                <w:rFonts w:hint="eastAsia" w:ascii="宋体" w:hAnsi="宋体"/>
                <w:b/>
                <w:sz w:val="24"/>
              </w:rPr>
              <w:t>背景技术：</w:t>
            </w:r>
          </w:p>
          <w:p>
            <w:pPr>
              <w:numPr>
                <w:ilvl w:val="0"/>
                <w:numId w:val="0"/>
              </w:numPr>
              <w:wordWrap w:val="0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开发集域适应是迁移学习的前沿研究方向，旨在解决域偏移和未知类别识别，实现获得可迁移知识这一目标。传统域适应方法通常只能在目标域上正确分类已知的类别，需要的预测为已知类别之一，但在实际应用中，目标域类别通常会包含源域类别，即目标域里有未知类别的干扰，导致其解决域偏移问题的能力大幅减弱。</w:t>
            </w:r>
          </w:p>
          <w:p>
            <w:pPr>
              <w:numPr>
                <w:ilvl w:val="0"/>
                <w:numId w:val="0"/>
              </w:numPr>
              <w:wordWrap w:val="0"/>
              <w:rPr>
                <w:rFonts w:hint="eastAsia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现有技术存在以下不足：</w:t>
            </w:r>
          </w:p>
          <w:p>
            <w:pPr>
              <w:numPr>
                <w:ilvl w:val="0"/>
                <w:numId w:val="0"/>
              </w:numPr>
              <w:wordWrap w:val="0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依赖强分布假设：</w:t>
            </w: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许多传统方法建立在强假设之上，如源域与目标域满足协变量偏移，但在实际应用中类别条件通常会发生变化，适应效果会显著下降。</w:t>
            </w:r>
          </w:p>
          <w:p>
            <w:pPr>
              <w:numPr>
                <w:ilvl w:val="0"/>
                <w:numId w:val="0"/>
              </w:numPr>
              <w:wordWrap w:val="0"/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难以端到端优化：</w:t>
            </w:r>
            <w:r>
              <w:rPr>
                <w:rFonts w:hint="eastAsia" w:ascii="宋体" w:hAnsi="宋体"/>
                <w:b w:val="0"/>
                <w:bCs/>
                <w:sz w:val="24"/>
                <w:lang w:val="en-US" w:eastAsia="zh-CN"/>
              </w:rPr>
              <w:t>传统DA方法多为：特征对齐</w:t>
            </w:r>
            <w:r>
              <w:rPr>
                <w:rFonts w:ascii="宋体" w:hAnsi="宋体" w:eastAsia="宋体" w:cs="宋体"/>
                <w:b w:val="0"/>
                <w:bCs/>
                <w:sz w:val="24"/>
                <w:szCs w:val="24"/>
              </w:rPr>
              <w:t>→</w:t>
            </w: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分类器训练，不能端到端联合优化。</w:t>
            </w:r>
          </w:p>
          <w:p>
            <w:pPr>
              <w:rPr>
                <w:rFonts w:hint="eastAsia"/>
                <w:b w:val="0"/>
                <w:bCs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4"/>
                <w:szCs w:val="24"/>
                <w:lang w:val="en-US" w:eastAsia="zh-CN"/>
              </w:rPr>
              <w:t>跨新域能力差：对新目标域需要重新设计或调参。</w:t>
            </w:r>
          </w:p>
          <w:p>
            <w:pPr>
              <w:pStyle w:val="18"/>
              <w:rPr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域对抗强度固定：</w:t>
            </w:r>
            <w:r>
              <w:rPr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传统梯度反转层（GRL）采用固定强度系数，训练前期强域对抗虽能学习域不变特征，但后期易导致特征提取器丧失类别区分能力，造成已知类识别准确率下降</w:t>
            </w:r>
            <w:r>
              <w:rPr>
                <w:rFonts w:hint="eastAsia"/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>
            <w:pPr>
              <w:pStyle w:val="18"/>
              <w:rPr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损失函数设计单一：</w:t>
            </w:r>
            <w:r>
              <w:rPr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仅依赖分类损失或重构损失，缺乏针对“已知类聚集、未知类隔离”的专项优化，开放集识别的AUROC（曲线下面积）和H-score（平衡分数）指标偏低。</w:t>
            </w:r>
          </w:p>
          <w:p>
            <w:pPr>
              <w:pStyle w:val="18"/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特征融合维度不足：</w:t>
            </w:r>
            <w:r>
              <w:rPr>
                <w:b w:val="0"/>
                <w:bCs w:val="0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传统融合策略仅考虑置信度、类中心距离等2-3个维度，未纳入特征方差等反映样本分布离散度的关键信息，导致开放集判别鲁棒性不足。</w:t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6" w:hRule="atLeast"/>
          <w:jc w:val="center"/>
        </w:trPr>
        <w:tc>
          <w:tcPr>
            <w:tcW w:w="9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4.</w:t>
            </w:r>
            <w:r>
              <w:rPr>
                <w:rFonts w:hint="eastAsia" w:ascii="宋体" w:hAnsi="宋体"/>
                <w:b/>
                <w:sz w:val="24"/>
              </w:rPr>
              <w:t>发明内容与实施例：发明内容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本发明的核心在于设计一种端到端的开放集域适应框架，实现从真实图像（real）到素描图像（sketch）的开放集领域自适应，通过特征解耦模块显示分离类别相关特征与领域相关特征，并引入数据重构机制辅助未知类别识别。发明方案包括以下步骤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lang w:val="en-US" w:eastAsia="zh-CN"/>
              </w:rPr>
              <w:t>前中期训练流程：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步骤一：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数据划分以及标签生成。从DomainNet原始数据集中构建一个OSDA场景的简化数据集，并生成标准CSV标签文件。核心逻辑：读取所有类别，使用train_test_split将类别划分为共享类（70%）与未知类（30%），然后输出源域（只保留共享类）与目标域（包含共享类和未知类）作为整个实验的数据基础，生成标准CSV标签文件供以后续应用。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步骤二：数据加载。构建可直接用于训练的PyTorch数据加载器。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核心设计：</w:t>
            </w:r>
          </w:p>
          <w:p>
            <w:pPr>
              <w:numPr>
                <w:ilvl w:val="0"/>
                <w:numId w:val="0"/>
              </w:numPr>
              <w:ind w:firstLine="960" w:firstLineChars="40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1、数据增强与预处理（随机裁剪、翻转、颜色抖动）</w:t>
            </w:r>
          </w:p>
          <w:p>
            <w:pPr>
              <w:numPr>
                <w:ilvl w:val="0"/>
                <w:numId w:val="0"/>
              </w:numPr>
              <w:ind w:firstLine="960" w:firstLineChars="400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2、分别处理源域训练、验证和目标域数据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步骤三：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定义模型与损失函数。特征解耦模型旨在将图像特征解耦为类别相关特征和领域相关特征，其网络结构为：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rPr>
                <w:rFonts w:hint="default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共享主干网络：基于预训练的ResNet-50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冻结前4层参数（保留预训练特征提取能力）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微调最后10层参数（适应新任务）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替换全连接层，输出2048维基础特征</w:t>
            </w:r>
          </w:p>
          <w:p>
            <w:pPr>
              <w:numPr>
                <w:ilvl w:val="0"/>
                <w:numId w:val="0"/>
              </w:numPr>
              <w:ind w:firstLine="482" w:firstLineChars="200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双分支解耦结果：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类别分支：3层MLP，输出241类分类结果</w:t>
            </w:r>
          </w:p>
          <w:p>
            <w:pPr>
              <w:numPr>
                <w:ilvl w:val="0"/>
                <w:numId w:val="0"/>
              </w:numPr>
              <w:ind w:firstLine="480" w:firstLineChars="200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领域分支：3层MLP，输出领域判别结果（源域或目标域）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解耦损失函数包括分类损失、领域判别损失、正交约束损失和互信息最小化损失。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分类损失：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交叉熵损失，保证类别判别性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领域判别损失：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二元交叉熵损失，增强领域区分度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正交约束损失：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特征向量正交化，减少特征冗余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default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互信息最小化损失：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降低特征间统计依赖性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步骤四：训练模型。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硬件适配优化：</w:t>
            </w:r>
          </w:p>
          <w:p>
            <w:pPr>
              <w:numPr>
                <w:ilvl w:val="0"/>
                <w:numId w:val="0"/>
              </w:numPr>
              <w:ind w:firstLine="1022" w:firstLineChars="426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BATCH_SIZE = 16</w:t>
            </w:r>
          </w:p>
          <w:p>
            <w:pPr>
              <w:numPr>
                <w:ilvl w:val="0"/>
                <w:numId w:val="0"/>
              </w:numPr>
              <w:ind w:firstLine="1022" w:firstLineChars="426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EPOCHS = 30</w:t>
            </w:r>
          </w:p>
          <w:p>
            <w:pPr>
              <w:numPr>
                <w:ilvl w:val="0"/>
                <w:numId w:val="0"/>
              </w:numPr>
              <w:ind w:firstLine="1022" w:firstLineChars="426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LEARNING_RATE = 1e-4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#适中学习率避免震荡</w:t>
            </w:r>
          </w:p>
          <w:p>
            <w:pPr>
              <w:numPr>
                <w:ilvl w:val="0"/>
                <w:numId w:val="0"/>
              </w:numPr>
              <w:ind w:firstLine="1022" w:firstLineChars="426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WEIGHT_DECAY = 1e-5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#轻量正则化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模型参数优化：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optimizer = optim.AdamW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(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filter(lambda p: p.requires_grad, model.parameters()),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lr=LEARNING_RATE,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weight_decay=WEIGHT_DECAY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) #选择性参数训练：只训练主干最后10层及双分支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学习率动态调整：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scheduler = optim.lr_scheduler.ReduceLROnPlateau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(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optimizer,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patience=5, #5个epoch无改善则降学习率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factor=0.5 #每次降低50%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)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完整的训练-验证循环：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def train_epoch(): #训练阶段：前向+反向传播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def val_epoch(): #验证阶段：纯前向，无梯度计算</w:t>
            </w: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步骤五：可视化训练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TSNE特征可视化函数：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def visualize_feature_tsne(features, labels, save_name):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tsne = TSNE(n_components=2, random_state=2025, perplexity=5)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# perplexity=5：小批量数据适配参数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正交性量化评估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def calculate_orthogonality(features1, features2):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features1_norm=features1/np.linalg.norm(features1,axis=1, keepdims=True)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features2_norm=features2/np.linalg.norm(features2,axis=1, keepdims=True)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>inner_product=np.mean(np.abs(np.matmul(features1_norm,features2_norm.T)))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lang w:val="en-US" w:eastAsia="zh-CN"/>
              </w:rPr>
              <w:t xml:space="preserve">    return inner_product</w:t>
            </w:r>
          </w:p>
          <w:p>
            <w:pPr>
              <w:numPr>
                <w:ilvl w:val="0"/>
                <w:numId w:val="0"/>
              </w:numPr>
              <w:ind w:firstLine="481"/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lang w:val="en-US" w:eastAsia="zh-CN"/>
              </w:rPr>
              <w:t>后期训练流程：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模型更换：</w:t>
            </w:r>
            <w:r>
              <w:rPr>
                <w:b/>
                <w:bCs/>
                <w:sz w:val="24"/>
                <w:szCs w:val="24"/>
                <w:lang w:eastAsia="zh-CN"/>
              </w:rPr>
              <w:t>ResNet50→ConvNeXt - V2 - Tiny</w:t>
            </w:r>
            <w:r>
              <w:rPr>
                <w:rFonts w:hint="eastAsia"/>
                <w:b/>
                <w:bCs/>
                <w:sz w:val="24"/>
                <w:szCs w:val="24"/>
                <w:lang w:eastAsia="zh-CN"/>
              </w:rPr>
              <w:t>，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仍保留</w:t>
            </w:r>
            <w:r>
              <w:rPr>
                <w:b/>
                <w:bCs/>
                <w:sz w:val="24"/>
                <w:szCs w:val="24"/>
                <w:lang w:eastAsia="zh-CN"/>
              </w:rPr>
              <w:t>ResNet50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作为基线对比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Style w:val="10"/>
                <w:rFonts w:hint="eastAsia" w:eastAsia="宋体"/>
                <w:lang w:eastAsia="zh-CN"/>
              </w:rPr>
            </w:pPr>
            <w:r>
              <w:rPr>
                <w:rStyle w:val="10"/>
                <w:rFonts w:hint="eastAsia"/>
                <w:lang w:val="en-US" w:eastAsia="zh-CN"/>
              </w:rPr>
              <w:t>步骤一：</w:t>
            </w:r>
            <w:r>
              <w:rPr>
                <w:rStyle w:val="10"/>
              </w:rPr>
              <w:t>数据预处理</w:t>
            </w:r>
            <w:r>
              <w:rPr>
                <w:rStyle w:val="10"/>
                <w:rFonts w:hint="eastAsia"/>
                <w:lang w:eastAsia="zh-CN"/>
              </w:rPr>
              <w:t>，重点针对Real域和Clipart域的特性差异设计不同的增强策略，Real域作为真实照片需要保持颜色自然和细节真实，采用保守的几何变换和轻微的颜色调整，而Clipart域作为卡通图像可以接受更大幅度的颜色变化和几何变形，通过这种差异化处理使模型能够更好地适应两个域的特征分布，为后续的域自适应学习奠定基础。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</w:pPr>
            <w:r>
              <w:t>Real域：亮度变化0.15，对比度0.15，饱和度0.1，色调0.05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</w:pPr>
            <w:r>
              <w:t>Clipart域：亮度变化0.25，对比度0.25，饱和度0.2，色调0.1，旋转角度±15°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</w:pPr>
            <w:r>
              <w:rPr>
                <w:rStyle w:val="10"/>
              </w:rPr>
              <w:t>Real域（真实照片）预处理重点：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</w:pPr>
            <w:r>
              <w:rPr>
                <w:rStyle w:val="10"/>
              </w:rPr>
              <w:t>颜色保真度</w:t>
            </w:r>
            <w:r>
              <w:t>：真实照片需要保持自然的颜色分布，增强幅度较小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</w:pPr>
            <w:r>
              <w:rPr>
                <w:rStyle w:val="10"/>
              </w:rPr>
              <w:t>细节保留</w:t>
            </w:r>
            <w:r>
              <w:t>：避免过度增强导致真实细节丢失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</w:pPr>
            <w:r>
              <w:rPr>
                <w:rStyle w:val="10"/>
              </w:rPr>
              <w:t>噪声模拟</w:t>
            </w:r>
            <w:r>
              <w:t>：添加轻微噪声模拟真实拍摄环境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</w:pPr>
            <w:r>
              <w:rPr>
                <w:rStyle w:val="10"/>
              </w:rPr>
              <w:t>几何变换保守</w:t>
            </w:r>
            <w:r>
              <w:t>：裁剪和翻转保持合理性，避免不真实变形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</w:pPr>
            <w:r>
              <w:rPr>
                <w:rStyle w:val="10"/>
              </w:rPr>
              <w:t>Clipart域（卡通插画）预处理重点：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</w:pPr>
            <w:r>
              <w:rPr>
                <w:rStyle w:val="10"/>
              </w:rPr>
              <w:t>风格适应性</w:t>
            </w:r>
            <w:r>
              <w:t>：卡通图像对几何变形容忍度更高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</w:pPr>
            <w:r>
              <w:rPr>
                <w:rStyle w:val="10"/>
              </w:rPr>
              <w:t>颜色增强</w:t>
            </w:r>
            <w:r>
              <w:t>：可以接受更大幅度的颜色变化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</w:pPr>
            <w:r>
              <w:rPr>
                <w:rStyle w:val="10"/>
              </w:rPr>
              <w:t>几何变换激进</w:t>
            </w:r>
            <w:r>
              <w:t>：更大的旋转角度和裁剪范围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 w:firstLine="482" w:firstLineChars="200"/>
              <w:rPr>
                <w:rFonts w:hint="default"/>
                <w:lang w:val="en-US" w:eastAsia="zh-CN"/>
              </w:rPr>
            </w:pPr>
            <w:r>
              <w:rPr>
                <w:rStyle w:val="10"/>
              </w:rPr>
              <w:t>边缘锐化</w:t>
            </w:r>
            <w:r>
              <w:t>：增强卡通图像的清晰轮廓特征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Style w:val="10"/>
                <w:rFonts w:hint="eastAsia" w:eastAsia="宋体"/>
                <w:lang w:eastAsia="zh-CN"/>
              </w:rPr>
            </w:pPr>
            <w:r>
              <w:rPr>
                <w:rStyle w:val="10"/>
                <w:rFonts w:hint="eastAsia"/>
                <w:lang w:val="en-US" w:eastAsia="zh-CN"/>
              </w:rPr>
              <w:t>步骤二：</w:t>
            </w:r>
            <w:r>
              <w:rPr>
                <w:rStyle w:val="10"/>
              </w:rPr>
              <w:t>模型初始化</w:t>
            </w:r>
            <w:r>
              <w:rPr>
                <w:rStyle w:val="10"/>
                <w:rFonts w:hint="eastAsia"/>
                <w:lang w:eastAsia="zh-CN"/>
              </w:rPr>
              <w:t>，采用ConvNeXt-V2-Tiny作为骨干网络并加载预训练权重，同时集成动态GRL模块实现渐进式域对抗训练，通过梯度反转机制让特征提取器学习域不变特征，模型采用双分支结构分别处理分类和域判别任务，并预留类中心管理机制为后续的特征对齐做准备。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</w:pPr>
            <w:r>
              <w:rPr>
                <w:rStyle w:val="10"/>
                <w:rFonts w:hint="eastAsia"/>
                <w:lang w:val="en-US" w:eastAsia="zh-CN"/>
              </w:rPr>
              <w:t>动态GRL模块设计：</w:t>
            </w:r>
            <w:r>
              <w:t>初始阶段(epoch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t>0-10)：λ从0.1线性增长到1.0</w:t>
            </w:r>
            <w:r>
              <w:rPr>
                <w:rFonts w:hint="eastAsia"/>
                <w:lang w:eastAsia="zh-CN"/>
              </w:rPr>
              <w:t>；</w:t>
            </w:r>
            <w:r>
              <w:t>中期阶段(epoch 10-25)：λ在1.0-2.0间动态调整</w:t>
            </w:r>
            <w:r>
              <w:rPr>
                <w:rFonts w:hint="eastAsia"/>
                <w:lang w:eastAsia="zh-CN"/>
              </w:rPr>
              <w:t>；</w:t>
            </w:r>
            <w:r>
              <w:t>后期阶段(epoch 25-35)：λ稳定在2.0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λ=2.0/(1+exp(-γ×p))-1.0</w:t>
            </w:r>
            <w:r>
              <w:rPr>
                <w:rFonts w:hint="eastAsia"/>
                <w:lang w:val="en-US" w:eastAsia="zh-CN"/>
              </w:rPr>
              <w:t>（</w:t>
            </w:r>
            <w:r>
              <w:rPr>
                <w:rFonts w:hint="default"/>
                <w:lang w:val="en-US" w:eastAsia="zh-CN"/>
              </w:rPr>
              <w:t>p=当前epoch/总epochs，γ=10控制增长速率</w:t>
            </w:r>
            <w:r>
              <w:rPr>
                <w:rFonts w:hint="eastAsia"/>
                <w:lang w:val="en-US" w:eastAsia="zh-CN"/>
              </w:rPr>
              <w:t>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梯度反转：</w:t>
            </w:r>
            <w:r>
              <w:rPr>
                <w:lang w:eastAsia="zh-CN"/>
              </w:rPr>
              <w:t>前期（epoch≤20）保持高强度域对抗，学习域不变特征；后期（epoch&gt;20）逐步降低强度，强化类别区分性</w:t>
            </w:r>
            <w:r>
              <w:rPr>
                <w:rFonts w:hint="eastAsia"/>
                <w:lang w:eastAsia="zh-CN"/>
              </w:rPr>
              <w:t>，</w:t>
            </w:r>
            <w:r>
              <w:t>核心公式为：α_t = α_base × (decay^(epoch//2))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其中</w:t>
            </w:r>
            <w:r>
              <w:t>α</w:t>
            </w:r>
            <w:r>
              <w:rPr>
                <w:lang w:eastAsia="zh-CN"/>
              </w:rPr>
              <w:t>_base=1.0（初始域对抗强度），decay=0.95（衰减系数）</w:t>
            </w:r>
            <w:r>
              <w:rPr>
                <w:rFonts w:hint="eastAsia"/>
                <w:lang w:eastAsia="zh-CN"/>
              </w:rPr>
              <w:t>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双分支结构设计</w:t>
            </w:r>
            <w:r>
              <w:rPr>
                <w:rFonts w:hint="eastAsia"/>
                <w:b/>
                <w:bCs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分类分支和域分类分支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1205" w:firstLineChars="50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分类分支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2400" w:firstLineChars="1000"/>
            </w:pPr>
            <w:r>
              <w:t>输入：2048维特征→1024→512→241类输出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2400" w:firstLineChars="1000"/>
            </w:pPr>
            <w:r>
              <w:t>激活函数：GELU（相比ReLU更平滑，梯度更稳定）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2400" w:firstLineChars="1000"/>
            </w:pPr>
            <w:r>
              <w:t>正则化：0.4Dropout防止过拟合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1205" w:firstLineChars="5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域分类分支：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2400" w:firstLineChars="1000"/>
            </w:pPr>
            <w:r>
              <w:t>位于GRL之后，接收反转梯度后的特征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2400" w:firstLineChars="1000"/>
            </w:pPr>
            <w:r>
              <w:t>结构对称于分类分支，确保公平竞争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2400" w:firstLineChars="1000"/>
              <w:rPr>
                <w:rFonts w:hint="default"/>
                <w:b/>
                <w:bCs/>
                <w:lang w:val="en-US" w:eastAsia="zh-CN"/>
              </w:rPr>
            </w:pPr>
            <w:r>
              <w:t>输出单节点，使用Sigmoid进行二分类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Style w:val="10"/>
                <w:rFonts w:hint="eastAsia" w:eastAsia="宋体"/>
                <w:b w:val="0"/>
                <w:bCs w:val="0"/>
                <w:lang w:eastAsia="zh-CN"/>
              </w:rPr>
            </w:pPr>
            <w:r>
              <w:rPr>
                <w:rStyle w:val="10"/>
                <w:rFonts w:hint="eastAsia"/>
                <w:lang w:val="en-US" w:eastAsia="zh-CN"/>
              </w:rPr>
              <w:t>步骤三：</w:t>
            </w:r>
            <w:r>
              <w:rPr>
                <w:rStyle w:val="10"/>
                <w:b w:val="0"/>
                <w:bCs w:val="0"/>
              </w:rPr>
              <w:t>迭代训练</w:t>
            </w:r>
            <w:r>
              <w:rPr>
                <w:rStyle w:val="10"/>
                <w:rFonts w:hint="eastAsia"/>
                <w:b w:val="0"/>
                <w:bCs w:val="0"/>
                <w:lang w:eastAsia="zh-CN"/>
              </w:rPr>
              <w:t>，采用分阶段优化策略，前3个epoch进行预热训练并计算初始类中心，之后每3个epoch更新类中心以反映模型进化，每5个epoch动态调整四重损失函数的融合权重，整个35个epoch的训练过程中逐步加强域适应和重构损失的权重，实现分类精度和域泛化能力的平衡提升。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  <w:rPr>
                <w:rFonts w:hint="eastAsia" w:eastAsia="宋体"/>
                <w:lang w:eastAsia="zh-CN"/>
              </w:rPr>
            </w:pPr>
            <w:r>
              <w:rPr>
                <w:rStyle w:val="10"/>
                <w:rFonts w:hint="eastAsia"/>
                <w:lang w:val="en-US" w:eastAsia="zh-CN"/>
              </w:rPr>
              <w:t>初始化：</w:t>
            </w:r>
            <w:r>
              <w:t>前3个epoch仅用源域数据计算初始类中心</w:t>
            </w:r>
            <w:r>
              <w:rPr>
                <w:rFonts w:hint="eastAsia"/>
                <w:lang w:eastAsia="zh-CN"/>
              </w:rPr>
              <w:t>，</w:t>
            </w:r>
            <w:r>
              <w:t>每个batch更新</w:t>
            </w:r>
            <w:r>
              <w:rPr>
                <w:rFonts w:hint="eastAsia"/>
                <w:lang w:eastAsia="zh-CN"/>
              </w:rPr>
              <w:t>（</w:t>
            </w:r>
            <w:r>
              <w:t>使用动量更新：新中心 = 0.9×旧中心 + 0.1×当前batch均值</w:t>
            </w:r>
            <w:r>
              <w:rPr>
                <w:rFonts w:hint="eastAsia"/>
                <w:lang w:eastAsia="zh-CN"/>
              </w:rPr>
              <w:t>）</w:t>
            </w:r>
            <w:r>
              <w:t>对应类别的特征中心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然后</w:t>
            </w:r>
            <w:r>
              <w:t>每3个epoch重新计算所有类中心</w:t>
            </w:r>
            <w:r>
              <w:rPr>
                <w:rFonts w:hint="eastAsia"/>
                <w:lang w:eastAsia="zh-CN"/>
              </w:rPr>
              <w:t>，</w:t>
            </w:r>
            <w:r>
              <w:t>使用当前模型提取的特征，反映模型进化</w:t>
            </w:r>
            <w:r>
              <w:rPr>
                <w:rFonts w:hint="eastAsia"/>
                <w:lang w:eastAsia="zh-CN"/>
              </w:rPr>
              <w:t>，</w:t>
            </w:r>
            <w:r>
              <w:t>同时考虑源域和目标域的特征分布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中心对齐损失：</w:t>
            </w:r>
            <w:r>
              <w:rPr>
                <w:rFonts w:hint="eastAsia"/>
                <w:lang w:eastAsia="zh-CN"/>
              </w:rPr>
              <w:t>L_center = Σ ||f_target - c_class||²（c_class是对应类别的特征中心）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</w:pPr>
            <w:r>
              <w:rPr>
                <w:rFonts w:hint="eastAsia"/>
                <w:b/>
                <w:bCs/>
                <w:lang w:val="en-US" w:eastAsia="zh-CN"/>
              </w:rPr>
              <w:t>动态权重融合：</w:t>
            </w:r>
            <w:r>
              <w:rPr>
                <w:rStyle w:val="10"/>
                <w:b w:val="0"/>
                <w:bCs w:val="0"/>
              </w:rPr>
              <w:t>每5个epoch</w:t>
            </w:r>
            <w:r>
              <w:rPr>
                <w:rStyle w:val="10"/>
                <w:rFonts w:hint="eastAsia"/>
                <w:b w:val="0"/>
                <w:bCs w:val="0"/>
                <w:lang w:val="en-US" w:eastAsia="zh-CN"/>
              </w:rPr>
              <w:t>进行权重更新，</w:t>
            </w:r>
            <w:r>
              <w:t>基于验证集性能进行微调</w:t>
            </w:r>
            <w:r>
              <w:rPr>
                <w:rFonts w:hint="eastAsia"/>
                <w:lang w:eastAsia="zh-CN"/>
              </w:rPr>
              <w:t>，</w:t>
            </w:r>
            <w:r>
              <w:t>如果某损失下降过快，适当降低其权重</w:t>
            </w:r>
            <w:r>
              <w:rPr>
                <w:rFonts w:hint="eastAsia"/>
                <w:lang w:val="en-US" w:eastAsia="zh-CN"/>
              </w:rPr>
              <w:t>以</w:t>
            </w:r>
            <w:r>
              <w:t>确保四重损失的平衡优化</w:t>
            </w:r>
            <w:r>
              <w:rPr>
                <w:rFonts w:hint="eastAsia"/>
                <w:lang w:eastAsia="zh-CN"/>
              </w:rPr>
              <w:t>。</w:t>
            </w:r>
            <w:r>
              <w:rPr>
                <w:rFonts w:hint="eastAsia"/>
                <w:lang w:val="en-US" w:eastAsia="zh-CN"/>
              </w:rPr>
              <w:t>权重更新逻辑：</w:t>
            </w:r>
            <w:r>
              <w:rPr>
                <w:rFonts w:hint="eastAsia"/>
              </w:rPr>
              <w:t>progress = current_epoch / total_epochs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weight = initial + (final - initial) * progress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权重更新体现：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分类损失：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1.2至0.8（线性递减）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域适应损失：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0.3至0.7（线性递增）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重构损失：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0.5至0.9（渐进增加）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中心对齐损失：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0.2至0.5（后期加强）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rPr>
                <w:rStyle w:val="10"/>
                <w:rFonts w:hint="default"/>
                <w:b w:val="0"/>
                <w:bCs w:val="0"/>
                <w:lang w:val="en-US" w:eastAsia="zh-CN"/>
              </w:rPr>
            </w:pPr>
            <w:r>
              <w:rPr>
                <w:rStyle w:val="10"/>
                <w:rFonts w:hint="eastAsia"/>
                <w:lang w:val="en-US" w:eastAsia="zh-CN"/>
              </w:rPr>
              <w:t>步骤四：</w:t>
            </w:r>
            <w:r>
              <w:rPr>
                <w:rStyle w:val="10"/>
                <w:b w:val="0"/>
                <w:bCs w:val="0"/>
              </w:rPr>
              <w:t>模型保存</w:t>
            </w:r>
            <w:r>
              <w:rPr>
                <w:rStyle w:val="10"/>
                <w:rFonts w:hint="eastAsia"/>
                <w:b w:val="0"/>
                <w:bCs w:val="0"/>
                <w:lang w:eastAsia="zh-CN"/>
              </w:rPr>
              <w:t>，以验证集AUROC作为唯一评价标准，从第10个epoch开始定期评估并保存性能最佳的模型权重，检查点不仅包含模型参数还保存类中心和损失权重等关键训练状态，确保最终推理模型具备最强的泛化能力和域适应性能。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构建验证集：</w:t>
            </w:r>
            <w:r>
              <w:t>从源域和目标域各取20%数据作为验证集</w:t>
            </w:r>
            <w:r>
              <w:rPr>
                <w:rFonts w:hint="eastAsia"/>
                <w:lang w:val="en-US" w:eastAsia="zh-CN"/>
              </w:rPr>
              <w:t>以</w:t>
            </w:r>
            <w:r>
              <w:t>确保类别分布的平衡性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  <w:rPr>
                <w:rFonts w:hint="eastAsia"/>
                <w:lang w:eastAsia="zh-CN"/>
              </w:rPr>
            </w:pPr>
            <w:r>
              <w:rPr>
                <w:rStyle w:val="10"/>
                <w:rFonts w:hint="eastAsia"/>
                <w:lang w:val="en-US" w:eastAsia="zh-CN"/>
              </w:rPr>
              <w:t>AUROC评估：</w:t>
            </w:r>
            <w:r>
              <w:t>忽略样本数过少的类别（样本数&lt;10）</w:t>
            </w:r>
            <w:r>
              <w:rPr>
                <w:rFonts w:hint="eastAsia"/>
                <w:lang w:eastAsia="zh-CN"/>
              </w:rPr>
              <w:t>，</w:t>
            </w:r>
            <w:r>
              <w:t>对</w:t>
            </w:r>
            <w:r>
              <w:rPr>
                <w:rFonts w:hint="eastAsia"/>
                <w:lang w:val="en-US" w:eastAsia="zh-CN"/>
              </w:rPr>
              <w:t>余下的</w:t>
            </w:r>
            <w:r>
              <w:t>每个类别进行一对多的AUROC计算</w:t>
            </w:r>
            <w:r>
              <w:rPr>
                <w:rFonts w:hint="eastAsia"/>
                <w:lang w:eastAsia="zh-CN"/>
              </w:rPr>
              <w:t>，</w:t>
            </w:r>
            <w:r>
              <w:t>取所有类别AUROC的宏平均作为总体指标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检查点内容：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 xml:space="preserve">checkpoint = 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{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 'epoch': current_epoch,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 'model_state_dict': model.state_dict(),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 'optimizer_state_dict': optimizer.state_dict(),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 'best_auroc': current_auroc,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 'class_centers': class_centers,  # 重要的特征中心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 'fusion_weights': current_weights,  # 当前的损失权重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 xml:space="preserve">    'training_history': loss_history  # 训练过程记录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0" w:firstLineChars="200"/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firstLine="482" w:firstLineChars="200"/>
              <w:rPr>
                <w:rStyle w:val="10"/>
                <w:rFonts w:hint="default"/>
                <w:lang w:val="en-US" w:eastAsia="zh-CN"/>
              </w:rPr>
            </w:pPr>
            <w:r>
              <w:rPr>
                <w:rStyle w:val="10"/>
                <w:rFonts w:hint="eastAsia"/>
                <w:lang w:val="en-US" w:eastAsia="zh-CN"/>
              </w:rPr>
              <w:t>模型保存：</w:t>
            </w:r>
            <w:r>
              <w:rPr>
                <w:rStyle w:val="10"/>
                <w:rFonts w:hint="eastAsia"/>
                <w:b w:val="0"/>
                <w:bCs w:val="0"/>
                <w:lang w:val="en-US" w:eastAsia="zh-CN"/>
              </w:rPr>
              <w:t>通过早停与回退机制，</w:t>
            </w:r>
            <w:r>
              <w:rPr>
                <w:lang w:eastAsia="zh-CN"/>
              </w:rPr>
              <w:t>保存验证集AUROC最高的模型权重</w:t>
            </w:r>
            <w:r>
              <w:rPr>
                <w:rFonts w:hint="eastAsia"/>
                <w:lang w:eastAsia="zh-CN"/>
              </w:rPr>
              <w:t>，确保选择泛化能力最强的模型。</w:t>
            </w:r>
            <w:r>
              <w:rPr>
                <w:rStyle w:val="10"/>
                <w:rFonts w:hint="eastAsia"/>
                <w:b w:val="0"/>
                <w:bCs w:val="0"/>
                <w:lang w:val="en-US" w:eastAsia="zh-CN"/>
              </w:rPr>
              <w:t>（</w:t>
            </w:r>
            <w:r>
              <w:rPr>
                <w:rStyle w:val="10"/>
                <w:rFonts w:hint="eastAsia"/>
                <w:lang w:val="en-US" w:eastAsia="zh-CN"/>
              </w:rPr>
              <w:t>早停条件：</w:t>
            </w:r>
            <w:r>
              <w:t>连续10个epoch验证集AUROC无提升训练损失连续上升超过5个e</w:t>
            </w:r>
            <w:r>
              <w:rPr>
                <w:rFonts w:hint="eastAsia"/>
                <w:lang w:eastAsia="zh-CN"/>
              </w:rPr>
              <w:t>，</w:t>
            </w:r>
            <w:r>
              <w:t>测到过拟合迹象（训练损失下降但验证损失上升）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hint="eastAsia"/>
                <w:b/>
                <w:bCs/>
                <w:lang w:val="en-US" w:eastAsia="zh-CN"/>
              </w:rPr>
              <w:t>回退理念：</w:t>
            </w:r>
            <w:r>
              <w:t>保存每个epoch的模型副本（有限数量）</w:t>
            </w:r>
            <w:r>
              <w:rPr>
                <w:rFonts w:hint="eastAsia"/>
                <w:lang w:eastAsia="zh-CN"/>
              </w:rPr>
              <w:t>，</w:t>
            </w:r>
            <w:r>
              <w:t>如果发现后续性能下降，可以回退到历史最佳最终选择整个训练过程中的全局最佳模型</w:t>
            </w:r>
            <w:r>
              <w:rPr>
                <w:rStyle w:val="10"/>
                <w:rFonts w:hint="eastAsia"/>
                <w:b w:val="0"/>
                <w:bCs w:val="0"/>
                <w:lang w:val="en-US" w:eastAsia="zh-CN"/>
              </w:rPr>
              <w:t>）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lang w:val="en-US" w:eastAsia="zh-CN"/>
              </w:rPr>
              <w:t>实施例</w:t>
            </w:r>
          </w:p>
          <w:p>
            <w:pPr>
              <w:rPr>
                <w:rFonts w:hint="default" w:ascii="楷体" w:hAnsi="楷体" w:eastAsia="楷体"/>
                <w:b/>
                <w:color w:val="FF0000"/>
                <w:sz w:val="24"/>
                <w:lang w:val="en-US" w:eastAsia="zh-CN"/>
              </w:rPr>
            </w:pPr>
            <w:r>
              <w:rPr>
                <w:rFonts w:hint="default" w:ascii="宋体" w:hAnsi="宋体" w:cs="宋体"/>
                <w:b w:val="0"/>
                <w:bCs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该联合训练系统首先对Real域和Clipart域图像进行差异化预处理，Real域采用保守增强以保持真实感，Clipart域则使用激进增强提升鲁棒性；随后初始化ConvNeXt-V2-Tiny骨干网络并集成动态GRL模块，通过双分支结构分别处理分类和域判别任务；在35个epoch的迭代训练中，前3个epoch计算类中心，之后每3个epoch更新类中心、每5个epoch动态调整四重损失（分类损失、域适应损失、重构损失和中心对齐损失）的融合权重，实现分类精度与域适应能力的平衡优化；最终以验证集AUROC为指标保存最佳模型，确保推理时具备最优泛化性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6" w:hRule="atLeast"/>
          <w:jc w:val="center"/>
        </w:trPr>
        <w:tc>
          <w:tcPr>
            <w:tcW w:w="9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附图：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本发明附图包括以下内容：</w:t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图1：模型架构示意图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6099175" cy="1915795"/>
                  <wp:effectExtent l="0" t="0" r="12065" b="4445"/>
                  <wp:docPr id="17" name="图片 17" descr="exported_image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exported_image (1)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175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jc w:val="center"/>
              <w:rPr>
                <w:rFonts w:hint="eastAsia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图2</w:t>
            </w:r>
            <w:r>
              <w:rPr>
                <w:rFonts w:hint="eastAsia"/>
                <w:lang w:val="en-US" w:eastAsia="zh-CN"/>
              </w:rPr>
              <w:t>:</w:t>
            </w:r>
            <w:r>
              <w:rPr>
                <w:rFonts w:hint="eastAsia"/>
              </w:rPr>
              <w:t>Accuracy（准确率曲线）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lang w:val="en-US" w:eastAsia="zh-CN"/>
              </w:rPr>
              <w:t>监控模型在分类任务上的核心性能。base_acc代表基础模型的性能，train和val分别代表在训练集和验证集上的表现。从曲线看，验证集准确率最终达到约0.84，表明模型具备良好的分类能力。</w:t>
            </w:r>
          </w:p>
          <w:p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6092190" cy="2862580"/>
                  <wp:effectExtent l="0" t="0" r="3810" b="2540"/>
                  <wp:docPr id="18" name="图片 18" descr="accurac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accuracy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2190" cy="286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jc w:val="center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图三：OpenSet（开放集与域适应评估曲线）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</w:pPr>
            <w:r>
              <w:t>这是评估域适应效果和模型泛化能力的核心图表。其中：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/>
            </w:pPr>
            <w:r>
              <w:t>val_auroc(0.8827) 是验证集的AUROC值，是衡量模型在目标域上区分能力的关键指标，数值越高越好。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/>
            </w:pPr>
            <w:r>
              <w:t>val_h_score(0.8185) 是衡量模型在“开放集”（即存在未知类别）场景下性能的指标。</w:t>
            </w:r>
          </w:p>
          <w:p>
            <w:pPr>
              <w:pStyle w:val="7"/>
              <w:keepNext w:val="0"/>
              <w:keepLines w:val="0"/>
              <w:widowControl/>
              <w:suppressLineNumbers w:val="0"/>
              <w:ind w:left="720"/>
              <w:rPr>
                <w:rFonts w:hint="default"/>
                <w:lang w:val="en-US" w:eastAsia="zh-CN"/>
              </w:rPr>
            </w:pPr>
            <w:r>
              <w:t>grl_alpha是动态梯度反转层(GRL)的权重参数，其变化曲线反映了对抗训练策略的调整过程。</w:t>
            </w:r>
          </w:p>
          <w:p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6090285" cy="2818130"/>
                  <wp:effectExtent l="0" t="0" r="5715" b="1270"/>
                  <wp:docPr id="19" name="图片 19" descr="open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openset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285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jc w:val="center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图四：Loss（各项损失曲线）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drawing>
                <wp:inline distT="0" distB="0" distL="114300" distR="114300">
                  <wp:extent cx="6102350" cy="3843020"/>
                  <wp:effectExtent l="0" t="0" r="8890" b="12700"/>
                  <wp:docPr id="22" name="图片 22" descr="lo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loss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2350" cy="384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rPr>
                <w:rFonts w:hint="eastAsia"/>
                <w:lang w:eastAsia="zh-CN"/>
              </w:rPr>
            </w:pPr>
          </w:p>
          <w:p>
            <w:pPr>
              <w:pStyle w:val="2"/>
              <w:jc w:val="center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图五：DomainMSE（域间特征重构误差）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lang w:val="en-US" w:eastAsia="zh-CN"/>
              </w:rPr>
              <w:t>专门用于监控特征解耦与重构模块的域不变性。src_mse和tgt_mse分别表示源域和目标域的特征重构误差。两者数值非常接近（约0.03），且差异mse_diff极小，证明模型成功学习到了域不变的特征表示，这是域自适应成功的关键证据。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6091555" cy="2874010"/>
                  <wp:effectExtent l="0" t="0" r="4445" b="6350"/>
                  <wp:docPr id="21" name="图片 21" descr="m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ms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1555" cy="287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"/>
              <w:jc w:val="center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  <w:p/>
          <w:p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技术关键点和欲保护点：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宋体" w:hAnsi="宋体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技术关键点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动态梯度反转机制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：核心公式：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color w:val="000000"/>
                      <w:sz w:val="24"/>
                      <w:lang w:val="en-US"/>
                    </w:rPr>
                    <m:t>α</m:t>
                  </m: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000000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color w:val="000000"/>
                  <w:sz w:val="24"/>
                  <w:lang w:val="en-US" w:eastAsia="zh-CN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color w:val="000000"/>
                      <w:sz w:val="24"/>
                      <w:lang w:val="en-US"/>
                    </w:rPr>
                    <m:t>α</m:t>
                  </m: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000000"/>
                      <w:sz w:val="24"/>
                      <w:lang w:val="en-US" w:eastAsia="zh-CN"/>
                    </w:rPr>
                    <m:t>base</m:t>
                  </m: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color w:val="000000"/>
                  <w:sz w:val="24"/>
                  <w:lang w:val="en-US" w:eastAsia="zh-CN"/>
                </w:rPr>
                <m:t>×</m:t>
              </m:r>
              <m:sSup>
                <m:sSupPr>
                  <m:ctrlPr>
                    <w:rPr>
                      <w:rFonts w:hint="default" w:ascii="Cambria Math" w:hAnsi="Cambria Math" w:cs="Cambria Math"/>
                      <w:i/>
                      <w:color w:val="000000"/>
                      <w:sz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olor w:val="000000"/>
                      <w:sz w:val="24"/>
                      <w:lang w:val="en-US" w:eastAsia="zh-CN"/>
                    </w:rPr>
                    <m:t>decay</m:t>
                  </m:r>
                  <m:ctrlPr>
                    <w:rPr>
                      <w:rFonts w:hint="default" w:ascii="Cambria Math" w:hAnsi="Cambria Math" w:cs="Cambria Math"/>
                      <w:i/>
                      <w:color w:val="000000"/>
                      <w:sz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olor w:val="000000"/>
                      <w:sz w:val="24"/>
                      <w:lang w:val="en-US" w:eastAsia="zh-CN"/>
                    </w:rPr>
                    <m:t>epocℎ//2</m:t>
                  </m:r>
                  <m:ctrlPr>
                    <w:rPr>
                      <w:rFonts w:hint="default" w:ascii="Cambria Math" w:hAnsi="Cambria Math" w:cs="Cambria Math"/>
                      <w:i/>
                      <w:color w:val="000000"/>
                      <w:sz w:val="24"/>
                      <w:lang w:val="en-US" w:eastAsia="zh-CN"/>
                    </w:rPr>
                  </m:ctrlPr>
                </m:sup>
              </m:sSup>
            </m:oMath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eastAsia" w:hAnsi="Cambria Math" w:cs="宋体"/>
                <w:b/>
                <w:bCs/>
                <w:i w:val="0"/>
                <w:color w:val="000000"/>
                <w:sz w:val="24"/>
                <w:lang w:val="en-US" w:eastAsia="zh-CN"/>
              </w:rPr>
            </w:pPr>
            <w:r>
              <w:rPr>
                <w:rFonts w:hint="eastAsia" w:hAnsi="Cambria Math" w:cs="Cambria Math"/>
                <w:b/>
                <w:bCs/>
                <w:i w:val="0"/>
                <w:color w:val="000000"/>
                <w:sz w:val="24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color w:val="000000"/>
                      <w:sz w:val="24"/>
                      <w:lang w:val="en-US"/>
                    </w:rPr>
                    <m:t>α</m:t>
                  </m: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000000"/>
                      <w:sz w:val="24"/>
                      <w:lang w:val="en-US" w:eastAsia="zh-CN"/>
                    </w:rPr>
                    <m:t>base</m:t>
                  </m: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Cambria Math" w:cs="宋体"/>
                <w:b/>
                <w:bCs/>
                <w:i w:val="0"/>
                <w:color w:val="000000"/>
                <w:sz w:val="24"/>
                <w:lang w:val="en-US" w:eastAsia="zh-CN"/>
              </w:rPr>
              <w:t>是初始域对抗强度，</w:t>
            </w:r>
            <w:r>
              <w:rPr>
                <w:rFonts w:hint="eastAsia" w:hAnsi="Cambria Math" w:cs="宋体"/>
                <w:b w:val="0"/>
                <w:bCs w:val="0"/>
                <w:i w:val="0"/>
                <w:color w:val="000000"/>
                <w:sz w:val="24"/>
                <w:lang w:val="en-US" w:eastAsia="zh-CN"/>
              </w:rPr>
              <w:t>decay</w:t>
            </w:r>
            <w:r>
              <w:rPr>
                <w:rFonts w:hint="eastAsia" w:hAnsi="Cambria Math" w:cs="宋体"/>
                <w:b/>
                <w:bCs/>
                <w:i w:val="0"/>
                <w:color w:val="000000"/>
                <w:sz w:val="24"/>
                <w:lang w:val="en-US" w:eastAsia="zh-CN"/>
              </w:rPr>
              <w:t>是衰减系数。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hAnsi="Cambria Math" w:cs="宋体"/>
                <w:b/>
                <w:bCs/>
                <w:i w:val="0"/>
                <w:color w:val="000000"/>
                <w:sz w:val="24"/>
                <w:lang w:val="en-US" w:eastAsia="zh-CN"/>
              </w:rPr>
              <w:t>在epoch≤20时保持高强度域对抗，学习域不变特征；当epoch&gt;20时逐步降低强度，强化类别区分性。该机制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通过epoch分组衰减策略，平衡域对抗与特征区分性，其有助于于解决固定GRL导致的特征区分性丧失问题，从而增加模型的识别准确性。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滑动平均类中心优化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：核心公式：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=0.9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×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t−1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+0.1×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current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ub>
              </m:sSub>
            </m:oMath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t−1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Cambria Math" w:cs="Cambria Math"/>
                <w:b/>
                <w:bCs/>
                <w:i w:val="0"/>
                <w:sz w:val="24"/>
                <w:lang w:val="en-US" w:eastAsia="zh-CN"/>
              </w:rPr>
              <w:t>是历史类中心，</w:t>
            </w:r>
            <m:oMath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current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Cambria Math" w:cs="Cambria Math"/>
                <w:b/>
                <w:bCs/>
                <w:i w:val="0"/>
                <w:sz w:val="24"/>
                <w:lang w:val="en-US" w:eastAsia="zh-CN"/>
              </w:rPr>
              <w:t>是当前epoch已知类特征均值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lang w:val="en-US" w:eastAsia="zh-CN"/>
              </w:rPr>
              <w:t>在优化过程中每3个epoch以0.1权重滑动平均更新，以适配特征分布动态变化，从而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解决静态类中心适配性差的问题。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 w:val="0"/>
                <w:sz w:val="24"/>
              </w:rPr>
              <w:t>开放集</w:t>
            </w: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对比损失</w:t>
            </w:r>
            <w:r>
              <w:rPr>
                <w:rFonts w:hint="eastAsia" w:ascii="宋体" w:hAnsi="宋体"/>
                <w:b/>
                <w:bCs w:val="0"/>
                <w:sz w:val="24"/>
              </w:rPr>
              <w:t>：</w:t>
            </w: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我们增加了两种损失函数以计算已知类与未知类的损失细节，从而对</w:t>
            </w:r>
            <w:r>
              <w:rPr>
                <w:rFonts w:hint="eastAsia" w:ascii="宋体" w:hAnsi="宋体"/>
                <w:b/>
                <w:bCs w:val="0"/>
                <w:sz w:val="24"/>
              </w:rPr>
              <w:t>未知类别样本</w:t>
            </w: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进行确认</w:t>
            </w:r>
            <w:r>
              <w:rPr>
                <w:rFonts w:hint="eastAsia" w:ascii="宋体" w:hAnsi="宋体"/>
                <w:b/>
                <w:bCs w:val="0"/>
                <w:sz w:val="24"/>
              </w:rPr>
              <w:t>，</w:t>
            </w: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以</w:t>
            </w:r>
            <w:r>
              <w:rPr>
                <w:rFonts w:hint="eastAsia" w:ascii="宋体" w:hAnsi="宋体"/>
                <w:b/>
                <w:bCs w:val="0"/>
                <w:sz w:val="24"/>
              </w:rPr>
              <w:t>防止错误</w:t>
            </w: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识别</w:t>
            </w:r>
            <w:r>
              <w:rPr>
                <w:rFonts w:hint="eastAsia" w:ascii="宋体" w:hAnsi="宋体"/>
                <w:b/>
                <w:bCs w:val="0"/>
                <w:sz w:val="24"/>
              </w:rPr>
              <w:t>。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hAnsi="Cambria Math"/>
                <w:bCs w:val="0"/>
                <w:i w:val="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bCs w:val="0"/>
                <w:sz w:val="24"/>
                <w:lang w:val="en-US" w:eastAsia="zh-CN"/>
              </w:rPr>
              <w:t>已知类损失</w:t>
            </w: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=−log(exp(−</m:t>
              </m:r>
              <m:sSub>
                <m:sSubP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)/sum(exp(−d)))</m:t>
              </m:r>
            </m:oMath>
          </w:p>
          <w:p>
            <w:pPr>
              <w:numPr>
                <w:ilvl w:val="0"/>
                <w:numId w:val="0"/>
              </w:numPr>
              <w:ind w:left="840" w:leftChars="400" w:firstLine="0" w:firstLineChars="0"/>
              <w:rPr>
                <w:rFonts w:hint="default" w:hAnsi="Cambria Math"/>
                <w:b/>
                <w:bCs/>
                <w:i w:val="0"/>
                <w:sz w:val="24"/>
                <w:lang w:val="en-US" w:eastAsia="zh-CN"/>
              </w:rPr>
            </w:pPr>
            <w:r>
              <w:rPr>
                <w:rFonts w:hint="default" w:hAnsi="Cambria Math"/>
                <w:b/>
                <w:bCs/>
                <w:i w:val="0"/>
                <w:sz w:val="24"/>
                <w:lang w:val="en-US" w:eastAsia="zh-CN"/>
              </w:rPr>
              <w:t>其中</w:t>
            </w:r>
            <m:oMath>
              <m:sSub>
                <m:sSubP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ub>
              </m:sSub>
            </m:oMath>
            <w:r>
              <w:rPr>
                <w:rFonts w:hint="default" w:hAnsi="Cambria Math"/>
                <w:b/>
                <w:bCs/>
                <w:i w:val="0"/>
                <w:sz w:val="24"/>
                <w:lang w:val="en-US" w:eastAsia="zh-CN"/>
              </w:rPr>
              <w:t>为样本与自身类中心的欧氏距离，</w:t>
            </w:r>
            <m:oMath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d</m:t>
              </m:r>
            </m:oMath>
            <w:r>
              <w:rPr>
                <w:rFonts w:hint="default" w:hAnsi="Cambria Math"/>
                <w:b/>
                <w:bCs/>
                <w:i w:val="0"/>
                <w:sz w:val="24"/>
                <w:lang w:val="en-US" w:eastAsia="zh-CN"/>
              </w:rPr>
              <w:t>为样本与所有已知类中心的距离集合</w:t>
            </w:r>
            <w:r>
              <w:rPr>
                <w:rFonts w:hint="default" w:hAnsi="Cambria Math"/>
                <w:bCs w:val="0"/>
                <w:i w:val="0"/>
                <w:sz w:val="24"/>
                <w:lang w:val="en-US" w:eastAsia="zh-CN"/>
              </w:rPr>
              <w:t>；</w:t>
            </w:r>
            <w:r>
              <w:rPr>
                <w:rFonts w:hint="eastAsia" w:hAnsi="Cambria Math"/>
                <w:b/>
                <w:bCs/>
                <w:i w:val="0"/>
                <w:sz w:val="24"/>
                <w:lang w:val="en-US" w:eastAsia="zh-CN"/>
              </w:rPr>
              <w:t>该损失用于拉近同类样本距离。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hAnsi="Cambria Math"/>
                <w:bCs w:val="0"/>
                <w:i w:val="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bCs w:val="0"/>
                <w:sz w:val="24"/>
                <w:lang w:val="en-US" w:eastAsia="zh-CN"/>
              </w:rPr>
              <w:t>未知类损失</w:t>
            </w:r>
            <w:r>
              <w:rPr>
                <w:rFonts w:hint="eastAsia" w:ascii="宋体" w:hAnsi="宋体"/>
                <w:b/>
                <w:bCs w:val="0"/>
                <w:sz w:val="24"/>
                <w:lang w:val="en-US" w:eastAsia="zh-CN"/>
              </w:rPr>
              <w:t>：</w:t>
            </w: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unknown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=max(0,margin−</m:t>
              </m:r>
              <m:sSub>
                <m:sSubP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min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)</m:t>
              </m:r>
            </m:oMath>
          </w:p>
          <w:p>
            <w:pPr>
              <w:numPr>
                <w:ilvl w:val="0"/>
                <w:numId w:val="0"/>
              </w:numPr>
              <w:ind w:left="840" w:leftChars="400" w:firstLine="0" w:firstLineChars="0"/>
              <w:rPr>
                <w:rFonts w:hint="eastAsia" w:hAnsi="Cambria Math"/>
                <w:b/>
                <w:bCs/>
                <w:i w:val="0"/>
                <w:sz w:val="24"/>
                <w:lang w:val="en-US" w:eastAsia="zh-CN"/>
              </w:rPr>
            </w:pPr>
            <w:r>
              <w:rPr>
                <w:rFonts w:hint="eastAsia" w:hAnsi="Cambria Math"/>
                <w:b/>
                <w:bCs/>
                <w:i w:val="0"/>
                <w:sz w:val="24"/>
                <w:lang w:val="en-US" w:eastAsia="zh-CN"/>
              </w:rPr>
              <w:t>其中</w:t>
            </w:r>
            <w:r>
              <w:rPr>
                <w:rFonts w:hint="eastAsia" w:hAnsi="Cambria Math"/>
                <w:b w:val="0"/>
                <w:bCs w:val="0"/>
                <w:i w:val="0"/>
                <w:sz w:val="24"/>
                <w:lang w:val="en-US" w:eastAsia="zh-CN"/>
              </w:rPr>
              <w:t>margin是</w:t>
            </w:r>
            <w:r>
              <w:rPr>
                <w:rFonts w:hint="eastAsia" w:hAnsi="Cambria Math"/>
                <w:b/>
                <w:bCs/>
                <w:i w:val="0"/>
                <w:sz w:val="24"/>
                <w:lang w:val="en-US" w:eastAsia="zh-CN"/>
              </w:rPr>
              <w:t>类别边界阈值，我们取0.3，而</w:t>
            </w:r>
            <m:oMath>
              <m:sSub>
                <m:sSubP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min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hAnsi="Cambria Math"/>
                <w:b/>
                <w:bCs/>
                <w:i w:val="0"/>
                <w:sz w:val="24"/>
                <w:lang w:val="en-US" w:eastAsia="zh-CN"/>
              </w:rPr>
              <w:t>是样本与最近已知类中心的距离；该损失用于推远未知类样本。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eastAsia" w:hAnsi="Cambria Math" w:eastAsia="宋体"/>
                <w:b/>
                <w:bCs/>
                <w:i w:val="0"/>
                <w:sz w:val="24"/>
                <w:lang w:val="en-US" w:eastAsia="zh-CN"/>
              </w:rPr>
            </w:pPr>
            <w:r>
              <w:rPr>
                <w:rFonts w:hint="eastAsia" w:hAnsi="Cambria Math"/>
                <w:b/>
                <w:bCs/>
                <w:i w:val="0"/>
                <w:sz w:val="24"/>
                <w:lang w:val="en-US" w:eastAsia="zh-CN"/>
              </w:rPr>
              <w:t>为了平衡两类样本优化优先级，我们引入联合损失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contrast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=0.6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+0.4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unknown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 w:hAnsi="Cambria Math"/>
                <w:b/>
                <w:bCs/>
                <w:i w:val="0"/>
                <w:sz w:val="24"/>
                <w:lang w:val="en-US" w:eastAsia="zh-CN"/>
              </w:rPr>
              <w:t>。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多维度自适应融合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：将模型分类置信度、样本-类中心欧氏距离、VAE重构误差、特征方差等维度进行融合，再使用不同的权重分布进行验证与选择，以动态匹配数据分布。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先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预设4组权重组合[0.3,0.3,0.2,0.2]、[0.25,0.25,0.25,0.25]、[0.4,0.2,0.2,0.2]、[0.3,0.2,0.3,0.2]，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再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每5个epoch通过验证集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的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AUROC指标自适应选择最优组合。</w:t>
            </w:r>
          </w:p>
          <w:p>
            <w:pPr>
              <w:numPr>
                <w:ilvl w:val="0"/>
                <w:numId w:val="4"/>
              </w:numPr>
              <w:ind w:left="0" w:leftChars="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梯度累积与裁剪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：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梯度累积：采用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梯度累积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的方式，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步数设为2，单个mini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-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batch大小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为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64，等效模拟128批量训练效果，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该方案能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突破显存限制；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梯度裁剪：采用L2范数约束，max_norm=1.0，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以</w:t>
            </w:r>
            <w:r>
              <w:rPr>
                <w:rFonts w:hint="default" w:ascii="宋体" w:hAnsi="宋体" w:eastAsia="宋体"/>
                <w:b/>
                <w:sz w:val="24"/>
                <w:lang w:val="en-US" w:eastAsia="zh-CN"/>
              </w:rPr>
              <w:t>防止训练后期梯度爆炸。</w:t>
            </w:r>
          </w:p>
          <w:p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欲保护点</w:t>
            </w:r>
          </w:p>
          <w:p>
            <w:pPr>
              <w:numPr>
                <w:ilvl w:val="0"/>
                <w:numId w:val="5"/>
              </w:numPr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开放集动态梯度反转层的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“</w:t>
            </w: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color w:val="000000"/>
                      <w:sz w:val="24"/>
                      <w:lang w:val="en-US"/>
                    </w:rPr>
                    <m:t>α</m:t>
                  </m: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000000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 w:cs="宋体"/>
                      <w:i/>
                      <w:color w:val="000000"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 w:cs="宋体"/>
                  <w:color w:val="000000"/>
                  <w:sz w:val="24"/>
                  <w:lang w:val="en-US" w:eastAsia="zh-CN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ascii="Cambria Math" w:hAnsi="Cambria Math" w:cs="宋体"/>
                      <w:color w:val="000000"/>
                      <w:sz w:val="24"/>
                      <w:lang w:val="en-US"/>
                    </w:rPr>
                    <m:t>α</m:t>
                  </m: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000000"/>
                      <w:sz w:val="24"/>
                      <w:lang w:val="en-US" w:eastAsia="zh-CN"/>
                    </w:rPr>
                    <m:t>base</m:t>
                  </m:r>
                  <m:ctrlPr>
                    <w:rPr>
                      <w:rFonts w:hint="default" w:ascii="Cambria Math" w:hAnsi="Cambria Math" w:cs="宋体"/>
                      <w:i/>
                      <w:color w:val="000000"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color w:val="000000"/>
                  <w:sz w:val="24"/>
                  <w:lang w:val="en-US" w:eastAsia="zh-CN"/>
                </w:rPr>
                <m:t>×</m:t>
              </m:r>
              <m:sSup>
                <m:sSupPr>
                  <m:ctrlPr>
                    <w:rPr>
                      <w:rFonts w:hint="default" w:ascii="Cambria Math" w:hAnsi="Cambria Math" w:cs="Cambria Math"/>
                      <w:i/>
                      <w:color w:val="000000"/>
                      <w:sz w:val="24"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mbria Math"/>
                      <w:color w:val="000000"/>
                      <w:sz w:val="24"/>
                      <w:lang w:val="en-US" w:eastAsia="zh-CN"/>
                    </w:rPr>
                    <m:t>decay</m:t>
                  </m:r>
                  <m:ctrlPr>
                    <w:rPr>
                      <w:rFonts w:hint="default" w:ascii="Cambria Math" w:hAnsi="Cambria Math" w:cs="Cambria Math"/>
                      <w:i/>
                      <w:color w:val="000000"/>
                      <w:sz w:val="24"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mbria Math"/>
                      <w:color w:val="000000"/>
                      <w:sz w:val="24"/>
                      <w:lang w:val="en-US" w:eastAsia="zh-CN"/>
                    </w:rPr>
                    <m:t>epocℎ//2</m:t>
                  </m:r>
                  <m:ctrlPr>
                    <w:rPr>
                      <w:rFonts w:hint="default" w:ascii="Cambria Math" w:hAnsi="Cambria Math" w:cs="Cambria Math"/>
                      <w:i/>
                      <w:color w:val="000000"/>
                      <w:sz w:val="24"/>
                      <w:lang w:val="en-US" w:eastAsia="zh-CN"/>
                    </w:rPr>
                  </m:ctrlPr>
                </m:sup>
              </m:sSup>
            </m:oMath>
            <w:r>
              <w:rPr>
                <w:rFonts w:hint="eastAsia" w:hAnsi="Cambria Math" w:cs="Cambria Math"/>
                <w:b/>
                <w:bCs/>
                <w:i w:val="0"/>
                <w:color w:val="000000"/>
                <w:sz w:val="24"/>
                <w:lang w:val="en-US" w:eastAsia="zh-CN"/>
              </w:rPr>
              <w:t>”</w:t>
            </w:r>
            <w:r>
              <w:rPr>
                <w:rFonts w:hint="eastAsia" w:ascii="宋体" w:hAnsi="宋体"/>
                <w:b/>
                <w:sz w:val="24"/>
              </w:rPr>
              <w:t>衰减机制，及其在开放集域适应中的应用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即在前期（epoch≤20），保持高强度域对抗，以学习域不变特征；而在后期（epoch&gt;20），逐步降低强度，用以强化类别区分性。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滑动平均类中心的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“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=0.9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×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t−1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+0.1×</m:t>
              </m:r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sz w:val="24"/>
                      <w:lang w:val="en-US" w:eastAsia="zh-CN"/>
                    </w:rPr>
                    <m:t>current</m:t>
                  </m:r>
                  <m:ctrlPr>
                    <w:rPr>
                      <w:rFonts w:hint="default" w:ascii="Cambria Math" w:hAnsi="Cambria Math" w:cs="Cambria Math"/>
                      <w:i/>
                      <w:sz w:val="24"/>
                      <w:lang w:val="en-US" w:eastAsia="zh-CN"/>
                    </w:rPr>
                  </m:ctrlPr>
                </m:sub>
              </m:sSub>
            </m:oMath>
            <w:r>
              <w:rPr>
                <w:rFonts w:hint="eastAsia" w:ascii="宋体" w:hAnsi="宋体"/>
                <w:b/>
                <w:sz w:val="24"/>
                <w:lang w:eastAsia="zh-CN"/>
              </w:rPr>
              <w:t>”</w:t>
            </w:r>
            <w:r>
              <w:rPr>
                <w:rFonts w:hint="eastAsia" w:ascii="宋体" w:hAnsi="宋体"/>
                <w:b/>
                <w:sz w:val="24"/>
              </w:rPr>
              <w:t>更新方法，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以及其</w:t>
            </w:r>
            <w:r>
              <w:rPr>
                <w:rFonts w:hint="eastAsia" w:ascii="宋体" w:hAnsi="宋体"/>
                <w:b/>
                <w:sz w:val="24"/>
              </w:rPr>
              <w:t>与特征解耦模块的协同优化</w:t>
            </w:r>
            <w:r>
              <w:rPr>
                <w:rFonts w:hint="eastAsia" w:ascii="宋体" w:hAnsi="宋体"/>
                <w:b/>
                <w:sz w:val="24"/>
                <w:lang w:eastAsia="zh-CN"/>
              </w:rPr>
              <w:t>。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  <w:t>新增已知类对比损失（</w:t>
            </w: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=−log(exp(−</m:t>
              </m:r>
              <m:sSub>
                <m:sSubP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)/sum(exp(−d)))</m:t>
              </m:r>
            </m:oMath>
            <w:r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  <w:t>）与未知类边际损失（</w:t>
            </w:r>
            <m:oMath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unknown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=max(0,margin−</m:t>
              </m:r>
              <m:sSub>
                <m:sSubP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d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min</m:t>
                  </m:r>
                  <m:ctrlPr>
                    <w:rPr>
                      <w:rFonts w:hint="default" w:ascii="Cambria Math" w:hAnsi="Cambria Math"/>
                      <w:bCs w:val="0"/>
                      <w:i/>
                      <w:sz w:val="24"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)</m:t>
              </m:r>
            </m:oMath>
            <w:r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  <w:t>）的开放集对比损失的设计；以及采用联合损失分布（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contrast</m:t>
                  </m:r>
                  <m:ctrlPr>
                    <w:rPr>
                      <w:rFonts w:ascii="Cambria Math" w:hAnsi="Cambria Math"/>
                      <w:bCs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=0.6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  <w:lang w:val="en-US" w:eastAsia="zh-CN"/>
                </w:rPr>
                <m:t>+0.4</m:t>
              </m:r>
              <m:r>
                <m:rPr/>
                <w:rPr>
                  <w:rFonts w:hint="default" w:ascii="Cambria Math" w:hAnsi="Cambria Math" w:cs="Cambria Math"/>
                  <w:sz w:val="24"/>
                  <w:lang w:val="en-US"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L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  <w:lang w:val="en-US" w:eastAsia="zh-CN"/>
                    </w:rPr>
                    <m:t>unknown</m:t>
                  </m:r>
                  <m:ctrlPr>
                    <w:rPr>
                      <w:rFonts w:ascii="Cambria Math" w:hAnsi="Cambria Math"/>
                      <w:bCs w:val="0"/>
                      <w:i/>
                      <w:sz w:val="24"/>
                      <w:lang w:val="en-US"/>
                    </w:rPr>
                  </m:ctrlPr>
                </m:sub>
              </m:sSub>
            </m:oMath>
            <w:r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  <w:t>）来平衡两种损失在模型分辨中的权重的方法。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i w:val="0"/>
                <w:sz w:val="24"/>
                <w:lang w:val="en-US" w:eastAsia="zh-CN"/>
              </w:rPr>
              <w:t>多特征融合的策略，即融合置信度、类中心距离、重构误差、特征方差的4维自适应权重融合策略。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</w:rPr>
              <w:t>VAE重构模块的latent_dim= 1024配置、GELU激活与动态联合损失权重分配规则；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在VAE重构模块中，我们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移除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了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Dropout层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以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保留完整特征，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同时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采用GELU激活函数避免梯度消失；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而在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动态联合损失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权重分配规则中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重构损失权重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（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lambda_recon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）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从0.5线性衰减至0.1，l域对抗损失权重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（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am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b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da_domain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）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从0.3线性提升至0.7，对比损失权重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(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lambda_contrast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)则</w:t>
            </w: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固定为0.2</w:t>
            </w:r>
          </w:p>
          <w:p>
            <w:pPr>
              <w:numPr>
                <w:ilvl w:val="0"/>
                <w:numId w:val="5"/>
              </w:numPr>
              <w:ind w:left="0" w:leftChars="0" w:firstLine="0" w:firstLineChars="0"/>
              <w:rPr>
                <w:rFonts w:hint="default" w:ascii="宋体" w:hAnsi="宋体"/>
                <w:b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/>
                <w:sz w:val="24"/>
                <w:lang w:val="en-US" w:eastAsia="zh-CN"/>
              </w:rPr>
              <w:t>梯度累积与L2范数裁剪的组合训练策略</w:t>
            </w:r>
          </w:p>
          <w:p>
            <w:pPr>
              <w:numPr>
                <w:ilvl w:val="0"/>
                <w:numId w:val="0"/>
              </w:numPr>
              <w:ind w:left="420" w:leftChars="200" w:firstLine="0" w:firstLineChars="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在梯度累积中采用步数为2，，单个mini-batch为64，从而等效模拟128批量训练的效果的策略；而在梯度裁剪中采用L2范数约束的策略，其中max_norm=1.0，用以防止训练后期梯度爆炸。</w:t>
            </w:r>
          </w:p>
          <w:p>
            <w:pPr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98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7．本发明创造的优点、有益的技术效果等：</w:t>
            </w:r>
          </w:p>
          <w:p>
            <w:pPr>
              <w:ind w:left="420" w:leftChars="200" w:firstLine="0" w:firstLineChars="0"/>
              <w:rPr>
                <w:rFonts w:hint="default" w:ascii="宋体" w:hAnsi="宋体" w:eastAsia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>本发明通过以上创新的技术，在开放集识别领域，使得模型的识别性能大幅提升，我们仅训练了20个epoch，就可以做到验证准确率达0.8410，同时AUROC=0.8869，H-score=0.8214，这相较于传统ResNet50基线方法平均提升15%-20%。同时，在域适应方面，我们的稳定性得到了增强，其域间MSE差异降至0.0001，而特征重构MSE=0.0208，这有效地减小了跨域分布的差异。而在训练模型的效率上我们也进行了优化，我们通过梯度累积实现了128批量训练，训练时，训练35个epoch即可收敛，而训练时间较ResNet50也缩短了30%，使得该模型的训练效果与成本大大改善。对于模型在不同场景的使用中，我们所采用的自适应权重融合与动态类中心更新，使模型在不同跨邻域场景下的误判率降低25%以上，从而有力地改善了这类模型在跨领域场景下的使用难点，。同时本模型的使用无需额外硬件资源，且兼容主流深度学习框架，可直接迁移至其他开放集跨域任务。</w:t>
            </w:r>
          </w:p>
          <w:p>
            <w:pPr>
              <w:snapToGrid w:val="0"/>
              <w:spacing w:line="360" w:lineRule="auto"/>
              <w:ind w:right="4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                                       交底内容详解</w:t>
            </w:r>
          </w:p>
          <w:p>
            <w:pPr>
              <w:snapToGrid w:val="0"/>
              <w:spacing w:line="360" w:lineRule="auto"/>
              <w:ind w:right="4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一、发明名称：</w:t>
            </w:r>
          </w:p>
          <w:p>
            <w:pPr>
              <w:snapToGrid w:val="0"/>
              <w:spacing w:line="360" w:lineRule="auto"/>
              <w:ind w:right="420"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该名称一般为功能性名称或结构性名称，应能反映出发明创造的特征或功能或用途，名称中不能出现公司或单位名称、商标等商业用语，也不能以某种代号、型号命名。名称的字数最多不得超过25个字。</w:t>
            </w:r>
          </w:p>
          <w:p>
            <w:pPr>
              <w:snapToGrid w:val="0"/>
              <w:spacing w:line="360" w:lineRule="auto"/>
              <w:ind w:right="420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二、背景技术：</w:t>
            </w:r>
          </w:p>
          <w:p>
            <w:pPr>
              <w:snapToGrid w:val="0"/>
              <w:spacing w:line="360" w:lineRule="auto"/>
              <w:ind w:right="420"/>
              <w:rPr>
                <w:rFonts w:hint="eastAsia"/>
              </w:rPr>
            </w:pPr>
            <w:r>
              <w:rPr>
                <w:rFonts w:hint="eastAsia"/>
              </w:rPr>
              <w:t xml:space="preserve">    陈述与本发明创造密切相关的现有技术，以及该技术存在的缺点和不足，如性能、功能、成本、使用不便等，此缺点和不足应是本发明创造可以解决的问题。</w:t>
            </w:r>
          </w:p>
          <w:p>
            <w:pPr>
              <w:snapToGrid w:val="0"/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三、发明目的：</w:t>
            </w:r>
          </w:p>
          <w:p>
            <w:pPr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阐明本发明创造所解决的主要技术问题，达到的性能和指标。</w:t>
            </w:r>
          </w:p>
          <w:p>
            <w:pPr>
              <w:snapToGrid w:val="0"/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四、发明内容：（此部分是专利的核心，也就是本专利要求保护的内容）</w:t>
            </w:r>
          </w:p>
          <w:p>
            <w:pPr>
              <w:snapToGrid w:val="0"/>
              <w:spacing w:line="360" w:lineRule="auto"/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详细描述该发明创造的主要技术方案。针对不同领域的发明创造，分别采用如下方式来描述其主要技术方案。</w:t>
            </w:r>
          </w:p>
          <w:p>
            <w:pPr>
              <w:snapToGrid w:val="0"/>
              <w:spacing w:line="360" w:lineRule="auto"/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1、发明为机械结构产品。要说明有发明特征的各机械部件之间的连接关系，相互之间的位置关系，机械本身的结构特点以及整个机械的总体架构关系。</w:t>
            </w:r>
          </w:p>
          <w:p>
            <w:pPr>
              <w:snapToGrid w:val="0"/>
              <w:spacing w:line="360" w:lineRule="auto"/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2、发明为电子产品。根据电路图和电路框图，描述该电子线路的工作原理、工作过程，以及电路中有发明特征的结构部分，元器件之间的特殊接法。</w:t>
            </w:r>
          </w:p>
          <w:p>
            <w:pPr>
              <w:snapToGrid w:val="0"/>
              <w:spacing w:line="360" w:lineRule="auto"/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3、发明为化学产品。描述化学反应的条件、顺序、原材料、配比的上限和下限以及最佳配比值。</w:t>
            </w:r>
          </w:p>
          <w:p>
            <w:pPr>
              <w:snapToGrid w:val="0"/>
              <w:spacing w:line="360" w:lineRule="auto"/>
              <w:ind w:firstLine="435"/>
              <w:rPr>
                <w:rFonts w:hint="eastAsia"/>
              </w:rPr>
            </w:pPr>
            <w:r>
              <w:rPr>
                <w:rFonts w:hint="eastAsia"/>
              </w:rPr>
              <w:t>4、发明为制造工艺。详细描述该制造工艺的工艺条件及操作步骤。</w:t>
            </w:r>
          </w:p>
          <w:p>
            <w:pPr>
              <w:snapToGrid w:val="0"/>
              <w:spacing w:line="360" w:lineRule="auto"/>
              <w:ind w:firstLine="435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  <w:highlight w:val="yellow"/>
              </w:rPr>
              <w:t>5、发明为计算机软件。指出计算机软件的程序流程图，描述该程序流程的工作原理和工作过程。</w:t>
            </w:r>
          </w:p>
          <w:p>
            <w:pPr>
              <w:snapToGrid w:val="0"/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五、发明效果</w:t>
            </w:r>
          </w:p>
          <w:p>
            <w:pPr>
              <w:snapToGrid w:val="0"/>
              <w:spacing w:line="360" w:lineRule="auto"/>
              <w:ind w:firstLine="420" w:firstLineChars="200"/>
              <w:rPr>
                <w:rFonts w:hint="eastAsia"/>
              </w:rPr>
            </w:pPr>
            <w:r>
              <w:rPr>
                <w:rFonts w:hint="eastAsia"/>
              </w:rPr>
              <w:t>详细说明本发明创造的效果、特点、主要性能指标，可以和已有技术对比描述。能定量的要尽量定量，不能定量的要做到定性。</w:t>
            </w:r>
          </w:p>
          <w:p>
            <w:pPr>
              <w:snapToGrid w:val="0"/>
              <w:spacing w:line="360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六、附图说明：</w:t>
            </w:r>
          </w:p>
          <w:p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/>
              </w:rPr>
              <w:t>除提供附图外，还要将所述的标号加以说明，附图上只能标</w:t>
            </w:r>
            <w:r>
              <w:rPr>
                <w:rFonts w:hint="eastAsia" w:ascii="宋体" w:hAnsi="宋体"/>
              </w:rPr>
              <w:t>号（1，2，3， ……）标出，不能出现文字说明。（电子产品应先画整体方框图，再画有创造性方框内的具体电路图）。</w:t>
            </w:r>
          </w:p>
          <w:p>
            <w:pPr>
              <w:snapToGrid w:val="0"/>
              <w:spacing w:line="360" w:lineRule="auto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七、实施方式：</w:t>
            </w:r>
          </w:p>
          <w:p>
            <w:pPr>
              <w:snapToGrid w:val="0"/>
              <w:spacing w:line="360" w:lineRule="auto"/>
              <w:ind w:firstLine="420" w:firstLineChars="2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实施方式是对发明内容的细化和解释，或是最优化的技术方案，即给一个或多个具体的实施方案，或是该发明的某些关键部位可以有几种替换结构的描述。</w:t>
            </w:r>
          </w:p>
          <w:p>
            <w:pPr>
              <w:rPr>
                <w:rFonts w:hint="eastAsia" w:ascii="宋体" w:hAnsi="宋体"/>
                <w:b/>
                <w:sz w:val="24"/>
              </w:rPr>
            </w:pPr>
          </w:p>
          <w:p>
            <w:pPr>
              <w:ind w:left="101" w:hanging="100" w:hangingChars="48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楷体_GB2312" w:hAnsi="楷体_GB2312" w:eastAsia="楷体_GB2312"/>
                <w:bCs/>
                <w:color w:val="FF0000"/>
              </w:rPr>
              <w:t xml:space="preserve"> </w:t>
            </w:r>
          </w:p>
        </w:tc>
      </w:tr>
    </w:tbl>
    <w:p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0" w:usb3="00000000" w:csb0="0002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right"/>
      <w:rPr>
        <w:rFonts w:hint="eastAsia"/>
      </w:rPr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5</w:t>
    </w:r>
    <w:r>
      <w:fldChar w:fldCharType="end"/>
    </w:r>
  </w:p>
  <w:p>
    <w:pPr>
      <w:widowControl/>
      <w:jc w:val="left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both"/>
      <w:rPr>
        <w:rFonts w:hint="eastAsia" w:ascii="宋体" w:hAnsi="宋体"/>
        <w:b/>
        <w:bCs/>
        <w:sz w:val="21"/>
      </w:rPr>
    </w:pPr>
    <w:r>
      <w:rPr>
        <w:rFonts w:hint="eastAsia" w:ascii="宋体" w:hAnsi="宋体"/>
        <w:b/>
      </w:rPr>
      <w:t>南京众联专利代理有限公司客户技术交底书                                             保密文件</w:t>
    </w:r>
    <w:r>
      <w:rPr>
        <w:rFonts w:hint="eastAsia" w:ascii="宋体" w:hAnsi="宋体"/>
        <w:b/>
        <w:bCs/>
        <w:sz w:val="21"/>
      </w:rPr>
      <w:t xml:space="preserve">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86274F"/>
    <w:multiLevelType w:val="singleLevel"/>
    <w:tmpl w:val="BF8627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32B183D"/>
    <w:multiLevelType w:val="singleLevel"/>
    <w:tmpl w:val="D32B183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0000000B"/>
    <w:multiLevelType w:val="singleLevel"/>
    <w:tmpl w:val="0000000B"/>
    <w:lvl w:ilvl="0" w:tentative="0">
      <w:start w:val="5"/>
      <w:numFmt w:val="decimal"/>
      <w:suff w:val="nothing"/>
      <w:lvlText w:val="%1."/>
      <w:lvlJc w:val="left"/>
    </w:lvl>
  </w:abstractNum>
  <w:abstractNum w:abstractNumId="3">
    <w:nsid w:val="0000000C"/>
    <w:multiLevelType w:val="singleLevel"/>
    <w:tmpl w:val="0000000C"/>
    <w:lvl w:ilvl="0" w:tentative="0">
      <w:start w:val="1"/>
      <w:numFmt w:val="decimal"/>
      <w:pStyle w:val="15"/>
      <w:lvlText w:val="[%1]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cs="Times New Roman"/>
        <w:b w:val="0"/>
        <w:i w:val="0"/>
        <w:sz w:val="16"/>
        <w:szCs w:val="16"/>
      </w:rPr>
    </w:lvl>
  </w:abstractNum>
  <w:abstractNum w:abstractNumId="4">
    <w:nsid w:val="0000000D"/>
    <w:multiLevelType w:val="multilevel"/>
    <w:tmpl w:val="0000000D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/>
      </w:rPr>
    </w:lvl>
    <w:lvl w:ilvl="1" w:tentative="0">
      <w:start w:val="3"/>
      <w:numFmt w:val="decimal"/>
      <w:lvlText w:val="%2．"/>
      <w:lvlJc w:val="left"/>
      <w:pPr>
        <w:tabs>
          <w:tab w:val="left" w:pos="780"/>
        </w:tabs>
        <w:ind w:left="780" w:hanging="360"/>
      </w:pPr>
      <w:rPr>
        <w:rFonts w:hint="default"/>
        <w:color w:val="auto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19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Y4YTJlMmNlNWE2ZGM0ODQwMzYyNzAxZjc1ZDY5M2MifQ=="/>
  </w:docVars>
  <w:rsids>
    <w:rsidRoot w:val="00172A27"/>
    <w:rsid w:val="00001EAF"/>
    <w:rsid w:val="00015FAC"/>
    <w:rsid w:val="00022B30"/>
    <w:rsid w:val="000266F2"/>
    <w:rsid w:val="00062D37"/>
    <w:rsid w:val="00084900"/>
    <w:rsid w:val="00085EAE"/>
    <w:rsid w:val="000948AD"/>
    <w:rsid w:val="000A3249"/>
    <w:rsid w:val="000F0790"/>
    <w:rsid w:val="0010284C"/>
    <w:rsid w:val="0014111F"/>
    <w:rsid w:val="001564AE"/>
    <w:rsid w:val="00156B8B"/>
    <w:rsid w:val="001579C3"/>
    <w:rsid w:val="001A5F75"/>
    <w:rsid w:val="001D30A3"/>
    <w:rsid w:val="0020490E"/>
    <w:rsid w:val="0027767D"/>
    <w:rsid w:val="002D6075"/>
    <w:rsid w:val="002E12AB"/>
    <w:rsid w:val="00320EFC"/>
    <w:rsid w:val="00343E5D"/>
    <w:rsid w:val="003540DC"/>
    <w:rsid w:val="00366278"/>
    <w:rsid w:val="00376255"/>
    <w:rsid w:val="003970B0"/>
    <w:rsid w:val="003A01D0"/>
    <w:rsid w:val="003B1194"/>
    <w:rsid w:val="004A7AB0"/>
    <w:rsid w:val="004F4521"/>
    <w:rsid w:val="005069FF"/>
    <w:rsid w:val="00520BA1"/>
    <w:rsid w:val="0052579A"/>
    <w:rsid w:val="00571F65"/>
    <w:rsid w:val="005C324A"/>
    <w:rsid w:val="005D2061"/>
    <w:rsid w:val="005D5F59"/>
    <w:rsid w:val="005D66F7"/>
    <w:rsid w:val="00602A9C"/>
    <w:rsid w:val="00625EDA"/>
    <w:rsid w:val="006265BD"/>
    <w:rsid w:val="00650173"/>
    <w:rsid w:val="006779BD"/>
    <w:rsid w:val="006D271E"/>
    <w:rsid w:val="0076153D"/>
    <w:rsid w:val="00773F06"/>
    <w:rsid w:val="007802BA"/>
    <w:rsid w:val="00793F28"/>
    <w:rsid w:val="007C7CAC"/>
    <w:rsid w:val="007F3CDD"/>
    <w:rsid w:val="008330BF"/>
    <w:rsid w:val="00834E45"/>
    <w:rsid w:val="00857AE5"/>
    <w:rsid w:val="0091267F"/>
    <w:rsid w:val="00913D62"/>
    <w:rsid w:val="00927585"/>
    <w:rsid w:val="00932F87"/>
    <w:rsid w:val="009741FD"/>
    <w:rsid w:val="00975396"/>
    <w:rsid w:val="009B3091"/>
    <w:rsid w:val="009E07B0"/>
    <w:rsid w:val="00A25176"/>
    <w:rsid w:val="00A31733"/>
    <w:rsid w:val="00A458E2"/>
    <w:rsid w:val="00A54FF1"/>
    <w:rsid w:val="00A759C4"/>
    <w:rsid w:val="00A776F1"/>
    <w:rsid w:val="00AB45BC"/>
    <w:rsid w:val="00B061E2"/>
    <w:rsid w:val="00B3222D"/>
    <w:rsid w:val="00B56F07"/>
    <w:rsid w:val="00B724BB"/>
    <w:rsid w:val="00B81E45"/>
    <w:rsid w:val="00BB1490"/>
    <w:rsid w:val="00BD033B"/>
    <w:rsid w:val="00BF10E9"/>
    <w:rsid w:val="00C3098D"/>
    <w:rsid w:val="00C32E54"/>
    <w:rsid w:val="00C5501F"/>
    <w:rsid w:val="00C964CB"/>
    <w:rsid w:val="00CD2B9B"/>
    <w:rsid w:val="00CD3A26"/>
    <w:rsid w:val="00CE2C86"/>
    <w:rsid w:val="00CE4A67"/>
    <w:rsid w:val="00D55777"/>
    <w:rsid w:val="00D57A5A"/>
    <w:rsid w:val="00D759E9"/>
    <w:rsid w:val="00D76A34"/>
    <w:rsid w:val="00D93883"/>
    <w:rsid w:val="00E32C04"/>
    <w:rsid w:val="00EB1DD1"/>
    <w:rsid w:val="00EB5C38"/>
    <w:rsid w:val="00EE0719"/>
    <w:rsid w:val="00EF0A4F"/>
    <w:rsid w:val="00F04108"/>
    <w:rsid w:val="00F52DF8"/>
    <w:rsid w:val="00F60B83"/>
    <w:rsid w:val="00F81E79"/>
    <w:rsid w:val="00F90D74"/>
    <w:rsid w:val="00FA0F74"/>
    <w:rsid w:val="00FA1CB0"/>
    <w:rsid w:val="00FD1DD4"/>
    <w:rsid w:val="00FD4AEA"/>
    <w:rsid w:val="00FF2779"/>
    <w:rsid w:val="016B0C7C"/>
    <w:rsid w:val="01FD592E"/>
    <w:rsid w:val="046B19E4"/>
    <w:rsid w:val="07487DBA"/>
    <w:rsid w:val="0B1B335C"/>
    <w:rsid w:val="0B20202A"/>
    <w:rsid w:val="0F6B0D1E"/>
    <w:rsid w:val="10317E29"/>
    <w:rsid w:val="116033F7"/>
    <w:rsid w:val="11AF3CBB"/>
    <w:rsid w:val="136F1A12"/>
    <w:rsid w:val="13A648AD"/>
    <w:rsid w:val="13FB7F63"/>
    <w:rsid w:val="14467CEA"/>
    <w:rsid w:val="168D57EA"/>
    <w:rsid w:val="1813302F"/>
    <w:rsid w:val="19450C5C"/>
    <w:rsid w:val="1ABB65DE"/>
    <w:rsid w:val="1C5D250B"/>
    <w:rsid w:val="1E523CFB"/>
    <w:rsid w:val="20804900"/>
    <w:rsid w:val="21582C59"/>
    <w:rsid w:val="2221772E"/>
    <w:rsid w:val="25B45C3B"/>
    <w:rsid w:val="261373CF"/>
    <w:rsid w:val="266901F4"/>
    <w:rsid w:val="27BD16FA"/>
    <w:rsid w:val="28300749"/>
    <w:rsid w:val="29B03871"/>
    <w:rsid w:val="31E70FE7"/>
    <w:rsid w:val="38D83349"/>
    <w:rsid w:val="39521DF8"/>
    <w:rsid w:val="3C7D226E"/>
    <w:rsid w:val="3C8534E7"/>
    <w:rsid w:val="42A05762"/>
    <w:rsid w:val="4320642C"/>
    <w:rsid w:val="45233988"/>
    <w:rsid w:val="455B582B"/>
    <w:rsid w:val="47176886"/>
    <w:rsid w:val="47C45E04"/>
    <w:rsid w:val="489D335A"/>
    <w:rsid w:val="48CC18F2"/>
    <w:rsid w:val="4B7C57D4"/>
    <w:rsid w:val="4BE0685A"/>
    <w:rsid w:val="4C330771"/>
    <w:rsid w:val="4F861A28"/>
    <w:rsid w:val="4FB31CD0"/>
    <w:rsid w:val="519B00B4"/>
    <w:rsid w:val="52FB705C"/>
    <w:rsid w:val="53FF2B7C"/>
    <w:rsid w:val="55F55EBC"/>
    <w:rsid w:val="56786C15"/>
    <w:rsid w:val="5890366F"/>
    <w:rsid w:val="58BA6FAF"/>
    <w:rsid w:val="59C36A7A"/>
    <w:rsid w:val="5A8E2EAB"/>
    <w:rsid w:val="5B904278"/>
    <w:rsid w:val="5E1B13E2"/>
    <w:rsid w:val="60CE22D4"/>
    <w:rsid w:val="629152E7"/>
    <w:rsid w:val="63A833A0"/>
    <w:rsid w:val="64EE6DD5"/>
    <w:rsid w:val="65A032B5"/>
    <w:rsid w:val="65C70262"/>
    <w:rsid w:val="66CD2666"/>
    <w:rsid w:val="66EB02CB"/>
    <w:rsid w:val="6990454A"/>
    <w:rsid w:val="6B2009D5"/>
    <w:rsid w:val="6C6F26B6"/>
    <w:rsid w:val="6C9F4AA4"/>
    <w:rsid w:val="714D2D21"/>
    <w:rsid w:val="71E37168"/>
    <w:rsid w:val="72783DCD"/>
    <w:rsid w:val="73477284"/>
    <w:rsid w:val="73E6482E"/>
    <w:rsid w:val="79DE4E5E"/>
    <w:rsid w:val="7CA848E2"/>
    <w:rsid w:val="7CCE2AFA"/>
    <w:rsid w:val="7F5B55C6"/>
    <w:rsid w:val="7FDF6A22"/>
    <w:rsid w:val="7FEC42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ascii="Arial" w:hAnsi="Arial" w:eastAsia="黑体"/>
      <w:sz w:val="20"/>
    </w:rPr>
  </w:style>
  <w:style w:type="paragraph" w:styleId="3">
    <w:name w:val="Body Text"/>
    <w:basedOn w:val="1"/>
    <w:qFormat/>
    <w:uiPriority w:val="0"/>
    <w:pPr>
      <w:spacing w:line="360" w:lineRule="auto"/>
    </w:pPr>
    <w:rPr>
      <w:color w:val="0000FF"/>
      <w:sz w:val="24"/>
    </w:rPr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page number"/>
    <w:basedOn w:val="9"/>
    <w:qFormat/>
    <w:uiPriority w:val="0"/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  <w:style w:type="paragraph" w:customStyle="1" w:styleId="14">
    <w:name w:val=" Char Char Char Char Char Char Char Char Char Char Char Char Char"/>
    <w:basedOn w:val="1"/>
    <w:qFormat/>
    <w:uiPriority w:val="0"/>
    <w:pPr>
      <w:widowControl/>
      <w:spacing w:after="160" w:afterLines="0" w:line="240" w:lineRule="exact"/>
      <w:jc w:val="left"/>
    </w:pPr>
  </w:style>
  <w:style w:type="paragraph" w:customStyle="1" w:styleId="15">
    <w:name w:val="references"/>
    <w:uiPriority w:val="0"/>
    <w:pPr>
      <w:numPr>
        <w:ilvl w:val="0"/>
        <w:numId w:val="1"/>
      </w:numPr>
      <w:spacing w:after="50" w:line="180" w:lineRule="exact"/>
      <w:jc w:val="both"/>
    </w:pPr>
    <w:rPr>
      <w:rFonts w:ascii="Times New Roman" w:hAnsi="Times New Roman" w:eastAsia="MS Mincho" w:cs="Times New Roman"/>
      <w:sz w:val="16"/>
      <w:szCs w:val="16"/>
      <w:lang w:val="en-US" w:eastAsia="en-US" w:bidi="ar-SA"/>
    </w:rPr>
  </w:style>
  <w:style w:type="paragraph" w:customStyle="1" w:styleId="16">
    <w:name w:val="专利"/>
    <w:basedOn w:val="1"/>
    <w:qFormat/>
    <w:uiPriority w:val="0"/>
    <w:rPr>
      <w:sz w:val="28"/>
    </w:rPr>
  </w:style>
  <w:style w:type="paragraph" w:customStyle="1" w:styleId="17">
    <w:name w:val="Compact"/>
    <w:basedOn w:val="3"/>
    <w:qFormat/>
    <w:uiPriority w:val="0"/>
    <w:pPr>
      <w:spacing w:before="36" w:after="36"/>
    </w:pPr>
  </w:style>
  <w:style w:type="paragraph" w:customStyle="1" w:styleId="18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hamilton</Company>
  <Pages>11</Pages>
  <Words>2070</Words>
  <Characters>2965</Characters>
  <Lines>10</Lines>
  <Paragraphs>2</Paragraphs>
  <TotalTime>1</TotalTime>
  <ScaleCrop>false</ScaleCrop>
  <LinksUpToDate>false</LinksUpToDate>
  <CharactersWithSpaces>3132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2011-03-11T02:03:00Z</dcterms:created>
  <dc:creator>yumw</dc:creator>
  <cp:lastModifiedBy>WPS_1696895864</cp:lastModifiedBy>
  <cp:lastPrinted>2013-10-28T09:59:00Z</cp:lastPrinted>
  <dcterms:modified xsi:type="dcterms:W3CDTF">2026-01-09T11:02:50Z</dcterms:modified>
  <dc:title>技术交底书*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82254BF1EC96471FB9740DEFF2BC3501_13</vt:lpwstr>
  </property>
  <property fmtid="{D5CDD505-2E9C-101B-9397-08002B2CF9AE}" pid="4" name="KSOTemplateDocerSaveRecord">
    <vt:lpwstr>eyJoZGlkIjoiYzk4NzMwMjRiMTUzODQ5ZjBkZGZmMmQ0NzcxY2FmNDgiLCJ1c2VySWQiOiIxNTQ4ODM2NzQxIn0=</vt:lpwstr>
  </property>
</Properties>
</file>