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sz w:val="44"/>
        </w:rPr>
        <w:t>大学生创新创业训练计划项目</w:t>
      </w:r>
    </w:p>
    <w:p>
      <w:pPr>
        <w:jc w:val="center"/>
      </w:pPr>
      <w:r>
        <w:rPr>
          <w:rFonts w:ascii="Times New Roman" w:hAnsi="Times New Roman" w:eastAsia="黑体"/>
          <w:b/>
          <w:sz w:val="52"/>
        </w:rPr>
        <w:t>结 题 报 告</w:t>
      </w:r>
    </w:p>
    <w:p/>
    <w:p>
      <w:pPr>
        <w:spacing w:before="120" w:after="120"/>
        <w:jc w:val="center"/>
      </w:pPr>
      <w:r>
        <w:rPr>
          <w:rFonts w:ascii="Times New Roman" w:hAnsi="Times New Roman" w:eastAsia="宋体"/>
          <w:b w:val="0"/>
          <w:sz w:val="28"/>
        </w:rPr>
        <w:t>项目名称：基于特征解耦与数据重构的开放集域适应方法研究</w:t>
      </w:r>
    </w:p>
    <w:p>
      <w:pPr>
        <w:spacing w:before="120" w:after="120"/>
        <w:jc w:val="center"/>
      </w:pPr>
      <w:r>
        <w:rPr>
          <w:rFonts w:ascii="Times New Roman" w:hAnsi="Times New Roman" w:eastAsia="宋体"/>
          <w:b w:val="0"/>
          <w:sz w:val="28"/>
        </w:rPr>
        <w:t>项目类型：创新训练项目</w:t>
      </w:r>
    </w:p>
    <w:p>
      <w:pPr>
        <w:spacing w:before="120" w:after="120"/>
        <w:jc w:val="center"/>
      </w:pPr>
      <w:r>
        <w:rPr>
          <w:rFonts w:ascii="Times New Roman" w:hAnsi="Times New Roman" w:eastAsia="宋体"/>
          <w:b w:val="0"/>
          <w:sz w:val="28"/>
        </w:rPr>
        <w:t>项目周期：2025年05月 — 2026年05月</w:t>
      </w:r>
    </w:p>
    <w:p>
      <w:pPr>
        <w:spacing w:before="120" w:after="120"/>
        <w:jc w:val="center"/>
      </w:pPr>
      <w:r>
        <w:rPr>
          <w:rFonts w:ascii="Times New Roman" w:hAnsi="Times New Roman" w:eastAsia="宋体"/>
          <w:b w:val="0"/>
          <w:sz w:val="28"/>
        </w:rPr>
        <w:t>指导教师：____________________</w:t>
      </w:r>
    </w:p>
    <w:p>
      <w:pPr>
        <w:spacing w:before="120" w:after="120"/>
        <w:jc w:val="center"/>
      </w:pPr>
      <w:r>
        <w:rPr>
          <w:rFonts w:ascii="Times New Roman" w:hAnsi="Times New Roman" w:eastAsia="宋体"/>
          <w:b w:val="0"/>
          <w:sz w:val="28"/>
        </w:rPr>
        <w:t>项目负责人：____________________</w:t>
      </w:r>
    </w:p>
    <w:p>
      <w:pPr>
        <w:spacing w:before="120" w:after="120"/>
        <w:jc w:val="center"/>
      </w:pPr>
      <w:r>
        <w:rPr>
          <w:rFonts w:ascii="Times New Roman" w:hAnsi="Times New Roman" w:eastAsia="宋体"/>
          <w:b w:val="0"/>
          <w:sz w:val="28"/>
        </w:rPr>
        <w:t>所在学院：____________________</w:t>
      </w:r>
    </w:p>
    <w:p>
      <w:pPr>
        <w:spacing w:before="120" w:after="120"/>
        <w:jc w:val="center"/>
      </w:pPr>
      <w:r>
        <w:rPr>
          <w:rFonts w:ascii="Times New Roman" w:hAnsi="Times New Roman" w:eastAsia="宋体"/>
          <w:b w:val="0"/>
          <w:sz w:val="28"/>
        </w:rPr>
        <w:t>填报日期：______年______月______日</w:t>
      </w:r>
    </w:p>
    <w:p>
      <w:r>
        <w:br w:type="page"/>
      </w:r>
    </w:p>
    <w:p>
      <w:pPr>
        <w:spacing w:before="240" w:after="120" w:line="360" w:lineRule="auto"/>
      </w:pPr>
      <w:r>
        <w:rPr>
          <w:rFonts w:ascii="Times New Roman" w:hAnsi="Times New Roman" w:eastAsia="黑体"/>
          <w:b/>
          <w:sz w:val="32"/>
        </w:rPr>
        <w:t>摘  要</w:t>
      </w:r>
    </w:p>
    <w:p>
      <w:pPr>
        <w:spacing w:before="0" w:after="60" w:line="360" w:lineRule="auto"/>
        <w:ind w:firstLine="425"/>
      </w:pPr>
      <w:r>
        <w:rPr>
          <w:rFonts w:ascii="Times New Roman" w:hAnsi="Times New Roman" w:eastAsia="宋体"/>
          <w:b w:val="0"/>
          <w:sz w:val="24"/>
        </w:rPr>
        <w:t>开放集域适应（Open Set Domain Adaptation, OSDA）旨在解决目标域中存在训练时未见过的未知类别时的跨域图像分类问题，是真实场景中深度学习模型部署的关键挑战。现有方法面临特征混淆、训练策略僵化、判别信息单一和缺乏重构辅助四大问题。本文提出了一种基于特征解耦与数据重构的OSDA方法，核心包含四个创新点：（1）动态梯度反转层（DGRL）实现自适应域对齐；（2）双分支特征解耦结合正交约束分离类别和域信息；（3）VAE重构模块辅助异常检测；（4）四源融合策略（置信度30%、特征距离40%、重构误差20%、特征方差10%）综合判定未知类。在DomainNet（Real→Clipart）和VisDA（Synthetic→Real）数据集上的实验表明：VisDA上已知类准确率83.82%、AUROC 86.19%、H-score 80.72%；DomainNet上AUROC 96.37%、H-score 91.90%，所有指标均超额达成立项目标。项目已申请国家发明专利（申请号：202610279677.6）。</w:t>
      </w:r>
    </w:p>
    <w:p>
      <w:pPr>
        <w:spacing w:before="120" w:line="360" w:lineRule="auto"/>
      </w:pPr>
      <w:r>
        <w:rPr>
          <w:rFonts w:ascii="Times New Roman" w:hAnsi="Times New Roman" w:eastAsia="宋体"/>
          <w:b/>
          <w:sz w:val="24"/>
        </w:rPr>
        <w:t>关键词：开放集域适应，特征解耦，变分自编码器，域对抗训练，多源融合检测</w:t>
      </w:r>
    </w:p>
    <w:p>
      <w:r>
        <w:br w:type="page"/>
      </w:r>
    </w:p>
    <w:p>
      <w:pPr>
        <w:spacing w:before="240" w:after="120" w:line="360" w:lineRule="auto"/>
      </w:pPr>
      <w:r>
        <w:rPr>
          <w:rFonts w:ascii="Times New Roman" w:hAnsi="Times New Roman" w:eastAsia="黑体"/>
          <w:b/>
          <w:sz w:val="32"/>
        </w:rPr>
        <w:t>Abstract</w:t>
      </w:r>
    </w:p>
    <w:p>
      <w:pPr>
        <w:spacing w:before="0" w:after="60" w:line="360" w:lineRule="auto"/>
        <w:ind w:firstLine="425"/>
      </w:pPr>
      <w:r>
        <w:rPr>
          <w:rFonts w:ascii="Times New Roman" w:hAnsi="Times New Roman" w:eastAsia="宋体"/>
          <w:b w:val="0"/>
          <w:sz w:val="24"/>
        </w:rPr>
        <w:t>Open Set Domain Adaptation (OSDA) addresses the challenge of cross-domain image classification when the target domain contains unknown classes unseen during training—a critical obstacle for deploying deep learning models in real-world scenarios. Existing methods face four key limitations: feature confusion, rigid training strategies, single-source discriminative information, and lack of reconstruction assistance. This study proposes an OSDA framework based on feature disentanglement and data reconstruction with four core innovations: (1) Dynamic Gradient Reversal Layer (DGRL) for adaptive domain alignment; (2) dual-branch feature disentanglement with orthogonal constraints to separate class and domain information; (3) VAE reconstruction module for auxiliary anomaly detection; (4) four-source fusion strategy (confidence 30%, feature distance 40%, reconstruction error 20%, feature variance 10%) for comprehensive unknown class identification. Experiments on DomainNet (Real→Clipart) and VisDA (Synthetic→Real) datasets demonstrate: known-class accuracy of 83.82% on VisDA, AUROC of 96.37% on DomainNet (86.19% on VisDA), and H-score of 91.90% on DomainNet (80.72% on VisDA), all exceeding project targets. A national invention patent has been filed (Application No.: 202610279677.6).</w:t>
      </w:r>
    </w:p>
    <w:p>
      <w:pPr>
        <w:spacing w:before="120" w:line="360" w:lineRule="auto"/>
      </w:pPr>
      <w:r>
        <w:rPr>
          <w:rFonts w:ascii="Times New Roman" w:hAnsi="Times New Roman" w:eastAsia="宋体"/>
          <w:b/>
          <w:sz w:val="24"/>
        </w:rPr>
        <w:t>Keywords: Open Set Domain Adaptation, Feature Disentanglement, Variational Autoencoder, Domain Adversarial Training, Multi-source Fusion Detection</w:t>
      </w:r>
    </w:p>
    <w:p>
      <w:r>
        <w:br w:type="page"/>
      </w:r>
    </w:p>
    <w:p>
      <w:pPr>
        <w:spacing w:before="240" w:after="120" w:line="360" w:lineRule="auto"/>
      </w:pPr>
      <w:r>
        <w:rPr>
          <w:rFonts w:ascii="Times New Roman" w:hAnsi="Times New Roman" w:eastAsia="黑体"/>
          <w:b/>
          <w:sz w:val="32"/>
        </w:rPr>
        <w:t>目  录</w:t>
      </w:r>
    </w:p>
    <w:p>
      <w:pPr>
        <w:spacing w:before="60" w:after="60" w:line="432" w:lineRule="auto"/>
      </w:pPr>
      <w:r>
        <w:rPr>
          <w:rFonts w:ascii="Times New Roman" w:hAnsi="Times New Roman" w:eastAsia="宋体"/>
          <w:b w:val="0"/>
          <w:sz w:val="24"/>
        </w:rPr>
        <w:t>一、项目背景与意义</w:t>
      </w:r>
    </w:p>
    <w:p>
      <w:pPr>
        <w:spacing w:before="60" w:after="60" w:line="432" w:lineRule="auto"/>
      </w:pPr>
      <w:r>
        <w:rPr>
          <w:rFonts w:ascii="Times New Roman" w:hAnsi="Times New Roman" w:eastAsia="宋体"/>
          <w:b w:val="0"/>
          <w:sz w:val="24"/>
        </w:rPr>
        <w:t>二、研究现状与相关工作</w:t>
      </w:r>
    </w:p>
    <w:p>
      <w:pPr>
        <w:spacing w:before="60" w:after="60" w:line="432" w:lineRule="auto"/>
      </w:pPr>
      <w:r>
        <w:rPr>
          <w:rFonts w:ascii="Times New Roman" w:hAnsi="Times New Roman" w:eastAsia="宋体"/>
          <w:b w:val="0"/>
          <w:sz w:val="24"/>
        </w:rPr>
        <w:t>三、核心方法与技术细节</w:t>
      </w:r>
    </w:p>
    <w:p>
      <w:pPr>
        <w:spacing w:before="60" w:after="60" w:line="432" w:lineRule="auto"/>
      </w:pPr>
      <w:r>
        <w:rPr>
          <w:rFonts w:ascii="Times New Roman" w:hAnsi="Times New Roman" w:eastAsia="宋体"/>
          <w:b w:val="0"/>
          <w:sz w:val="24"/>
        </w:rPr>
        <w:t>四、实验设计与结果分析</w:t>
      </w:r>
    </w:p>
    <w:p>
      <w:pPr>
        <w:spacing w:before="60" w:after="60" w:line="432" w:lineRule="auto"/>
      </w:pPr>
      <w:r>
        <w:rPr>
          <w:rFonts w:ascii="Times New Roman" w:hAnsi="Times New Roman" w:eastAsia="宋体"/>
          <w:b w:val="0"/>
          <w:sz w:val="24"/>
        </w:rPr>
        <w:t>五、项目成果与创新点</w:t>
      </w:r>
    </w:p>
    <w:p>
      <w:pPr>
        <w:spacing w:before="60" w:after="60" w:line="432" w:lineRule="auto"/>
      </w:pPr>
      <w:r>
        <w:rPr>
          <w:rFonts w:ascii="Times New Roman" w:hAnsi="Times New Roman" w:eastAsia="宋体"/>
          <w:b w:val="0"/>
          <w:sz w:val="24"/>
        </w:rPr>
        <w:t>六、结论与未来工作</w:t>
      </w:r>
    </w:p>
    <w:p>
      <w:pPr>
        <w:spacing w:before="60" w:after="60" w:line="432" w:lineRule="auto"/>
      </w:pPr>
      <w:r>
        <w:rPr>
          <w:rFonts w:ascii="Times New Roman" w:hAnsi="Times New Roman" w:eastAsia="宋体"/>
          <w:b w:val="0"/>
          <w:sz w:val="24"/>
        </w:rPr>
        <w:t>七、参考文献</w:t>
      </w:r>
    </w:p>
    <w:p>
      <w:pPr>
        <w:spacing w:before="60" w:after="60" w:line="432" w:lineRule="auto"/>
      </w:pPr>
      <w:r>
        <w:rPr>
          <w:rFonts w:ascii="Times New Roman" w:hAnsi="Times New Roman" w:eastAsia="宋体"/>
          <w:b w:val="0"/>
          <w:sz w:val="24"/>
        </w:rPr>
        <w:t>八、附录</w:t>
      </w:r>
    </w:p>
    <w:p>
      <w:r>
        <w:br w:type="page"/>
      </w:r>
    </w:p>
    <w:p>
      <w:pPr>
        <w:spacing w:before="240" w:after="120" w:line="360" w:lineRule="auto"/>
      </w:pPr>
      <w:r>
        <w:rPr>
          <w:rFonts w:ascii="Times New Roman" w:hAnsi="Times New Roman" w:eastAsia="黑体"/>
          <w:b/>
          <w:sz w:val="32"/>
        </w:rPr>
        <w:t>一、项目背景与意义</w:t>
      </w:r>
    </w:p>
    <w:p>
      <w:pPr>
        <w:spacing w:before="240" w:after="120" w:line="360" w:lineRule="auto"/>
      </w:pPr>
      <w:r>
        <w:rPr>
          <w:rFonts w:ascii="Times New Roman" w:hAnsi="Times New Roman" w:eastAsia="黑体"/>
          <w:b/>
          <w:sz w:val="28"/>
        </w:rPr>
        <w:t>1.1 研究背景</w:t>
      </w:r>
    </w:p>
    <w:p>
      <w:pPr>
        <w:spacing w:before="0" w:after="60" w:line="360" w:lineRule="auto"/>
        <w:ind w:firstLine="425"/>
      </w:pPr>
      <w:r>
        <w:rPr>
          <w:rFonts w:ascii="Times New Roman" w:hAnsi="Times New Roman" w:eastAsia="宋体"/>
          <w:b w:val="0"/>
          <w:sz w:val="24"/>
        </w:rPr>
        <w:t>深度学习的成功高度依赖于训练数据与测试数据独立同分布（i.i.d.）的假设。然而，在真实应用场景中，这一假设往往不成立。当训练数据（源域）与测试数据（目标域）来自不同分布时，模型性能会显著下降，这种现象被称为域偏移（Domain Shift）。例如，在自动驾驶场景中，模型可能在晴朗天气的欧洲街道图像上训练，但实际部署时需要处理雨天的中国城市道路图像。</w:t>
      </w:r>
    </w:p>
    <w:p>
      <w:pPr>
        <w:spacing w:before="0" w:after="60" w:line="360" w:lineRule="auto"/>
        <w:ind w:firstLine="425"/>
      </w:pPr>
      <w:r>
        <w:rPr>
          <w:rFonts w:ascii="Times New Roman" w:hAnsi="Times New Roman" w:eastAsia="宋体"/>
          <w:b w:val="0"/>
          <w:sz w:val="24"/>
        </w:rPr>
        <w:t>域适应（Domain Adaptation）技术旨在解决域偏移问题，将源域学习的知识迁移到目标域。然而，传统域适应方法假设源域和目标域的类别空间完全一致（闭集假设）。在实际应用中，目标域往往包含训练时从未见过的未知类别，这种场景被称为开放集域适应（Open Set Domain Adaptation, OSDA）。</w:t>
      </w:r>
    </w:p>
    <w:p>
      <w:pPr>
        <w:spacing w:before="240" w:after="120" w:line="360" w:lineRule="auto"/>
      </w:pPr>
      <w:r>
        <w:rPr>
          <w:rFonts w:ascii="Times New Roman" w:hAnsi="Times New Roman" w:eastAsia="黑体"/>
          <w:b/>
          <w:sz w:val="28"/>
        </w:rPr>
        <w:t>1.2 核心科学问题</w:t>
      </w:r>
    </w:p>
    <w:p>
      <w:pPr>
        <w:spacing w:before="0" w:after="60" w:line="360" w:lineRule="auto"/>
        <w:ind w:firstLine="425"/>
      </w:pPr>
      <w:r>
        <w:rPr>
          <w:rFonts w:ascii="Times New Roman" w:hAnsi="Times New Roman" w:eastAsia="宋体"/>
          <w:b w:val="0"/>
          <w:sz w:val="24"/>
        </w:rPr>
        <w:t>本项目聚焦于OSDA中的两个核心挑战：</w:t>
      </w:r>
    </w:p>
    <w:p>
      <w:pPr>
        <w:spacing w:before="0" w:after="60" w:line="360" w:lineRule="auto"/>
      </w:pPr>
      <w:r>
        <w:rPr>
          <w:rFonts w:ascii="Times New Roman" w:hAnsi="Times New Roman" w:eastAsia="宋体"/>
          <w:b w:val="0"/>
          <w:sz w:val="24"/>
        </w:rPr>
        <w:t>1. 域分布对齐：如何将源域的知识有效迁移到分布不同的目标域，同时不破坏类别判别性？</w:t>
      </w:r>
    </w:p>
    <w:p>
      <w:pPr>
        <w:spacing w:before="0" w:after="60" w:line="360" w:lineRule="auto"/>
      </w:pPr>
      <w:r>
        <w:rPr>
          <w:rFonts w:ascii="Times New Roman" w:hAnsi="Times New Roman" w:eastAsia="宋体"/>
          <w:b w:val="0"/>
          <w:sz w:val="24"/>
        </w:rPr>
        <w:t>2. 未知类识别：如何在无目标域标签的情况下，准确区分已知类和训练时从未见过的未知类？</w:t>
      </w:r>
    </w:p>
    <w:p>
      <w:pPr>
        <w:spacing w:before="0" w:after="60" w:line="360" w:lineRule="auto"/>
        <w:ind w:firstLine="425"/>
      </w:pPr>
      <w:r>
        <w:rPr>
          <w:rFonts w:ascii="Times New Roman" w:hAnsi="Times New Roman" w:eastAsia="宋体"/>
          <w:b w:val="0"/>
          <w:sz w:val="24"/>
        </w:rPr>
        <w:t>这两个挑战相互耦合：域对齐操作可能混淆已知类和未知类的特征边界，而未知类检测的准确性又依赖于良好的特征表示。</w:t>
      </w:r>
    </w:p>
    <w:p>
      <w:pPr>
        <w:spacing w:before="240" w:after="120" w:line="360" w:lineRule="auto"/>
      </w:pPr>
      <w:r>
        <w:rPr>
          <w:rFonts w:ascii="Times New Roman" w:hAnsi="Times New Roman" w:eastAsia="黑体"/>
          <w:b/>
          <w:sz w:val="28"/>
        </w:rPr>
        <w:t>1.3 应用价值</w:t>
      </w:r>
    </w:p>
    <w:p>
      <w:pPr>
        <w:spacing w:before="0" w:after="60" w:line="360" w:lineRule="auto"/>
      </w:pPr>
      <w:r>
        <w:rPr>
          <w:rFonts w:ascii="Times New Roman" w:hAnsi="Times New Roman" w:eastAsia="宋体"/>
          <w:b w:val="0"/>
          <w:sz w:val="24"/>
        </w:rPr>
        <w:t>自动驾驶：检测训练数据中未出现的未知障碍物（如散落货物、罕见动物）</w:t>
      </w:r>
    </w:p>
    <w:p>
      <w:pPr>
        <w:spacing w:before="0" w:after="60" w:line="360" w:lineRule="auto"/>
      </w:pPr>
      <w:r>
        <w:rPr>
          <w:rFonts w:ascii="Times New Roman" w:hAnsi="Times New Roman" w:eastAsia="宋体"/>
          <w:b w:val="0"/>
          <w:sz w:val="24"/>
        </w:rPr>
        <w:t>医疗诊断：识别训练集未包含的罕见病灶类型</w:t>
      </w:r>
    </w:p>
    <w:p>
      <w:pPr>
        <w:spacing w:before="0" w:after="60" w:line="360" w:lineRule="auto"/>
      </w:pPr>
      <w:r>
        <w:rPr>
          <w:rFonts w:ascii="Times New Roman" w:hAnsi="Times New Roman" w:eastAsia="宋体"/>
          <w:b w:val="0"/>
          <w:sz w:val="24"/>
        </w:rPr>
        <w:t>工业缺陷检测：发现产线上从未见过的新型缺陷</w:t>
      </w:r>
    </w:p>
    <w:p>
      <w:pPr>
        <w:spacing w:before="0" w:after="60" w:line="360" w:lineRule="auto"/>
      </w:pPr>
      <w:r>
        <w:rPr>
          <w:rFonts w:ascii="Times New Roman" w:hAnsi="Times New Roman" w:eastAsia="宋体"/>
          <w:b w:val="0"/>
          <w:sz w:val="24"/>
        </w:rPr>
        <w:t>安防监控：检测异常行为模式</w:t>
      </w:r>
    </w:p>
    <w:p>
      <w:r>
        <w:br w:type="page"/>
      </w:r>
    </w:p>
    <w:p>
      <w:pPr>
        <w:spacing w:before="240" w:after="120" w:line="360" w:lineRule="auto"/>
      </w:pPr>
      <w:r>
        <w:rPr>
          <w:rFonts w:ascii="Times New Roman" w:hAnsi="Times New Roman" w:eastAsia="黑体"/>
          <w:b/>
          <w:sz w:val="32"/>
        </w:rPr>
        <w:t>二、研究现状与相关工作</w:t>
      </w:r>
    </w:p>
    <w:p>
      <w:pPr>
        <w:spacing w:before="240" w:after="120" w:line="360" w:lineRule="auto"/>
      </w:pPr>
      <w:r>
        <w:rPr>
          <w:rFonts w:ascii="Times New Roman" w:hAnsi="Times New Roman" w:eastAsia="黑体"/>
          <w:b/>
          <w:sz w:val="28"/>
        </w:rPr>
        <w:t>2.1 域适应技术发展</w:t>
      </w:r>
    </w:p>
    <w:p>
      <w:pPr>
        <w:spacing w:before="0" w:after="60" w:line="360" w:lineRule="auto"/>
        <w:ind w:firstLine="425"/>
      </w:pPr>
      <w:r>
        <w:rPr>
          <w:rFonts w:ascii="Times New Roman" w:hAnsi="Times New Roman" w:eastAsia="宋体"/>
          <w:b w:val="0"/>
          <w:sz w:val="24"/>
        </w:rPr>
        <w:t>域适应方法主要分为三类：</w:t>
      </w:r>
    </w:p>
    <w:p>
      <w:pPr>
        <w:spacing w:before="0" w:after="60" w:line="360" w:lineRule="auto"/>
      </w:pPr>
      <w:r>
        <w:rPr>
          <w:rFonts w:ascii="Times New Roman" w:hAnsi="Times New Roman" w:eastAsia="宋体"/>
          <w:b w:val="0"/>
          <w:sz w:val="24"/>
        </w:rPr>
        <w:t>1. 基于差异度量的方法：通过最大均值差异（MMD）、相关对齐（CORAL）等度量最小化源域和目标域特征分布差异。</w:t>
      </w:r>
    </w:p>
    <w:p>
      <w:pPr>
        <w:spacing w:before="0" w:after="60" w:line="360" w:lineRule="auto"/>
      </w:pPr>
      <w:r>
        <w:rPr>
          <w:rFonts w:ascii="Times New Roman" w:hAnsi="Times New Roman" w:eastAsia="宋体"/>
          <w:b w:val="0"/>
          <w:sz w:val="24"/>
        </w:rPr>
        <w:t>2. 基于对抗训练的方法：使用梯度反转层（GRL）[Ganin et al., JMLR 2016]训练域判别器，迫使特征提取器生成域不变特征。</w:t>
      </w:r>
    </w:p>
    <w:p>
      <w:pPr>
        <w:spacing w:before="0" w:after="60" w:line="360" w:lineRule="auto"/>
      </w:pPr>
      <w:r>
        <w:rPr>
          <w:rFonts w:ascii="Times New Roman" w:hAnsi="Times New Roman" w:eastAsia="宋体"/>
          <w:b w:val="0"/>
          <w:sz w:val="24"/>
        </w:rPr>
        <w:t>3. 基于重构的方法：通过图像或特征重建来保持域不变语义信息。</w:t>
      </w:r>
    </w:p>
    <w:p>
      <w:pPr>
        <w:spacing w:before="240" w:after="120" w:line="360" w:lineRule="auto"/>
      </w:pPr>
      <w:r>
        <w:rPr>
          <w:rFonts w:ascii="Times New Roman" w:hAnsi="Times New Roman" w:eastAsia="黑体"/>
          <w:b/>
          <w:sz w:val="28"/>
        </w:rPr>
        <w:t>2.2 开放集识别研究</w:t>
      </w:r>
    </w:p>
    <w:p>
      <w:pPr>
        <w:spacing w:before="0" w:after="60" w:line="360" w:lineRule="auto"/>
        <w:ind w:firstLine="425"/>
      </w:pPr>
      <w:r>
        <w:rPr>
          <w:rFonts w:ascii="Times New Roman" w:hAnsi="Times New Roman" w:eastAsia="宋体"/>
          <w:b w:val="0"/>
          <w:sz w:val="24"/>
        </w:rPr>
        <w:t>开放集识别要求在识别已知类的同时拒绝未知类。主要方法包括：</w:t>
      </w:r>
    </w:p>
    <w:p>
      <w:pPr>
        <w:spacing w:before="0" w:after="60" w:line="360" w:lineRule="auto"/>
      </w:pPr>
      <w:r>
        <w:rPr>
          <w:rFonts w:ascii="Times New Roman" w:hAnsi="Times New Roman" w:eastAsia="宋体"/>
          <w:b w:val="0"/>
          <w:sz w:val="24"/>
        </w:rPr>
        <w:t>基于Softmax阈值的方法：设定置信度阈值，低置信度样本判定为未知类</w:t>
      </w:r>
    </w:p>
    <w:p>
      <w:pPr>
        <w:spacing w:before="0" w:after="60" w:line="360" w:lineRule="auto"/>
      </w:pPr>
      <w:r>
        <w:rPr>
          <w:rFonts w:ascii="Times New Roman" w:hAnsi="Times New Roman" w:eastAsia="宋体"/>
          <w:b w:val="0"/>
          <w:sz w:val="24"/>
        </w:rPr>
        <w:t>基于距离的方法：利用特征空间中样本到类中心的距离</w:t>
      </w:r>
    </w:p>
    <w:p>
      <w:pPr>
        <w:spacing w:before="0" w:after="60" w:line="360" w:lineRule="auto"/>
      </w:pPr>
      <w:r>
        <w:rPr>
          <w:rFonts w:ascii="Times New Roman" w:hAnsi="Times New Roman" w:eastAsia="宋体"/>
          <w:b w:val="0"/>
          <w:sz w:val="24"/>
        </w:rPr>
        <w:t>基于生成模型的方法：利用重构误差区分已知和未知样本</w:t>
      </w:r>
    </w:p>
    <w:p>
      <w:pPr>
        <w:spacing w:before="240" w:after="120" w:line="360" w:lineRule="auto"/>
      </w:pPr>
      <w:r>
        <w:rPr>
          <w:rFonts w:ascii="Times New Roman" w:hAnsi="Times New Roman" w:eastAsia="黑体"/>
          <w:b/>
          <w:sz w:val="28"/>
        </w:rPr>
        <w:t>2.3 开放集域适应（OSDA）代表性工作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E2F3"/>
          </w:tcPr>
          <w:p>
            <w:pPr>
              <w:jc w:val="center"/>
            </w:pPr>
            <w:r/>
            <w:r>
              <w:rPr>
                <w:rFonts w:ascii="Times New Roman" w:hAnsi="Times New Roman" w:eastAsia="宋体"/>
                <w:b/>
                <w:sz w:val="20"/>
              </w:rPr>
              <w:t>方法</w:t>
            </w:r>
          </w:p>
        </w:tc>
        <w:tc>
          <w:tcPr>
            <w:tcW w:type="dxa" w:w="2351"/>
            <w:shd w:fill="D9E2F3"/>
          </w:tcPr>
          <w:p>
            <w:pPr>
              <w:jc w:val="center"/>
            </w:pPr>
            <w:r/>
            <w:r>
              <w:rPr>
                <w:rFonts w:ascii="Times New Roman" w:hAnsi="Times New Roman" w:eastAsia="宋体"/>
                <w:b/>
                <w:sz w:val="20"/>
              </w:rPr>
              <w:t>会议</w:t>
            </w:r>
          </w:p>
        </w:tc>
        <w:tc>
          <w:tcPr>
            <w:tcW w:type="dxa" w:w="2351"/>
            <w:shd w:fill="D9E2F3"/>
          </w:tcPr>
          <w:p>
            <w:pPr>
              <w:jc w:val="center"/>
            </w:pPr>
            <w:r/>
            <w:r>
              <w:rPr>
                <w:rFonts w:ascii="Times New Roman" w:hAnsi="Times New Roman" w:eastAsia="宋体"/>
                <w:b/>
                <w:sz w:val="20"/>
              </w:rPr>
              <w:t>核心思想</w:t>
            </w:r>
          </w:p>
        </w:tc>
        <w:tc>
          <w:tcPr>
            <w:tcW w:type="dxa" w:w="2351"/>
            <w:shd w:fill="D9E2F3"/>
          </w:tcPr>
          <w:p>
            <w:pPr>
              <w:jc w:val="center"/>
            </w:pPr>
            <w:r/>
            <w:r>
              <w:rPr>
                <w:rFonts w:ascii="Times New Roman" w:hAnsi="Times New Roman" w:eastAsia="宋体"/>
                <w:b/>
                <w:sz w:val="20"/>
              </w:rPr>
              <w:t>局限性</w:t>
            </w:r>
          </w:p>
        </w:tc>
      </w:tr>
      <w:tr>
        <w:tc>
          <w:tcPr>
            <w:tcW w:type="dxa" w:w="2351"/>
          </w:tcPr>
          <w:p>
            <w:pPr>
              <w:jc w:val="center"/>
            </w:pPr>
            <w:r/>
            <w:r>
              <w:rPr>
                <w:rFonts w:ascii="Times New Roman" w:hAnsi="Times New Roman" w:eastAsia="宋体"/>
                <w:b w:val="0"/>
                <w:sz w:val="20"/>
              </w:rPr>
              <w:t>OSBP [Saito et al., ECCV 2018]</w:t>
            </w:r>
          </w:p>
        </w:tc>
        <w:tc>
          <w:tcPr>
            <w:tcW w:type="dxa" w:w="2351"/>
          </w:tcPr>
          <w:p>
            <w:pPr>
              <w:jc w:val="center"/>
            </w:pPr>
            <w:r/>
            <w:r>
              <w:rPr>
                <w:rFonts w:ascii="Times New Roman" w:hAnsi="Times New Roman" w:eastAsia="宋体"/>
                <w:b w:val="0"/>
                <w:sz w:val="20"/>
              </w:rPr>
              <w:t>ECCV 2018</w:t>
            </w:r>
          </w:p>
        </w:tc>
        <w:tc>
          <w:tcPr>
            <w:tcW w:type="dxa" w:w="2351"/>
          </w:tcPr>
          <w:p>
            <w:pPr>
              <w:jc w:val="center"/>
            </w:pPr>
            <w:r/>
            <w:r>
              <w:rPr>
                <w:rFonts w:ascii="Times New Roman" w:hAnsi="Times New Roman" w:eastAsia="宋体"/>
                <w:b w:val="0"/>
                <w:sz w:val="20"/>
              </w:rPr>
              <w:t>C+1分类器+对抗训练</w:t>
            </w:r>
          </w:p>
        </w:tc>
        <w:tc>
          <w:tcPr>
            <w:tcW w:type="dxa" w:w="2351"/>
          </w:tcPr>
          <w:p>
            <w:pPr>
              <w:jc w:val="center"/>
            </w:pPr>
            <w:r/>
            <w:r>
              <w:rPr>
                <w:rFonts w:ascii="Times New Roman" w:hAnsi="Times New Roman" w:eastAsia="宋体"/>
                <w:b w:val="0"/>
                <w:sz w:val="20"/>
              </w:rPr>
              <w:t>过度保守，已知类准确率低</w:t>
            </w:r>
          </w:p>
        </w:tc>
      </w:tr>
      <w:tr>
        <w:tc>
          <w:tcPr>
            <w:tcW w:type="dxa" w:w="2351"/>
          </w:tcPr>
          <w:p>
            <w:pPr>
              <w:jc w:val="center"/>
            </w:pPr>
            <w:r/>
            <w:r>
              <w:rPr>
                <w:rFonts w:ascii="Times New Roman" w:hAnsi="Times New Roman" w:eastAsia="宋体"/>
                <w:b w:val="0"/>
                <w:sz w:val="20"/>
              </w:rPr>
              <w:t>STA [Liu et al., CVPR 2019]</w:t>
            </w:r>
          </w:p>
        </w:tc>
        <w:tc>
          <w:tcPr>
            <w:tcW w:type="dxa" w:w="2351"/>
          </w:tcPr>
          <w:p>
            <w:pPr>
              <w:jc w:val="center"/>
            </w:pPr>
            <w:r/>
            <w:r>
              <w:rPr>
                <w:rFonts w:ascii="Times New Roman" w:hAnsi="Times New Roman" w:eastAsia="宋体"/>
                <w:b w:val="0"/>
                <w:sz w:val="20"/>
              </w:rPr>
              <w:t>CVPR 2019</w:t>
            </w:r>
          </w:p>
        </w:tc>
        <w:tc>
          <w:tcPr>
            <w:tcW w:type="dxa" w:w="2351"/>
          </w:tcPr>
          <w:p>
            <w:pPr>
              <w:jc w:val="center"/>
            </w:pPr>
            <w:r/>
            <w:r>
              <w:rPr>
                <w:rFonts w:ascii="Times New Roman" w:hAnsi="Times New Roman" w:eastAsia="宋体"/>
                <w:b w:val="0"/>
                <w:sz w:val="20"/>
              </w:rPr>
              <w:t>渐进式特征分离</w:t>
            </w:r>
          </w:p>
        </w:tc>
        <w:tc>
          <w:tcPr>
            <w:tcW w:type="dxa" w:w="2351"/>
          </w:tcPr>
          <w:p>
            <w:pPr>
              <w:jc w:val="center"/>
            </w:pPr>
            <w:r/>
            <w:r>
              <w:rPr>
                <w:rFonts w:ascii="Times New Roman" w:hAnsi="Times New Roman" w:eastAsia="宋体"/>
                <w:b w:val="0"/>
                <w:sz w:val="20"/>
              </w:rPr>
              <w:t>训练复杂，收敛慢</w:t>
            </w:r>
          </w:p>
        </w:tc>
      </w:tr>
      <w:tr>
        <w:tc>
          <w:tcPr>
            <w:tcW w:type="dxa" w:w="2351"/>
          </w:tcPr>
          <w:p>
            <w:pPr>
              <w:jc w:val="center"/>
            </w:pPr>
            <w:r/>
            <w:r>
              <w:rPr>
                <w:rFonts w:ascii="Times New Roman" w:hAnsi="Times New Roman" w:eastAsia="宋体"/>
                <w:b w:val="0"/>
                <w:sz w:val="20"/>
              </w:rPr>
              <w:t>UAN [Yan et al., ICML 2017]</w:t>
            </w:r>
          </w:p>
        </w:tc>
        <w:tc>
          <w:tcPr>
            <w:tcW w:type="dxa" w:w="2351"/>
          </w:tcPr>
          <w:p>
            <w:pPr>
              <w:jc w:val="center"/>
            </w:pPr>
            <w:r/>
            <w:r>
              <w:rPr>
                <w:rFonts w:ascii="Times New Roman" w:hAnsi="Times New Roman" w:eastAsia="宋体"/>
                <w:b w:val="0"/>
                <w:sz w:val="20"/>
              </w:rPr>
              <w:t>ICML 2017</w:t>
            </w:r>
          </w:p>
        </w:tc>
        <w:tc>
          <w:tcPr>
            <w:tcW w:type="dxa" w:w="2351"/>
          </w:tcPr>
          <w:p>
            <w:pPr>
              <w:jc w:val="center"/>
            </w:pPr>
            <w:r/>
            <w:r>
              <w:rPr>
                <w:rFonts w:ascii="Times New Roman" w:hAnsi="Times New Roman" w:eastAsia="宋体"/>
                <w:b w:val="0"/>
                <w:sz w:val="20"/>
              </w:rPr>
              <w:t>不平衡感知权重</w:t>
            </w:r>
          </w:p>
        </w:tc>
        <w:tc>
          <w:tcPr>
            <w:tcW w:type="dxa" w:w="2351"/>
          </w:tcPr>
          <w:p>
            <w:pPr>
              <w:jc w:val="center"/>
            </w:pPr>
            <w:r/>
            <w:r>
              <w:rPr>
                <w:rFonts w:ascii="Times New Roman" w:hAnsi="Times New Roman" w:eastAsia="宋体"/>
                <w:b w:val="0"/>
                <w:sz w:val="20"/>
              </w:rPr>
              <w:t>硬件需求高，普适性差</w:t>
            </w:r>
          </w:p>
        </w:tc>
      </w:tr>
      <w:tr>
        <w:tc>
          <w:tcPr>
            <w:tcW w:type="dxa" w:w="2351"/>
          </w:tcPr>
          <w:p>
            <w:pPr>
              <w:jc w:val="center"/>
            </w:pPr>
            <w:r/>
            <w:r>
              <w:rPr>
                <w:rFonts w:ascii="Times New Roman" w:hAnsi="Times New Roman" w:eastAsia="宋体"/>
                <w:b w:val="0"/>
                <w:sz w:val="20"/>
              </w:rPr>
              <w:t>OVANet [Du et al., CVPR 2021]</w:t>
            </w:r>
          </w:p>
        </w:tc>
        <w:tc>
          <w:tcPr>
            <w:tcW w:type="dxa" w:w="2351"/>
          </w:tcPr>
          <w:p>
            <w:pPr>
              <w:jc w:val="center"/>
            </w:pPr>
            <w:r/>
            <w:r>
              <w:rPr>
                <w:rFonts w:ascii="Times New Roman" w:hAnsi="Times New Roman" w:eastAsia="宋体"/>
                <w:b w:val="0"/>
                <w:sz w:val="20"/>
              </w:rPr>
              <w:t>CVPR 2021</w:t>
            </w:r>
          </w:p>
        </w:tc>
        <w:tc>
          <w:tcPr>
            <w:tcW w:type="dxa" w:w="2351"/>
          </w:tcPr>
          <w:p>
            <w:pPr>
              <w:jc w:val="center"/>
            </w:pPr>
            <w:r/>
            <w:r>
              <w:rPr>
                <w:rFonts w:ascii="Times New Roman" w:hAnsi="Times New Roman" w:eastAsia="宋体"/>
                <w:b w:val="0"/>
                <w:sz w:val="20"/>
              </w:rPr>
              <w:t>每类一个One-vs-All分类器</w:t>
            </w:r>
          </w:p>
        </w:tc>
        <w:tc>
          <w:tcPr>
            <w:tcW w:type="dxa" w:w="2351"/>
          </w:tcPr>
          <w:p>
            <w:pPr>
              <w:jc w:val="center"/>
            </w:pPr>
            <w:r/>
            <w:r>
              <w:rPr>
                <w:rFonts w:ascii="Times New Roman" w:hAnsi="Times New Roman" w:eastAsia="宋体"/>
                <w:b w:val="0"/>
                <w:sz w:val="20"/>
              </w:rPr>
              <w:t>类别数多时不可扩展</w:t>
            </w:r>
          </w:p>
        </w:tc>
      </w:tr>
    </w:tbl>
    <w:p/>
    <w:p>
      <w:pPr>
        <w:spacing w:before="240" w:after="120" w:line="360" w:lineRule="auto"/>
      </w:pPr>
      <w:r>
        <w:rPr>
          <w:rFonts w:ascii="Times New Roman" w:hAnsi="Times New Roman" w:eastAsia="黑体"/>
          <w:b/>
          <w:sz w:val="28"/>
        </w:rPr>
        <w:t>2.4 现有方法的局限性</w:t>
      </w:r>
    </w:p>
    <w:p>
      <w:pPr>
        <w:spacing w:before="0" w:after="60" w:line="360" w:lineRule="auto"/>
        <w:ind w:firstLine="425"/>
      </w:pPr>
      <w:r>
        <w:rPr>
          <w:rFonts w:ascii="Times New Roman" w:hAnsi="Times New Roman" w:eastAsia="宋体"/>
          <w:b w:val="0"/>
          <w:sz w:val="24"/>
        </w:rPr>
        <w:t>基于上述调研，我们总结了现有OSDA方法的四大共性问题：</w:t>
      </w:r>
    </w:p>
    <w:p>
      <w:pPr>
        <w:spacing w:before="0" w:after="60" w:line="360" w:lineRule="auto"/>
      </w:pPr>
      <w:r>
        <w:rPr>
          <w:rFonts w:ascii="Times New Roman" w:hAnsi="Times New Roman" w:eastAsia="宋体"/>
          <w:b w:val="0"/>
          <w:sz w:val="24"/>
        </w:rPr>
        <w:t>1. 特征混淆：类别信息和域信息在特征空间中纠缠，域对齐破坏类别判别性</w:t>
      </w:r>
    </w:p>
    <w:p>
      <w:pPr>
        <w:spacing w:before="0" w:after="60" w:line="360" w:lineRule="auto"/>
      </w:pPr>
      <w:r>
        <w:rPr>
          <w:rFonts w:ascii="Times New Roman" w:hAnsi="Times New Roman" w:eastAsia="宋体"/>
          <w:b w:val="0"/>
          <w:sz w:val="24"/>
        </w:rPr>
        <w:t>2. 训练策略僵化：对抗强度固定，无法在训练不同阶段自适应调整</w:t>
      </w:r>
    </w:p>
    <w:p>
      <w:pPr>
        <w:spacing w:before="0" w:after="60" w:line="360" w:lineRule="auto"/>
      </w:pPr>
      <w:r>
        <w:rPr>
          <w:rFonts w:ascii="Times New Roman" w:hAnsi="Times New Roman" w:eastAsia="宋体"/>
          <w:b w:val="0"/>
          <w:sz w:val="24"/>
        </w:rPr>
        <w:t>3. 判别信息单一：大多仅依赖分类器置信度进行未知类判定，容易受对抗样本欺骗</w:t>
      </w:r>
    </w:p>
    <w:p>
      <w:pPr>
        <w:spacing w:before="0" w:after="60" w:line="360" w:lineRule="auto"/>
      </w:pPr>
      <w:r>
        <w:rPr>
          <w:rFonts w:ascii="Times New Roman" w:hAnsi="Times New Roman" w:eastAsia="宋体"/>
          <w:b w:val="0"/>
          <w:sz w:val="24"/>
        </w:rPr>
        <w:t>4. 缺乏重构辅助：未充分利用生成模型的重构误差作为独立的异常检测信号</w:t>
      </w:r>
    </w:p>
    <w:p>
      <w:r>
        <w:br w:type="page"/>
      </w:r>
    </w:p>
    <w:p>
      <w:pPr>
        <w:spacing w:before="240" w:after="120" w:line="360" w:lineRule="auto"/>
      </w:pPr>
      <w:r>
        <w:rPr>
          <w:rFonts w:ascii="Times New Roman" w:hAnsi="Times New Roman" w:eastAsia="黑体"/>
          <w:b/>
          <w:sz w:val="32"/>
        </w:rPr>
        <w:t>三、核心方法与技术细节</w:t>
      </w:r>
    </w:p>
    <w:p>
      <w:pPr>
        <w:spacing w:before="240" w:after="120" w:line="360" w:lineRule="auto"/>
      </w:pPr>
      <w:r>
        <w:rPr>
          <w:rFonts w:ascii="Times New Roman" w:hAnsi="Times New Roman" w:eastAsia="黑体"/>
          <w:b/>
          <w:sz w:val="28"/>
        </w:rPr>
        <w:t>3.1 总体框架</w:t>
      </w:r>
    </w:p>
    <w:p>
      <w:pPr>
        <w:spacing w:before="0" w:after="60" w:line="360" w:lineRule="auto"/>
        <w:ind w:firstLine="425"/>
      </w:pPr>
      <w:r>
        <w:rPr>
          <w:rFonts w:ascii="Times New Roman" w:hAnsi="Times New Roman" w:eastAsia="宋体"/>
          <w:b w:val="0"/>
          <w:sz w:val="24"/>
        </w:rPr>
        <w:t>我们提出的OSDA框架包括五个核心模块：</w:t>
      </w:r>
    </w:p>
    <w:p>
      <w:pPr>
        <w:spacing w:before="0" w:after="60" w:line="360" w:lineRule="auto"/>
      </w:pPr>
      <w:r>
        <w:rPr>
          <w:rFonts w:ascii="Times New Roman" w:hAnsi="Times New Roman" w:eastAsia="宋体"/>
          <w:b w:val="0"/>
          <w:sz w:val="24"/>
        </w:rPr>
        <w:t>设计理念：通过特征解耦将互斥的类别信息和域信息分离到两个独立分支，利用正交约束确保两分支学习互补信息；同时引入VAE重构模块作为第三方独立信号源，提供生成模型视角的异常检测能力。</w:t>
      </w:r>
    </w:p>
    <w:p>
      <w:pPr>
        <w:spacing w:before="0" w:after="60" w:line="360" w:lineRule="auto"/>
        <w:ind w:firstLine="425"/>
      </w:pPr>
      <w:r>
        <w:rPr>
          <w:rFonts w:ascii="Times New Roman" w:hAnsi="Times New Roman" w:eastAsia="宋体"/>
          <w:b w:val="0"/>
          <w:sz w:val="24"/>
        </w:rPr>
        <w:t>各创新点与后续实验的对应关系如下：</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fill="D9E2F3"/>
          </w:tcPr>
          <w:p>
            <w:pPr>
              <w:jc w:val="center"/>
            </w:pPr>
            <w:r/>
            <w:r>
              <w:rPr>
                <w:rFonts w:ascii="Times New Roman" w:hAnsi="Times New Roman" w:eastAsia="宋体"/>
                <w:b/>
                <w:sz w:val="20"/>
              </w:rPr>
              <w:t>创新点</w:t>
            </w:r>
          </w:p>
        </w:tc>
        <w:tc>
          <w:tcPr>
            <w:tcW w:type="dxa" w:w="3135"/>
            <w:shd w:fill="D9E2F3"/>
          </w:tcPr>
          <w:p>
            <w:pPr>
              <w:jc w:val="center"/>
            </w:pPr>
            <w:r/>
            <w:r>
              <w:rPr>
                <w:rFonts w:ascii="Times New Roman" w:hAnsi="Times New Roman" w:eastAsia="宋体"/>
                <w:b/>
                <w:sz w:val="20"/>
              </w:rPr>
              <w:t>对应验证实验</w:t>
            </w:r>
          </w:p>
        </w:tc>
        <w:tc>
          <w:tcPr>
            <w:tcW w:type="dxa" w:w="3135"/>
            <w:shd w:fill="D9E2F3"/>
          </w:tcPr>
          <w:p>
            <w:pPr>
              <w:jc w:val="center"/>
            </w:pPr>
            <w:r/>
            <w:r>
              <w:rPr>
                <w:rFonts w:ascii="Times New Roman" w:hAnsi="Times New Roman" w:eastAsia="宋体"/>
                <w:b/>
                <w:sz w:val="20"/>
              </w:rPr>
              <w:t>关键证据指标</w:t>
            </w:r>
          </w:p>
        </w:tc>
      </w:tr>
      <w:tr>
        <w:tc>
          <w:tcPr>
            <w:tcW w:type="dxa" w:w="3135"/>
          </w:tcPr>
          <w:p>
            <w:pPr>
              <w:jc w:val="center"/>
            </w:pPr>
            <w:r/>
            <w:r>
              <w:rPr>
                <w:rFonts w:ascii="Times New Roman" w:hAnsi="Times New Roman" w:eastAsia="宋体"/>
                <w:b w:val="0"/>
                <w:sz w:val="20"/>
              </w:rPr>
              <w:t>动态GRL</w:t>
            </w:r>
          </w:p>
        </w:tc>
        <w:tc>
          <w:tcPr>
            <w:tcW w:type="dxa" w:w="3135"/>
          </w:tcPr>
          <w:p>
            <w:pPr>
              <w:jc w:val="center"/>
            </w:pPr>
            <w:r/>
            <w:r>
              <w:rPr>
                <w:rFonts w:ascii="Times New Roman" w:hAnsi="Times New Roman" w:eastAsia="宋体"/>
                <w:b w:val="0"/>
                <w:sz w:val="20"/>
              </w:rPr>
              <w:t>有/无DGRL性能对比（消融）</w:t>
            </w:r>
          </w:p>
        </w:tc>
        <w:tc>
          <w:tcPr>
            <w:tcW w:type="dxa" w:w="3135"/>
          </w:tcPr>
          <w:p>
            <w:pPr>
              <w:jc w:val="center"/>
            </w:pPr>
            <w:r/>
            <w:r>
              <w:rPr>
                <w:rFonts w:ascii="Times New Roman" w:hAnsi="Times New Roman" w:eastAsia="宋体"/>
                <w:b w:val="0"/>
                <w:sz w:val="20"/>
              </w:rPr>
              <w:t>已知类准确率78.5%→83.82%</w:t>
            </w:r>
          </w:p>
        </w:tc>
      </w:tr>
      <w:tr>
        <w:tc>
          <w:tcPr>
            <w:tcW w:type="dxa" w:w="3135"/>
          </w:tcPr>
          <w:p>
            <w:pPr>
              <w:jc w:val="center"/>
            </w:pPr>
            <w:r/>
            <w:r>
              <w:rPr>
                <w:rFonts w:ascii="Times New Roman" w:hAnsi="Times New Roman" w:eastAsia="宋体"/>
                <w:b w:val="0"/>
                <w:sz w:val="20"/>
              </w:rPr>
              <w:t>双分支特征解耦</w:t>
            </w:r>
          </w:p>
        </w:tc>
        <w:tc>
          <w:tcPr>
            <w:tcW w:type="dxa" w:w="3135"/>
          </w:tcPr>
          <w:p>
            <w:pPr>
              <w:jc w:val="center"/>
            </w:pPr>
            <w:r/>
            <w:r>
              <w:rPr>
                <w:rFonts w:ascii="Times New Roman" w:hAnsi="Times New Roman" w:eastAsia="宋体"/>
                <w:b w:val="0"/>
                <w:sz w:val="20"/>
              </w:rPr>
              <w:t>正交性得分验证</w:t>
            </w:r>
          </w:p>
        </w:tc>
        <w:tc>
          <w:tcPr>
            <w:tcW w:type="dxa" w:w="3135"/>
          </w:tcPr>
          <w:p>
            <w:pPr>
              <w:jc w:val="center"/>
            </w:pPr>
            <w:r/>
            <w:r>
              <w:rPr>
                <w:rFonts w:ascii="Times New Roman" w:hAnsi="Times New Roman" w:eastAsia="宋体"/>
                <w:b w:val="0"/>
                <w:sz w:val="20"/>
              </w:rPr>
              <w:t>正交性得分0.0913（目标≤0.3）</w:t>
            </w:r>
          </w:p>
        </w:tc>
      </w:tr>
      <w:tr>
        <w:tc>
          <w:tcPr>
            <w:tcW w:type="dxa" w:w="3135"/>
          </w:tcPr>
          <w:p>
            <w:pPr>
              <w:jc w:val="center"/>
            </w:pPr>
            <w:r/>
            <w:r>
              <w:rPr>
                <w:rFonts w:ascii="Times New Roman" w:hAnsi="Times New Roman" w:eastAsia="宋体"/>
                <w:b w:val="0"/>
                <w:sz w:val="20"/>
              </w:rPr>
              <w:t>VAE重构模块</w:t>
            </w:r>
          </w:p>
        </w:tc>
        <w:tc>
          <w:tcPr>
            <w:tcW w:type="dxa" w:w="3135"/>
          </w:tcPr>
          <w:p>
            <w:pPr>
              <w:jc w:val="center"/>
            </w:pPr>
            <w:r/>
            <w:r>
              <w:rPr>
                <w:rFonts w:ascii="Times New Roman" w:hAnsi="Times New Roman" w:eastAsia="宋体"/>
                <w:b w:val="0"/>
                <w:sz w:val="20"/>
              </w:rPr>
              <w:t>有/无VAE模块对比（消融）</w:t>
            </w:r>
          </w:p>
        </w:tc>
        <w:tc>
          <w:tcPr>
            <w:tcW w:type="dxa" w:w="3135"/>
          </w:tcPr>
          <w:p>
            <w:pPr>
              <w:jc w:val="center"/>
            </w:pPr>
            <w:r/>
            <w:r>
              <w:rPr>
                <w:rFonts w:ascii="Times New Roman" w:hAnsi="Times New Roman" w:eastAsia="宋体"/>
                <w:b w:val="0"/>
                <w:sz w:val="20"/>
              </w:rPr>
              <w:t>AUROC 59.61%→59.74%</w:t>
            </w:r>
          </w:p>
        </w:tc>
      </w:tr>
      <w:tr>
        <w:tc>
          <w:tcPr>
            <w:tcW w:type="dxa" w:w="3135"/>
          </w:tcPr>
          <w:p>
            <w:pPr>
              <w:jc w:val="center"/>
            </w:pPr>
            <w:r/>
            <w:r>
              <w:rPr>
                <w:rFonts w:ascii="Times New Roman" w:hAnsi="Times New Roman" w:eastAsia="宋体"/>
                <w:b w:val="0"/>
                <w:sz w:val="20"/>
              </w:rPr>
              <w:t>四源融合策略</w:t>
            </w:r>
          </w:p>
        </w:tc>
        <w:tc>
          <w:tcPr>
            <w:tcW w:type="dxa" w:w="3135"/>
          </w:tcPr>
          <w:p>
            <w:pPr>
              <w:jc w:val="center"/>
            </w:pPr>
            <w:r/>
            <w:r>
              <w:rPr>
                <w:rFonts w:ascii="Times New Roman" w:hAnsi="Times New Roman" w:eastAsia="宋体"/>
                <w:b w:val="0"/>
                <w:sz w:val="20"/>
              </w:rPr>
              <w:t>完整消融实验</w:t>
            </w:r>
          </w:p>
        </w:tc>
        <w:tc>
          <w:tcPr>
            <w:tcW w:type="dxa" w:w="3135"/>
          </w:tcPr>
          <w:p>
            <w:pPr>
              <w:jc w:val="center"/>
            </w:pPr>
            <w:r/>
            <w:r>
              <w:rPr>
                <w:rFonts w:ascii="Times New Roman" w:hAnsi="Times New Roman" w:eastAsia="宋体"/>
                <w:b w:val="0"/>
                <w:sz w:val="20"/>
              </w:rPr>
              <w:t>AUROC 59.74%→86.19%（+44.3%）</w:t>
            </w:r>
          </w:p>
        </w:tc>
      </w:tr>
    </w:tbl>
    <w:p/>
    <w:p>
      <w:pPr>
        <w:spacing w:before="240" w:after="120" w:line="360" w:lineRule="auto"/>
      </w:pPr>
      <w:r>
        <w:rPr>
          <w:rFonts w:ascii="Times New Roman" w:hAnsi="Times New Roman" w:eastAsia="黑体"/>
          <w:b/>
          <w:sz w:val="28"/>
        </w:rPr>
        <w:t>3.2 主干网络：ConvNeXt-V2-Tiny</w:t>
      </w:r>
    </w:p>
    <w:p>
      <w:pPr>
        <w:spacing w:before="0" w:after="60" w:line="360" w:lineRule="auto"/>
        <w:ind w:firstLine="425"/>
      </w:pPr>
      <w:r>
        <w:rPr>
          <w:rFonts w:ascii="Times New Roman" w:hAnsi="Times New Roman" w:eastAsia="宋体"/>
          <w:b w:val="0"/>
          <w:sz w:val="24"/>
        </w:rPr>
        <w:t>我们选用ConvNeXt-V2-Tiny [Woo et al., CVPR 2023]作为特征提取主干，ConvNeXt-V2在ConvNeXt V1 [Liu et al., CVPR 2022]基础上引入全卷积掩码自编码器（FCMAE）预训练，进一步提升了特征表示能力。基于以下考量：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E2F3"/>
          </w:tcPr>
          <w:p>
            <w:pPr>
              <w:jc w:val="center"/>
            </w:pPr>
            <w:r/>
            <w:r>
              <w:rPr>
                <w:rFonts w:ascii="Times New Roman" w:hAnsi="Times New Roman" w:eastAsia="宋体"/>
                <w:b/>
                <w:sz w:val="20"/>
              </w:rPr>
              <w:t>对比项</w:t>
            </w:r>
          </w:p>
        </w:tc>
        <w:tc>
          <w:tcPr>
            <w:tcW w:type="dxa" w:w="2351"/>
            <w:shd w:fill="D9E2F3"/>
          </w:tcPr>
          <w:p>
            <w:pPr>
              <w:jc w:val="center"/>
            </w:pPr>
            <w:r/>
            <w:r>
              <w:rPr>
                <w:rFonts w:ascii="Times New Roman" w:hAnsi="Times New Roman" w:eastAsia="宋体"/>
                <w:b/>
                <w:sz w:val="20"/>
              </w:rPr>
              <w:t>ResNet-50</w:t>
            </w:r>
          </w:p>
        </w:tc>
        <w:tc>
          <w:tcPr>
            <w:tcW w:type="dxa" w:w="2351"/>
            <w:shd w:fill="D9E2F3"/>
          </w:tcPr>
          <w:p>
            <w:pPr>
              <w:jc w:val="center"/>
            </w:pPr>
            <w:r/>
            <w:r>
              <w:rPr>
                <w:rFonts w:ascii="Times New Roman" w:hAnsi="Times New Roman" w:eastAsia="宋体"/>
                <w:b/>
                <w:sz w:val="20"/>
              </w:rPr>
              <w:t>ConvNeXt-V2-Tiny</w:t>
            </w:r>
          </w:p>
        </w:tc>
        <w:tc>
          <w:tcPr>
            <w:tcW w:type="dxa" w:w="2351"/>
            <w:shd w:fill="D9E2F3"/>
          </w:tcPr>
          <w:p>
            <w:pPr>
              <w:jc w:val="center"/>
            </w:pPr>
            <w:r/>
            <w:r>
              <w:rPr>
                <w:rFonts w:ascii="Times New Roman" w:hAnsi="Times New Roman" w:eastAsia="宋体"/>
                <w:b/>
                <w:sz w:val="20"/>
              </w:rPr>
              <w:t>提升</w:t>
            </w:r>
          </w:p>
        </w:tc>
      </w:tr>
      <w:tr>
        <w:tc>
          <w:tcPr>
            <w:tcW w:type="dxa" w:w="2351"/>
          </w:tcPr>
          <w:p>
            <w:pPr>
              <w:jc w:val="center"/>
            </w:pPr>
            <w:r/>
            <w:r>
              <w:rPr>
                <w:rFonts w:ascii="Times New Roman" w:hAnsi="Times New Roman" w:eastAsia="宋体"/>
                <w:b w:val="0"/>
                <w:sz w:val="20"/>
              </w:rPr>
              <w:t>ImageNet Top-1</w:t>
            </w:r>
          </w:p>
        </w:tc>
        <w:tc>
          <w:tcPr>
            <w:tcW w:type="dxa" w:w="2351"/>
          </w:tcPr>
          <w:p>
            <w:pPr>
              <w:jc w:val="center"/>
            </w:pPr>
            <w:r/>
            <w:r>
              <w:rPr>
                <w:rFonts w:ascii="Times New Roman" w:hAnsi="Times New Roman" w:eastAsia="宋体"/>
                <w:b w:val="0"/>
                <w:sz w:val="20"/>
              </w:rPr>
              <w:t>76.1%</w:t>
            </w:r>
          </w:p>
        </w:tc>
        <w:tc>
          <w:tcPr>
            <w:tcW w:type="dxa" w:w="2351"/>
          </w:tcPr>
          <w:p>
            <w:pPr>
              <w:jc w:val="center"/>
            </w:pPr>
            <w:r/>
            <w:r>
              <w:rPr>
                <w:rFonts w:ascii="Times New Roman" w:hAnsi="Times New Roman" w:eastAsia="宋体"/>
                <w:b w:val="0"/>
                <w:sz w:val="20"/>
              </w:rPr>
              <w:t>82.1%</w:t>
            </w:r>
          </w:p>
        </w:tc>
        <w:tc>
          <w:tcPr>
            <w:tcW w:type="dxa" w:w="2351"/>
          </w:tcPr>
          <w:p>
            <w:pPr>
              <w:jc w:val="center"/>
            </w:pPr>
            <w:r/>
            <w:r>
              <w:rPr>
                <w:rFonts w:ascii="Times New Roman" w:hAnsi="Times New Roman" w:eastAsia="宋体"/>
                <w:b w:val="0"/>
                <w:sz w:val="20"/>
              </w:rPr>
              <w:t>+6.0%</w:t>
            </w:r>
          </w:p>
        </w:tc>
      </w:tr>
      <w:tr>
        <w:tc>
          <w:tcPr>
            <w:tcW w:type="dxa" w:w="2351"/>
          </w:tcPr>
          <w:p>
            <w:pPr>
              <w:jc w:val="center"/>
            </w:pPr>
            <w:r/>
            <w:r>
              <w:rPr>
                <w:rFonts w:ascii="Times New Roman" w:hAnsi="Times New Roman" w:eastAsia="宋体"/>
                <w:b w:val="0"/>
                <w:sz w:val="20"/>
              </w:rPr>
              <w:t>推理速度（RTX 3090）</w:t>
            </w:r>
          </w:p>
        </w:tc>
        <w:tc>
          <w:tcPr>
            <w:tcW w:type="dxa" w:w="2351"/>
          </w:tcPr>
          <w:p>
            <w:pPr>
              <w:jc w:val="center"/>
            </w:pPr>
            <w:r/>
            <w:r>
              <w:rPr>
                <w:rFonts w:ascii="Times New Roman" w:hAnsi="Times New Roman" w:eastAsia="宋体"/>
                <w:b w:val="0"/>
                <w:sz w:val="20"/>
              </w:rPr>
              <w:t>~3ms</w:t>
            </w:r>
          </w:p>
        </w:tc>
        <w:tc>
          <w:tcPr>
            <w:tcW w:type="dxa" w:w="2351"/>
          </w:tcPr>
          <w:p>
            <w:pPr>
              <w:jc w:val="center"/>
            </w:pPr>
            <w:r/>
            <w:r>
              <w:rPr>
                <w:rFonts w:ascii="Times New Roman" w:hAnsi="Times New Roman" w:eastAsia="宋体"/>
                <w:b w:val="0"/>
                <w:sz w:val="20"/>
              </w:rPr>
              <w:t>~2ms</w:t>
            </w:r>
          </w:p>
        </w:tc>
        <w:tc>
          <w:tcPr>
            <w:tcW w:type="dxa" w:w="2351"/>
          </w:tcPr>
          <w:p>
            <w:pPr>
              <w:jc w:val="center"/>
            </w:pPr>
            <w:r/>
            <w:r>
              <w:rPr>
                <w:rFonts w:ascii="Times New Roman" w:hAnsi="Times New Roman" w:eastAsia="宋体"/>
                <w:b w:val="0"/>
                <w:sz w:val="20"/>
              </w:rPr>
              <w:t>1.5x</w:t>
            </w:r>
          </w:p>
        </w:tc>
      </w:tr>
      <w:tr>
        <w:tc>
          <w:tcPr>
            <w:tcW w:type="dxa" w:w="2351"/>
          </w:tcPr>
          <w:p>
            <w:pPr>
              <w:jc w:val="center"/>
            </w:pPr>
            <w:r/>
            <w:r>
              <w:rPr>
                <w:rFonts w:ascii="Times New Roman" w:hAnsi="Times New Roman" w:eastAsia="宋体"/>
                <w:b w:val="0"/>
                <w:sz w:val="20"/>
              </w:rPr>
              <w:t>显存占用</w:t>
            </w:r>
          </w:p>
        </w:tc>
        <w:tc>
          <w:tcPr>
            <w:tcW w:type="dxa" w:w="2351"/>
          </w:tcPr>
          <w:p>
            <w:pPr>
              <w:jc w:val="center"/>
            </w:pPr>
            <w:r/>
            <w:r>
              <w:rPr>
                <w:rFonts w:ascii="Times New Roman" w:hAnsi="Times New Roman" w:eastAsia="宋体"/>
                <w:b w:val="0"/>
                <w:sz w:val="20"/>
              </w:rPr>
              <w:t>~2.5GB</w:t>
            </w:r>
          </w:p>
        </w:tc>
        <w:tc>
          <w:tcPr>
            <w:tcW w:type="dxa" w:w="2351"/>
          </w:tcPr>
          <w:p>
            <w:pPr>
              <w:jc w:val="center"/>
            </w:pPr>
            <w:r/>
            <w:r>
              <w:rPr>
                <w:rFonts w:ascii="Times New Roman" w:hAnsi="Times New Roman" w:eastAsia="宋体"/>
                <w:b w:val="0"/>
                <w:sz w:val="20"/>
              </w:rPr>
              <w:t>~1.6GB</w:t>
            </w:r>
          </w:p>
        </w:tc>
        <w:tc>
          <w:tcPr>
            <w:tcW w:type="dxa" w:w="2351"/>
          </w:tcPr>
          <w:p>
            <w:pPr>
              <w:jc w:val="center"/>
            </w:pPr>
            <w:r/>
            <w:r>
              <w:rPr>
                <w:rFonts w:ascii="Times New Roman" w:hAnsi="Times New Roman" w:eastAsia="宋体"/>
                <w:b w:val="0"/>
                <w:sz w:val="20"/>
              </w:rPr>
              <w:t>-37.5%</w:t>
            </w:r>
          </w:p>
        </w:tc>
      </w:tr>
      <w:tr>
        <w:tc>
          <w:tcPr>
            <w:tcW w:type="dxa" w:w="2351"/>
          </w:tcPr>
          <w:p>
            <w:pPr>
              <w:jc w:val="center"/>
            </w:pPr>
            <w:r/>
            <w:r>
              <w:rPr>
                <w:rFonts w:ascii="Times New Roman" w:hAnsi="Times New Roman" w:eastAsia="宋体"/>
                <w:b w:val="0"/>
                <w:sz w:val="20"/>
              </w:rPr>
              <w:t>验证准确率（本项目）</w:t>
            </w:r>
          </w:p>
        </w:tc>
        <w:tc>
          <w:tcPr>
            <w:tcW w:type="dxa" w:w="2351"/>
          </w:tcPr>
          <w:p>
            <w:pPr>
              <w:jc w:val="center"/>
            </w:pPr>
            <w:r/>
            <w:r>
              <w:rPr>
                <w:rFonts w:ascii="Times New Roman" w:hAnsi="Times New Roman" w:eastAsia="宋体"/>
                <w:b w:val="0"/>
                <w:sz w:val="20"/>
              </w:rPr>
              <w:t>79.65%</w:t>
            </w:r>
          </w:p>
        </w:tc>
        <w:tc>
          <w:tcPr>
            <w:tcW w:type="dxa" w:w="2351"/>
          </w:tcPr>
          <w:p>
            <w:pPr>
              <w:jc w:val="center"/>
            </w:pPr>
            <w:r/>
            <w:r>
              <w:rPr>
                <w:rFonts w:ascii="Times New Roman" w:hAnsi="Times New Roman" w:eastAsia="宋体"/>
                <w:b w:val="0"/>
                <w:sz w:val="20"/>
              </w:rPr>
              <w:t>**86.64%**</w:t>
            </w:r>
          </w:p>
        </w:tc>
        <w:tc>
          <w:tcPr>
            <w:tcW w:type="dxa" w:w="2351"/>
          </w:tcPr>
          <w:p>
            <w:pPr>
              <w:jc w:val="center"/>
            </w:pPr>
            <w:r/>
            <w:r>
              <w:rPr>
                <w:rFonts w:ascii="Times New Roman" w:hAnsi="Times New Roman" w:eastAsia="宋体"/>
                <w:b w:val="0"/>
                <w:sz w:val="20"/>
              </w:rPr>
              <w:t>+6.99%</w:t>
            </w:r>
          </w:p>
        </w:tc>
      </w:tr>
    </w:tbl>
    <w:p/>
    <w:p>
      <w:pPr>
        <w:spacing w:before="0" w:after="60" w:line="360" w:lineRule="auto"/>
        <w:ind w:firstLine="425"/>
      </w:pPr>
      <w:r>
        <w:rPr>
          <w:rFonts w:ascii="Times New Roman" w:hAnsi="Times New Roman" w:eastAsia="宋体"/>
          <w:b w:val="0"/>
          <w:sz w:val="24"/>
        </w:rPr>
        <w:t>ConvNeXt-V2-Tiny输出768维特征，通过特征投影层（FC 768→1024 + BatchNorm + ReLU + Dropout(0.3)）映射到1024维通用特征空间。</w:t>
      </w:r>
    </w:p>
    <w:p>
      <w:pPr>
        <w:spacing w:before="240" w:after="120" w:line="360" w:lineRule="auto"/>
      </w:pPr>
      <w:r>
        <w:rPr>
          <w:rFonts w:ascii="Times New Roman" w:hAnsi="Times New Roman" w:eastAsia="黑体"/>
          <w:b/>
          <w:sz w:val="28"/>
        </w:rPr>
        <w:t>3.3 动态梯度反转层（DGRL）</w:t>
      </w:r>
    </w:p>
    <w:p>
      <w:pPr>
        <w:spacing w:before="0" w:after="60" w:line="360" w:lineRule="auto"/>
        <w:ind w:firstLine="425"/>
      </w:pPr>
      <w:r>
        <w:rPr>
          <w:rFonts w:ascii="Times New Roman" w:hAnsi="Times New Roman" w:eastAsia="宋体"/>
          <w:b w:val="0"/>
          <w:sz w:val="24"/>
        </w:rPr>
        <w:t>梯度反转层是实现域对抗训练的关键组件。在前向传播时恒等映射，反向传播时将梯度乘以-α。我们将α设计为动态衰减：</w:t>
      </w:r>
    </w:p>
    <w:p>
      <w:pPr>
        <w:spacing w:before="0" w:after="60" w:line="360" w:lineRule="auto"/>
        <w:ind w:firstLine="425"/>
      </w:pPr>
      <w:r>
        <w:rPr>
          <w:rFonts w:ascii="Times New Roman" w:hAnsi="Times New Roman" w:eastAsia="宋体"/>
          <w:b w:val="0"/>
          <w:sz w:val="24"/>
        </w:rPr>
        <w:t>$$\alpha(t) = \alpha_0 \times 0.95^{\lfloor t/2 \rfloor}, \quad \alpha_0 = 1.0$$</w:t>
      </w:r>
    </w:p>
    <w:p>
      <w:pPr>
        <w:spacing w:before="0" w:after="60" w:line="360" w:lineRule="auto"/>
        <w:ind w:firstLine="425"/>
      </w:pPr>
      <w:r>
        <w:rPr>
          <w:rFonts w:ascii="Times New Roman" w:hAnsi="Times New Roman" w:eastAsia="宋体"/>
          <w:b w:val="0"/>
          <w:sz w:val="24"/>
        </w:rPr>
        <w:t>其中t为当前epoch。设计原理：</w:t>
      </w:r>
    </w:p>
    <w:p>
      <w:pPr>
        <w:spacing w:before="0" w:after="60" w:line="360" w:lineRule="auto"/>
      </w:pPr>
      <w:r>
        <w:rPr>
          <w:rFonts w:ascii="Times New Roman" w:hAnsi="Times New Roman" w:eastAsia="宋体"/>
          <w:b w:val="0"/>
          <w:sz w:val="24"/>
        </w:rPr>
        <w:t>训练前期（α高）：强对抗迫使特征提取器学习域不变特征</w:t>
      </w:r>
    </w:p>
    <w:p>
      <w:pPr>
        <w:spacing w:before="0" w:after="60" w:line="360" w:lineRule="auto"/>
      </w:pPr>
      <w:r>
        <w:rPr>
          <w:rFonts w:ascii="Times New Roman" w:hAnsi="Times New Roman" w:eastAsia="宋体"/>
          <w:b w:val="0"/>
          <w:sz w:val="24"/>
        </w:rPr>
        <w:t>训练后期（α低）：降低对抗强度，保护已学到的类别判别性</w:t>
      </w:r>
    </w:p>
    <w:p>
      <w:pPr>
        <w:spacing w:before="240" w:after="120" w:line="360" w:lineRule="auto"/>
      </w:pPr>
      <w:r>
        <w:rPr>
          <w:rFonts w:ascii="Times New Roman" w:hAnsi="Times New Roman" w:eastAsia="黑体"/>
          <w:b/>
          <w:sz w:val="28"/>
        </w:rPr>
        <w:t>3.4 双分支特征解耦</w:t>
      </w:r>
    </w:p>
    <w:p>
      <w:pPr>
        <w:spacing w:before="0" w:after="60" w:line="360" w:lineRule="auto"/>
        <w:ind w:firstLine="425"/>
      </w:pPr>
      <w:r>
        <w:rPr>
          <w:rFonts w:ascii="Times New Roman" w:hAnsi="Times New Roman" w:eastAsia="宋体"/>
          <w:b w:val="0"/>
          <w:sz w:val="24"/>
        </w:rPr>
        <w:t>在1024维通用特征之后，构建两个并行的投影分支：</w:t>
      </w:r>
    </w:p>
    <w:p>
      <w:pPr>
        <w:spacing w:before="0" w:after="60" w:line="360" w:lineRule="auto"/>
      </w:pPr>
      <w:r>
        <w:rPr>
          <w:rFonts w:ascii="Times New Roman" w:hAnsi="Times New Roman" w:eastAsia="宋体"/>
          <w:b w:val="0"/>
          <w:sz w:val="24"/>
        </w:rPr>
        <w:t>类别特征分支（提取判别性特征）：</w:t>
      </w:r>
    </w:p>
    <w:p>
      <w:pPr>
        <w:spacing w:before="0" w:after="60" w:line="360" w:lineRule="auto"/>
      </w:pPr>
      <w:r>
        <w:rPr>
          <w:rFonts w:ascii="Times New Roman" w:hAnsi="Times New Roman" w:eastAsia="宋体"/>
          <w:b w:val="0"/>
          <w:sz w:val="24"/>
        </w:rPr>
        <w:t>域特征分支（提取域不变特征）：</w:t>
      </w:r>
    </w:p>
    <w:p>
      <w:pPr>
        <w:spacing w:before="0" w:after="60" w:line="360" w:lineRule="auto"/>
        <w:ind w:firstLine="425"/>
      </w:pPr>
      <w:r>
        <w:rPr>
          <w:rFonts w:ascii="Times New Roman" w:hAnsi="Times New Roman" w:eastAsia="宋体"/>
          <w:b w:val="0"/>
          <w:sz w:val="24"/>
        </w:rPr>
        <w:t>域判别器训练时，源域样本标签设为1，目标域样本标签设为0，通过GRL反转梯度迫使特征提取器学习域不变特征。</w:t>
      </w:r>
    </w:p>
    <w:p>
      <w:pPr>
        <w:spacing w:before="0" w:after="60" w:line="360" w:lineRule="auto"/>
      </w:pPr>
      <w:r>
        <w:rPr>
          <w:rFonts w:ascii="Times New Roman" w:hAnsi="Times New Roman" w:eastAsia="宋体"/>
          <w:b w:val="0"/>
          <w:sz w:val="24"/>
        </w:rPr>
        <w:t>正交约束损失：对两个分支的中间特征（512维）施加正交约束，各分支内部的特征维度相互独立减少冗余：</w:t>
      </w:r>
    </w:p>
    <w:p>
      <w:pPr>
        <w:spacing w:before="0" w:after="60" w:line="360" w:lineRule="auto"/>
        <w:ind w:firstLine="425"/>
      </w:pPr>
      <w:r>
        <w:rPr>
          <w:rFonts w:ascii="Times New Roman" w:hAnsi="Times New Roman" w:eastAsia="宋体"/>
          <w:b w:val="0"/>
          <w:sz w:val="24"/>
        </w:rPr>
        <w:t>$$\mathcal{L}_{orth} = \|G_{cls} - I\|_F^2 + \|G_{dom} - I\|_F^2$$</w:t>
      </w:r>
    </w:p>
    <w:p>
      <w:pPr>
        <w:spacing w:before="0" w:after="60" w:line="360" w:lineRule="auto"/>
        <w:ind w:firstLine="425"/>
      </w:pPr>
      <w:r>
        <w:rPr>
          <w:rFonts w:ascii="Times New Roman" w:hAnsi="Times New Roman" w:eastAsia="宋体"/>
          <w:b w:val="0"/>
          <w:sz w:val="24"/>
        </w:rPr>
        <w:t>其中 $G = f \cdot f^T$ 为特征Gram矩阵，$I$ 为单位矩阵。最小化每个分支的Gram矩阵与单位矩阵的差异，迫使该分支中特征各维度相互独立（即解耦）。两个分支使用各自独立的Gram矩阵约束，分别确保类别分支和域分支内部的特征紧凑性和维度独立性。</w:t>
      </w:r>
    </w:p>
    <w:p>
      <w:pPr>
        <w:spacing w:before="0" w:after="60" w:line="360" w:lineRule="auto"/>
        <w:ind w:firstLine="425"/>
      </w:pPr>
      <w:r>
        <w:rPr>
          <w:rFonts w:ascii="Times New Roman" w:hAnsi="Times New Roman" w:eastAsia="宋体"/>
          <w:b w:val="0"/>
          <w:sz w:val="24"/>
        </w:rPr>
        <w:t>实验验证：正交性得分达0.0913（远低于目标值0.3），证明解耦效果优秀。</w:t>
      </w:r>
    </w:p>
    <w:p>
      <w:pPr>
        <w:spacing w:before="240" w:after="120" w:line="360" w:lineRule="auto"/>
      </w:pPr>
      <w:r>
        <w:rPr>
          <w:rFonts w:ascii="Times New Roman" w:hAnsi="Times New Roman" w:eastAsia="黑体"/>
          <w:b/>
          <w:sz w:val="28"/>
        </w:rPr>
        <w:t>3.5 VAE重构模块</w:t>
      </w:r>
    </w:p>
    <w:p>
      <w:pPr>
        <w:spacing w:before="0" w:after="60" w:line="360" w:lineRule="auto"/>
        <w:ind w:firstLine="425"/>
      </w:pPr>
      <w:r>
        <w:rPr>
          <w:rFonts w:ascii="Times New Roman" w:hAnsi="Times New Roman" w:eastAsia="宋体"/>
          <w:b w:val="0"/>
          <w:sz w:val="24"/>
        </w:rPr>
        <w:t>变分自编码器（VAE）[Kingma &amp; Welling, ICLR 2014]学习特征空间的概率分布：</w:t>
      </w:r>
    </w:p>
    <w:p>
      <w:pPr>
        <w:spacing w:before="0" w:after="60" w:line="360" w:lineRule="auto"/>
      </w:pPr>
      <w:r>
        <w:rPr>
          <w:rFonts w:ascii="Times New Roman" w:hAnsi="Times New Roman" w:eastAsia="宋体"/>
          <w:b w:val="0"/>
          <w:sz w:val="24"/>
        </w:rPr>
        <w:t>编码器：$q(z|x) = \mathcal{N}(\mu(x), \sigma^2(x))$</w:t>
      </w:r>
    </w:p>
    <w:p>
      <w:pPr>
        <w:spacing w:before="0" w:after="60" w:line="360" w:lineRule="auto"/>
        <w:ind w:firstLine="425"/>
      </w:pPr>
      <w:r>
        <w:rPr>
          <w:rFonts w:ascii="Times New Roman" w:hAnsi="Times New Roman" w:eastAsia="宋体"/>
          <w:b w:val="0"/>
          <w:sz w:val="24"/>
        </w:rPr>
        <w:t>其中2048维输入由1024维通用特征与1024维类别分支中间特征（即类别分支第一层Linear(1024→512)的1024维输入，而非512维隐藏层输出）拼接而成。</w:t>
      </w:r>
    </w:p>
    <w:p>
      <w:pPr>
        <w:spacing w:before="0" w:after="60" w:line="360" w:lineRule="auto"/>
      </w:pPr>
      <w:r>
        <w:rPr>
          <w:rFonts w:ascii="Times New Roman" w:hAnsi="Times New Roman" w:eastAsia="宋体"/>
          <w:b w:val="0"/>
          <w:sz w:val="24"/>
        </w:rPr>
        <w:t>重参数化：$z = \mu + \sigma \cdot \varepsilon, \quad \varepsilon \sim \mathcal{N}(0, I)$</w:t>
      </w:r>
    </w:p>
    <w:p>
      <w:pPr>
        <w:spacing w:before="0" w:after="60" w:line="360" w:lineRule="auto"/>
      </w:pPr>
      <w:r>
        <w:rPr>
          <w:rFonts w:ascii="Times New Roman" w:hAnsi="Times New Roman" w:eastAsia="宋体"/>
          <w:b w:val="0"/>
          <w:sz w:val="24"/>
        </w:rPr>
        <w:t>解码器：</w:t>
      </w:r>
    </w:p>
    <w:p>
      <w:pPr>
        <w:spacing w:before="0" w:after="60" w:line="360" w:lineRule="auto"/>
      </w:pPr>
      <w:r>
        <w:rPr>
          <w:rFonts w:ascii="Times New Roman" w:hAnsi="Times New Roman" w:eastAsia="宋体"/>
          <w:b w:val="0"/>
          <w:sz w:val="24"/>
        </w:rPr>
        <w:t>VAE损失函数：</w:t>
      </w:r>
    </w:p>
    <w:p>
      <w:pPr>
        <w:spacing w:before="0" w:after="60" w:line="360" w:lineRule="auto"/>
        <w:ind w:firstLine="425"/>
      </w:pPr>
      <w:r>
        <w:rPr>
          <w:rFonts w:ascii="Times New Roman" w:hAnsi="Times New Roman" w:eastAsia="宋体"/>
          <w:b w:val="0"/>
          <w:sz w:val="24"/>
        </w:rPr>
        <w:t>$$\mathcal{L}_{VAE} = \mathcal{L}_{recon} + \beta \cdot \mathcal{L}_{KL}$$</w:t>
      </w:r>
    </w:p>
    <w:p>
      <w:pPr>
        <w:spacing w:before="0" w:after="60" w:line="360" w:lineRule="auto"/>
        <w:ind w:firstLine="425"/>
      </w:pPr>
      <w:r>
        <w:rPr>
          <w:rFonts w:ascii="Times New Roman" w:hAnsi="Times New Roman" w:eastAsia="宋体"/>
          <w:b w:val="0"/>
          <w:sz w:val="24"/>
        </w:rPr>
        <w:t>其中重构损失 $\mathcal{L}_{recon} = \|x - \hat{x}\|_2^2$（Smooth L1损失），KL散度 $\mathcal{L}_{KL} = -\frac{1}{2}\sum(1+\log\sigma^2 - \mu^2 - \sigma^2)$，$\beta = 0.0005$。</w:t>
      </w:r>
    </w:p>
    <w:p>
      <w:pPr>
        <w:spacing w:before="0" w:after="60" w:line="360" w:lineRule="auto"/>
      </w:pPr>
      <w:r>
        <w:rPr>
          <w:rFonts w:ascii="Times New Roman" w:hAnsi="Times New Roman" w:eastAsia="宋体"/>
          <w:b w:val="0"/>
          <w:sz w:val="24"/>
        </w:rPr>
        <w:t>为什么VAE优于普通自编码器：</w:t>
      </w:r>
    </w:p>
    <w:p>
      <w:pPr>
        <w:spacing w:before="0" w:after="60" w:line="360" w:lineRule="auto"/>
      </w:pPr>
      <w:r>
        <w:rPr>
          <w:rFonts w:ascii="Times New Roman" w:hAnsi="Times New Roman" w:eastAsia="宋体"/>
          <w:b w:val="0"/>
          <w:sz w:val="24"/>
        </w:rPr>
        <w:t>KL散度约束使潜在空间连续平滑，已知类样本的潜在表示集中</w:t>
      </w:r>
    </w:p>
    <w:p>
      <w:pPr>
        <w:spacing w:before="0" w:after="60" w:line="360" w:lineRule="auto"/>
      </w:pPr>
      <w:r>
        <w:rPr>
          <w:rFonts w:ascii="Times New Roman" w:hAnsi="Times New Roman" w:eastAsia="宋体"/>
          <w:b w:val="0"/>
          <w:sz w:val="24"/>
        </w:rPr>
        <w:t>重参数化允许采样不同z，重构误差的方差本身也是检测信号</w:t>
      </w:r>
    </w:p>
    <w:p>
      <w:pPr>
        <w:spacing w:before="0" w:after="60" w:line="360" w:lineRule="auto"/>
      </w:pPr>
      <w:r>
        <w:rPr>
          <w:rFonts w:ascii="Times New Roman" w:hAnsi="Times New Roman" w:eastAsia="宋体"/>
          <w:b w:val="0"/>
          <w:sz w:val="24"/>
        </w:rPr>
        <w:t>生成模型不依赖类别标签，提供与分类器互补的独立信号</w:t>
      </w:r>
    </w:p>
    <w:p>
      <w:pPr>
        <w:spacing w:before="240" w:after="120" w:line="360" w:lineRule="auto"/>
      </w:pPr>
      <w:r>
        <w:rPr>
          <w:rFonts w:ascii="Times New Roman" w:hAnsi="Times New Roman" w:eastAsia="黑体"/>
          <w:b/>
          <w:sz w:val="28"/>
        </w:rPr>
        <w:t>3.6 四源融合开放集检测</w:t>
      </w:r>
    </w:p>
    <w:p>
      <w:pPr>
        <w:spacing w:before="0" w:after="60" w:line="360" w:lineRule="auto"/>
        <w:ind w:firstLine="425"/>
      </w:pPr>
      <w:r>
        <w:rPr>
          <w:rFonts w:ascii="Times New Roman" w:hAnsi="Times New Roman" w:eastAsia="宋体"/>
          <w:b w:val="0"/>
          <w:sz w:val="24"/>
        </w:rPr>
        <w:t>对每个目标域样本，计算四个维度的异常分数并进行加权融合：</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8"/>
        <w:gridCol w:w="1568"/>
        <w:gridCol w:w="1568"/>
        <w:gridCol w:w="1568"/>
        <w:gridCol w:w="1568"/>
        <w:gridCol w:w="1568"/>
      </w:tblGrid>
      <w:tr>
        <w:tc>
          <w:tcPr>
            <w:tcW w:type="dxa" w:w="1568"/>
            <w:shd w:fill="D9E2F3"/>
          </w:tcPr>
          <w:p>
            <w:pPr>
              <w:jc w:val="center"/>
            </w:pPr>
            <w:r/>
            <w:r>
              <w:rPr>
                <w:rFonts w:ascii="Times New Roman" w:hAnsi="Times New Roman" w:eastAsia="宋体"/>
                <w:b/>
                <w:sz w:val="20"/>
              </w:rPr>
              <w:t>分数来源</w:t>
            </w:r>
          </w:p>
        </w:tc>
        <w:tc>
          <w:tcPr>
            <w:tcW w:type="dxa" w:w="1568"/>
            <w:shd w:fill="D9E2F3"/>
          </w:tcPr>
          <w:p>
            <w:pPr>
              <w:jc w:val="center"/>
            </w:pPr>
            <w:r/>
            <w:r>
              <w:rPr>
                <w:rFonts w:ascii="Times New Roman" w:hAnsi="Times New Roman" w:eastAsia="宋体"/>
                <w:b/>
                <w:sz w:val="20"/>
              </w:rPr>
              <w:t>权重</w:t>
            </w:r>
          </w:p>
        </w:tc>
        <w:tc>
          <w:tcPr>
            <w:tcW w:type="dxa" w:w="1568"/>
            <w:shd w:fill="D9E2F3"/>
          </w:tcPr>
          <w:p>
            <w:pPr>
              <w:jc w:val="center"/>
            </w:pPr>
            <w:r/>
            <w:r>
              <w:rPr>
                <w:rFonts w:ascii="Times New Roman" w:hAnsi="Times New Roman" w:eastAsia="宋体"/>
                <w:b/>
                <w:sz w:val="20"/>
              </w:rPr>
              <w:t>计算公式</w:t>
            </w:r>
          </w:p>
        </w:tc>
        <w:tc>
          <w:tcPr>
            <w:tcW w:type="dxa" w:w="1568"/>
            <w:shd w:fill="D9E2F3"/>
          </w:tcPr>
          <w:p>
            <w:pPr>
              <w:jc w:val="center"/>
            </w:pPr>
            <w:r/>
            <w:r>
              <w:rPr>
                <w:rFonts w:ascii="Times New Roman" w:hAnsi="Times New Roman" w:eastAsia="宋体"/>
                <w:b/>
                <w:sz w:val="20"/>
              </w:rPr>
              <w:t>物理意义</w:t>
            </w:r>
          </w:p>
        </w:tc>
        <w:tc>
          <w:tcPr>
            <w:tcW w:type="dxa" w:w="1568"/>
          </w:tcPr>
          <w:p/>
        </w:tc>
        <w:tc>
          <w:tcPr>
            <w:tcW w:type="dxa" w:w="1568"/>
          </w:tcPr>
          <w:p/>
        </w:tc>
      </w:tr>
      <w:tr>
        <w:tc>
          <w:tcPr>
            <w:tcW w:type="dxa" w:w="1568"/>
          </w:tcPr>
          <w:p>
            <w:pPr>
              <w:jc w:val="center"/>
            </w:pPr>
            <w:r/>
            <w:r>
              <w:rPr>
                <w:rFonts w:ascii="Times New Roman" w:hAnsi="Times New Roman" w:eastAsia="宋体"/>
                <w:b w:val="0"/>
                <w:sz w:val="20"/>
              </w:rPr>
              <w:t>置信度分数</w:t>
            </w:r>
          </w:p>
        </w:tc>
        <w:tc>
          <w:tcPr>
            <w:tcW w:type="dxa" w:w="1568"/>
          </w:tcPr>
          <w:p>
            <w:pPr>
              <w:jc w:val="center"/>
            </w:pPr>
            <w:r/>
            <w:r>
              <w:rPr>
                <w:rFonts w:ascii="Times New Roman" w:hAnsi="Times New Roman" w:eastAsia="宋体"/>
                <w:b w:val="0"/>
                <w:sz w:val="20"/>
              </w:rPr>
              <w:t>30%</w:t>
            </w:r>
          </w:p>
        </w:tc>
        <w:tc>
          <w:tcPr>
            <w:tcW w:type="dxa" w:w="1568"/>
          </w:tcPr>
          <w:p>
            <w:pPr>
              <w:jc w:val="center"/>
            </w:pPr>
            <w:r/>
            <w:r>
              <w:rPr>
                <w:rFonts w:ascii="Times New Roman" w:hAnsi="Times New Roman" w:eastAsia="宋体"/>
                <w:b w:val="0"/>
                <w:sz w:val="20"/>
              </w:rPr>
              <w:t>$S_{conf} = 1 - \max(P(y</w:t>
            </w:r>
          </w:p>
        </w:tc>
        <w:tc>
          <w:tcPr>
            <w:tcW w:type="dxa" w:w="1568"/>
          </w:tcPr>
          <w:p>
            <w:pPr>
              <w:jc w:val="center"/>
            </w:pPr>
            <w:r/>
            <w:r>
              <w:rPr>
                <w:rFonts w:ascii="Times New Roman" w:hAnsi="Times New Roman" w:eastAsia="宋体"/>
                <w:b w:val="0"/>
                <w:sz w:val="20"/>
              </w:rPr>
              <w:t>x))$</w:t>
            </w:r>
          </w:p>
        </w:tc>
        <w:tc>
          <w:tcPr>
            <w:tcW w:type="dxa" w:w="1568"/>
          </w:tcPr>
          <w:p>
            <w:pPr>
              <w:jc w:val="center"/>
            </w:pPr>
            <w:r/>
            <w:r>
              <w:rPr>
                <w:rFonts w:ascii="Times New Roman" w:hAnsi="Times New Roman" w:eastAsia="宋体"/>
                <w:b w:val="0"/>
                <w:sz w:val="20"/>
              </w:rPr>
              <w:t>分类器的不确定性</w:t>
            </w:r>
          </w:p>
        </w:tc>
        <w:tc>
          <w:tcPr>
            <w:tcW w:type="dxa" w:w="1568"/>
          </w:tcPr>
          <w:p/>
        </w:tc>
      </w:tr>
      <w:tr>
        <w:tc>
          <w:tcPr>
            <w:tcW w:type="dxa" w:w="1568"/>
          </w:tcPr>
          <w:p>
            <w:pPr>
              <w:jc w:val="center"/>
            </w:pPr>
            <w:r/>
            <w:r>
              <w:rPr>
                <w:rFonts w:ascii="Times New Roman" w:hAnsi="Times New Roman" w:eastAsia="宋体"/>
                <w:b w:val="0"/>
                <w:sz w:val="20"/>
              </w:rPr>
              <w:t>距离分数</w:t>
            </w:r>
          </w:p>
        </w:tc>
        <w:tc>
          <w:tcPr>
            <w:tcW w:type="dxa" w:w="1568"/>
          </w:tcPr>
          <w:p>
            <w:pPr>
              <w:jc w:val="center"/>
            </w:pPr>
            <w:r/>
            <w:r>
              <w:rPr>
                <w:rFonts w:ascii="Times New Roman" w:hAnsi="Times New Roman" w:eastAsia="宋体"/>
                <w:b w:val="0"/>
                <w:sz w:val="20"/>
              </w:rPr>
              <w:t>40%</w:t>
            </w:r>
          </w:p>
        </w:tc>
        <w:tc>
          <w:tcPr>
            <w:tcW w:type="dxa" w:w="1568"/>
          </w:tcPr>
          <w:p>
            <w:pPr>
              <w:jc w:val="center"/>
            </w:pPr>
            <w:r/>
            <w:r>
              <w:rPr>
                <w:rFonts w:ascii="Times New Roman" w:hAnsi="Times New Roman" w:eastAsia="宋体"/>
                <w:b w:val="0"/>
                <w:sz w:val="20"/>
              </w:rPr>
              <w:t>$S_{dist} = \min_k \</w:t>
            </w:r>
          </w:p>
        </w:tc>
        <w:tc>
          <w:tcPr>
            <w:tcW w:type="dxa" w:w="1568"/>
          </w:tcPr>
          <w:p>
            <w:pPr>
              <w:jc w:val="center"/>
            </w:pPr>
            <w:r/>
            <w:r>
              <w:rPr>
                <w:rFonts w:ascii="Times New Roman" w:hAnsi="Times New Roman" w:eastAsia="宋体"/>
                <w:b w:val="0"/>
                <w:sz w:val="20"/>
              </w:rPr>
              <w:t>f - c_k\</w:t>
            </w:r>
          </w:p>
        </w:tc>
        <w:tc>
          <w:tcPr>
            <w:tcW w:type="dxa" w:w="1568"/>
          </w:tcPr>
          <w:p>
            <w:pPr>
              <w:jc w:val="center"/>
            </w:pPr>
            <w:r/>
            <w:r>
              <w:rPr>
                <w:rFonts w:ascii="Times New Roman" w:hAnsi="Times New Roman" w:eastAsia="宋体"/>
                <w:b w:val="0"/>
                <w:sz w:val="20"/>
              </w:rPr>
              <w:t>_2$</w:t>
            </w:r>
          </w:p>
        </w:tc>
        <w:tc>
          <w:tcPr>
            <w:tcW w:type="dxa" w:w="1568"/>
          </w:tcPr>
          <w:p>
            <w:pPr>
              <w:jc w:val="center"/>
            </w:pPr>
            <w:r/>
            <w:r>
              <w:rPr>
                <w:rFonts w:ascii="Times New Roman" w:hAnsi="Times New Roman" w:eastAsia="宋体"/>
                <w:b w:val="0"/>
                <w:sz w:val="20"/>
              </w:rPr>
              <w:t>特征空间的几何偏离</w:t>
            </w:r>
          </w:p>
        </w:tc>
      </w:tr>
      <w:tr>
        <w:tc>
          <w:tcPr>
            <w:tcW w:type="dxa" w:w="1568"/>
          </w:tcPr>
          <w:p>
            <w:pPr>
              <w:jc w:val="center"/>
            </w:pPr>
            <w:r/>
            <w:r>
              <w:rPr>
                <w:rFonts w:ascii="Times New Roman" w:hAnsi="Times New Roman" w:eastAsia="宋体"/>
                <w:b w:val="0"/>
                <w:sz w:val="20"/>
              </w:rPr>
              <w:t>重构误差</w:t>
            </w:r>
          </w:p>
        </w:tc>
        <w:tc>
          <w:tcPr>
            <w:tcW w:type="dxa" w:w="1568"/>
          </w:tcPr>
          <w:p>
            <w:pPr>
              <w:jc w:val="center"/>
            </w:pPr>
            <w:r/>
            <w:r>
              <w:rPr>
                <w:rFonts w:ascii="Times New Roman" w:hAnsi="Times New Roman" w:eastAsia="宋体"/>
                <w:b w:val="0"/>
                <w:sz w:val="20"/>
              </w:rPr>
              <w:t>20%</w:t>
            </w:r>
          </w:p>
        </w:tc>
        <w:tc>
          <w:tcPr>
            <w:tcW w:type="dxa" w:w="1568"/>
          </w:tcPr>
          <w:p>
            <w:pPr>
              <w:jc w:val="center"/>
            </w:pPr>
            <w:r/>
            <w:r>
              <w:rPr>
                <w:rFonts w:ascii="Times New Roman" w:hAnsi="Times New Roman" w:eastAsia="宋体"/>
                <w:b w:val="0"/>
                <w:sz w:val="20"/>
              </w:rPr>
              <w:t>$S_{recon} = \</w:t>
            </w:r>
          </w:p>
        </w:tc>
        <w:tc>
          <w:tcPr>
            <w:tcW w:type="dxa" w:w="1568"/>
          </w:tcPr>
          <w:p>
            <w:pPr>
              <w:jc w:val="center"/>
            </w:pPr>
            <w:r/>
            <w:r>
              <w:rPr>
                <w:rFonts w:ascii="Times New Roman" w:hAnsi="Times New Roman" w:eastAsia="宋体"/>
                <w:b w:val="0"/>
                <w:sz w:val="20"/>
              </w:rPr>
              <w:t>f - \hat{f}\</w:t>
            </w:r>
          </w:p>
        </w:tc>
        <w:tc>
          <w:tcPr>
            <w:tcW w:type="dxa" w:w="1568"/>
          </w:tcPr>
          <w:p>
            <w:pPr>
              <w:jc w:val="center"/>
            </w:pPr>
            <w:r/>
            <w:r>
              <w:rPr>
                <w:rFonts w:ascii="Times New Roman" w:hAnsi="Times New Roman" w:eastAsia="宋体"/>
                <w:b w:val="0"/>
                <w:sz w:val="20"/>
              </w:rPr>
              <w:t>_2$</w:t>
            </w:r>
          </w:p>
        </w:tc>
        <w:tc>
          <w:tcPr>
            <w:tcW w:type="dxa" w:w="1568"/>
          </w:tcPr>
          <w:p>
            <w:pPr>
              <w:jc w:val="center"/>
            </w:pPr>
            <w:r/>
            <w:r>
              <w:rPr>
                <w:rFonts w:ascii="Times New Roman" w:hAnsi="Times New Roman" w:eastAsia="宋体"/>
                <w:b w:val="0"/>
                <w:sz w:val="20"/>
              </w:rPr>
              <w:t>生成模型的一致性</w:t>
            </w:r>
          </w:p>
        </w:tc>
      </w:tr>
      <w:tr>
        <w:tc>
          <w:tcPr>
            <w:tcW w:type="dxa" w:w="1568"/>
          </w:tcPr>
          <w:p>
            <w:pPr>
              <w:jc w:val="center"/>
            </w:pPr>
            <w:r/>
            <w:r>
              <w:rPr>
                <w:rFonts w:ascii="Times New Roman" w:hAnsi="Times New Roman" w:eastAsia="宋体"/>
                <w:b w:val="0"/>
                <w:sz w:val="20"/>
              </w:rPr>
              <w:t>特征方差</w:t>
            </w:r>
          </w:p>
        </w:tc>
        <w:tc>
          <w:tcPr>
            <w:tcW w:type="dxa" w:w="1568"/>
          </w:tcPr>
          <w:p>
            <w:pPr>
              <w:jc w:val="center"/>
            </w:pPr>
            <w:r/>
            <w:r>
              <w:rPr>
                <w:rFonts w:ascii="Times New Roman" w:hAnsi="Times New Roman" w:eastAsia="宋体"/>
                <w:b w:val="0"/>
                <w:sz w:val="20"/>
              </w:rPr>
              <w:t>10%</w:t>
            </w:r>
          </w:p>
        </w:tc>
        <w:tc>
          <w:tcPr>
            <w:tcW w:type="dxa" w:w="1568"/>
          </w:tcPr>
          <w:p>
            <w:pPr>
              <w:jc w:val="center"/>
            </w:pPr>
            <w:r/>
            <w:r>
              <w:rPr>
                <w:rFonts w:ascii="Times New Roman" w:hAnsi="Times New Roman" w:eastAsia="宋体"/>
                <w:b w:val="0"/>
                <w:sz w:val="20"/>
              </w:rPr>
              <w:t>$S_{var} = \text{Var}(f)$</w:t>
            </w:r>
          </w:p>
        </w:tc>
        <w:tc>
          <w:tcPr>
            <w:tcW w:type="dxa" w:w="1568"/>
          </w:tcPr>
          <w:p>
            <w:pPr>
              <w:jc w:val="center"/>
            </w:pPr>
            <w:r/>
            <w:r>
              <w:rPr>
                <w:rFonts w:ascii="Times New Roman" w:hAnsi="Times New Roman" w:eastAsia="宋体"/>
                <w:b w:val="0"/>
                <w:sz w:val="20"/>
              </w:rPr>
              <w:t>特征的稳定性</w:t>
            </w:r>
          </w:p>
        </w:tc>
        <w:tc>
          <w:tcPr>
            <w:tcW w:type="dxa" w:w="1568"/>
          </w:tcPr>
          <w:p/>
        </w:tc>
        <w:tc>
          <w:tcPr>
            <w:tcW w:type="dxa" w:w="1568"/>
          </w:tcPr>
          <w:p/>
        </w:tc>
      </w:tr>
    </w:tbl>
    <w:p/>
    <w:p>
      <w:pPr>
        <w:spacing w:before="0" w:after="60" w:line="360" w:lineRule="auto"/>
      </w:pPr>
      <w:r>
        <w:rPr>
          <w:rFonts w:ascii="Times New Roman" w:hAnsi="Times New Roman" w:eastAsia="宋体"/>
          <w:b w:val="0"/>
          <w:sz w:val="24"/>
        </w:rPr>
        <w:t>综合评分：</w:t>
      </w:r>
    </w:p>
    <w:p>
      <w:pPr>
        <w:spacing w:before="0" w:after="60" w:line="360" w:lineRule="auto"/>
        <w:ind w:firstLine="425"/>
      </w:pPr>
      <w:r>
        <w:rPr>
          <w:rFonts w:ascii="Times New Roman" w:hAnsi="Times New Roman" w:eastAsia="宋体"/>
          <w:b w:val="0"/>
          <w:sz w:val="24"/>
        </w:rPr>
        <w:t>$$Score = 0.30 \cdot S_{conf} + 0.40 \cdot S_{dist} + 0.20 \cdot S_{recon} + 0.10 \cdot S_{var}$$</w:t>
      </w:r>
    </w:p>
    <w:p>
      <w:pPr>
        <w:spacing w:before="0" w:after="60" w:line="360" w:lineRule="auto"/>
        <w:ind w:firstLine="425"/>
      </w:pPr>
      <w:r>
        <w:rPr>
          <w:rFonts w:ascii="Times New Roman" w:hAnsi="Times New Roman" w:eastAsia="宋体"/>
          <w:b w:val="0"/>
          <w:sz w:val="24"/>
        </w:rPr>
        <w:t>各分数先按最大值归一化到[0,1]，再加权求和。阈值通过验证集网格搜索确定。Score &gt; τ 判定为未知类，拒绝识别。</w:t>
      </w:r>
    </w:p>
    <w:p>
      <w:pPr>
        <w:spacing w:before="0" w:after="60" w:line="360" w:lineRule="auto"/>
      </w:pPr>
      <w:r>
        <w:rPr>
          <w:rFonts w:ascii="Times New Roman" w:hAnsi="Times New Roman" w:eastAsia="宋体"/>
          <w:b w:val="0"/>
          <w:sz w:val="24"/>
        </w:rPr>
        <w:t>权重确定方法：在验证集上以0.05为步长遍历所有权重组合（固定和为1），选择H-score最高的组合。距离权重最高（40%），因为特征空间几何结构直接反映样本到已知类的偏离程度，信号最稳定。</w:t>
      </w:r>
    </w:p>
    <w:p>
      <w:pPr>
        <w:spacing w:before="240" w:after="120" w:line="360" w:lineRule="auto"/>
      </w:pPr>
      <w:r>
        <w:rPr>
          <w:rFonts w:ascii="Times New Roman" w:hAnsi="Times New Roman" w:eastAsia="黑体"/>
          <w:b/>
          <w:sz w:val="28"/>
        </w:rPr>
        <w:t>3.7 三阶段动态训练策略</w:t>
      </w:r>
    </w:p>
    <w:p>
      <w:pPr>
        <w:spacing w:before="0" w:after="60" w:line="360" w:lineRule="auto"/>
        <w:ind w:firstLine="425"/>
      </w:pPr>
      <w:r>
        <w:rPr>
          <w:rFonts w:ascii="Times New Roman" w:hAnsi="Times New Roman" w:eastAsia="宋体"/>
          <w:b w:val="0"/>
          <w:sz w:val="24"/>
        </w:rPr>
        <w:t>为协调多任务学习中的冲突，设计三阶段渐进式训练策略：</w:t>
      </w:r>
    </w:p>
    <w:p>
      <w:pPr>
        <w:spacing w:before="0" w:after="60" w:line="360" w:lineRule="auto"/>
      </w:pPr>
      <w:r>
        <w:rPr>
          <w:rFonts w:ascii="Times New Roman" w:hAnsi="Times New Roman" w:eastAsia="宋体"/>
          <w:b w:val="0"/>
          <w:sz w:val="24"/>
        </w:rPr>
        <w:t>第一阶段（Epoch 0-4）：平衡期</w:t>
      </w:r>
    </w:p>
    <w:p>
      <w:pPr>
        <w:spacing w:before="0" w:after="60" w:line="360" w:lineRule="auto"/>
        <w:ind w:firstLine="425"/>
      </w:pPr>
      <w:r>
        <w:rPr>
          <w:rFonts w:ascii="Times New Roman" w:hAnsi="Times New Roman" w:eastAsia="宋体"/>
          <w:b w:val="0"/>
          <w:sz w:val="24"/>
        </w:rPr>
        <w:t>侧重于分类和重构的基础学习，域对抗和开放集权重较低。</w:t>
      </w:r>
    </w:p>
    <w:p>
      <w:pPr>
        <w:spacing w:before="0" w:after="60" w:line="360" w:lineRule="auto"/>
      </w:pPr>
      <w:r>
        <w:rPr>
          <w:rFonts w:ascii="Times New Roman" w:hAnsi="Times New Roman" w:eastAsia="宋体"/>
          <w:b w:val="0"/>
          <w:sz w:val="24"/>
        </w:rPr>
        <w:t>第二阶段（Epoch 5-19）：域对抗期</w:t>
      </w:r>
    </w:p>
    <w:p>
      <w:pPr>
        <w:spacing w:before="0" w:after="60" w:line="360" w:lineRule="auto"/>
        <w:ind w:firstLine="425"/>
      </w:pPr>
      <w:r>
        <w:rPr>
          <w:rFonts w:ascii="Times New Roman" w:hAnsi="Times New Roman" w:eastAsia="宋体"/>
          <w:b w:val="0"/>
          <w:sz w:val="24"/>
        </w:rPr>
        <w:t>增强域对抗，学习域不变特征，同时提升开放集检测权重。</w:t>
      </w:r>
    </w:p>
    <w:p>
      <w:pPr>
        <w:spacing w:before="0" w:after="60" w:line="360" w:lineRule="auto"/>
      </w:pPr>
      <w:r>
        <w:rPr>
          <w:rFonts w:ascii="Times New Roman" w:hAnsi="Times New Roman" w:eastAsia="宋体"/>
          <w:b w:val="0"/>
          <w:sz w:val="24"/>
        </w:rPr>
        <w:t>第三阶段（Epoch 20-34）：开放集优化期</w:t>
      </w:r>
    </w:p>
    <w:p>
      <w:pPr>
        <w:spacing w:before="0" w:after="60" w:line="360" w:lineRule="auto"/>
        <w:ind w:firstLine="425"/>
      </w:pPr>
      <w:r>
        <w:rPr>
          <w:rFonts w:ascii="Times New Roman" w:hAnsi="Times New Roman" w:eastAsia="宋体"/>
          <w:b w:val="0"/>
          <w:sz w:val="24"/>
        </w:rPr>
        <w:t>降低域对抗保护类别区分性，重点优化开放集检测能力。</w:t>
      </w:r>
    </w:p>
    <w:p>
      <w:pPr>
        <w:spacing w:before="0" w:after="60" w:line="360" w:lineRule="auto"/>
      </w:pPr>
      <w:r>
        <w:rPr>
          <w:rFonts w:ascii="Times New Roman" w:hAnsi="Times New Roman" w:eastAsia="宋体"/>
          <w:b w:val="0"/>
          <w:sz w:val="24"/>
        </w:rPr>
        <w:t>总损失函数：</w:t>
      </w:r>
    </w:p>
    <w:p>
      <w:pPr>
        <w:spacing w:before="0" w:after="60" w:line="360" w:lineRule="auto"/>
        <w:ind w:firstLine="425"/>
      </w:pPr>
      <w:r>
        <w:rPr>
          <w:rFonts w:ascii="Times New Roman" w:hAnsi="Times New Roman" w:eastAsia="宋体"/>
          <w:b w:val="0"/>
          <w:sz w:val="24"/>
        </w:rPr>
        <w:t>$$\mathcal{L}_{total} = \lambda_{cls}\mathcal{L}_{cls} + \lambda_{recon}\mathcal{L}_{recon} + \lambda_{kl}\mathcal{L}_{KL} + \lambda_{domain}\mathcal{L}_{domain} + \lambda_{open}\mathcal{L}_{open} + \lambda_{orth}\mathcal{L}_{orth}$$</w:t>
      </w:r>
    </w:p>
    <w:p>
      <w:pPr>
        <w:spacing w:before="0" w:after="60" w:line="360" w:lineRule="auto"/>
        <w:ind w:firstLine="425"/>
      </w:pPr>
      <w:r>
        <w:rPr>
          <w:rFonts w:ascii="Times New Roman" w:hAnsi="Times New Roman" w:eastAsia="宋体"/>
          <w:b w:val="0"/>
          <w:sz w:val="24"/>
        </w:rPr>
        <w:t>各损失项的具体权重为：$\lambda_{cls}=1.0$（固定），$\lambda_{kl}=0.0005$（固定），$\lambda_{orth}=0.5$（固定），$\lambda_{recon}$、$\lambda_{domain}$、$\lambda_{open}$按三阶段策略动态调整。</w:t>
      </w:r>
    </w:p>
    <w:p>
      <w:r>
        <w:br w:type="page"/>
      </w:r>
    </w:p>
    <w:p>
      <w:pPr>
        <w:spacing w:before="240" w:after="120" w:line="360" w:lineRule="auto"/>
      </w:pPr>
      <w:r>
        <w:rPr>
          <w:rFonts w:ascii="Times New Roman" w:hAnsi="Times New Roman" w:eastAsia="黑体"/>
          <w:b/>
          <w:sz w:val="32"/>
        </w:rPr>
        <w:t>四、实验设计与结果分析</w:t>
      </w:r>
    </w:p>
    <w:p>
      <w:pPr>
        <w:spacing w:before="120" w:after="120"/>
        <w:jc w:val="center"/>
      </w:pPr>
      <w:r>
        <w:rPr>
          <w:rFonts w:ascii="Times New Roman" w:hAnsi="Times New Roman" w:eastAsia="宋体"/>
          <w:b w:val="0"/>
          <w:color w:val="808080"/>
          <w:sz w:val="22"/>
        </w:rPr>
        <w:t>【插入图片：基于上述核心方法，本章设计了一套系统的实验验证方案。4.1节介绍实验环境和配置，4.2节定义数据集和评估指标，4.3节与经典基线方法对比，4.4节通过消融实验验证各模块贡献，4.5节验证泛化性，4.6节讨论已知类准确率与H-score的权衡关系，4.7节提供可视化分析。】</w:t>
      </w:r>
    </w:p>
    <w:p>
      <w:pPr>
        <w:spacing w:before="240" w:after="120" w:line="360" w:lineRule="auto"/>
      </w:pPr>
      <w:r>
        <w:rPr>
          <w:rFonts w:ascii="Times New Roman" w:hAnsi="Times New Roman" w:eastAsia="黑体"/>
          <w:b/>
          <w:sz w:val="28"/>
        </w:rPr>
        <w:t>4.1 实验环境与配置</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E2F3"/>
          </w:tcPr>
          <w:p>
            <w:pPr>
              <w:jc w:val="center"/>
            </w:pPr>
            <w:r/>
            <w:r>
              <w:rPr>
                <w:rFonts w:ascii="Times New Roman" w:hAnsi="Times New Roman" w:eastAsia="宋体"/>
                <w:b/>
                <w:sz w:val="20"/>
              </w:rPr>
              <w:t>参数</w:t>
            </w:r>
          </w:p>
        </w:tc>
        <w:tc>
          <w:tcPr>
            <w:tcW w:type="dxa" w:w="4703"/>
            <w:shd w:fill="D9E2F3"/>
          </w:tcPr>
          <w:p>
            <w:pPr>
              <w:jc w:val="center"/>
            </w:pPr>
            <w:r/>
            <w:r>
              <w:rPr>
                <w:rFonts w:ascii="Times New Roman" w:hAnsi="Times New Roman" w:eastAsia="宋体"/>
                <w:b/>
                <w:sz w:val="20"/>
              </w:rPr>
              <w:t>值</w:t>
            </w:r>
          </w:p>
        </w:tc>
      </w:tr>
      <w:tr>
        <w:tc>
          <w:tcPr>
            <w:tcW w:type="dxa" w:w="4703"/>
          </w:tcPr>
          <w:p>
            <w:pPr>
              <w:jc w:val="center"/>
            </w:pPr>
            <w:r/>
            <w:r>
              <w:rPr>
                <w:rFonts w:ascii="Times New Roman" w:hAnsi="Times New Roman" w:eastAsia="宋体"/>
                <w:b w:val="0"/>
                <w:sz w:val="20"/>
              </w:rPr>
              <w:t>操作系统</w:t>
            </w:r>
          </w:p>
        </w:tc>
        <w:tc>
          <w:tcPr>
            <w:tcW w:type="dxa" w:w="4703"/>
          </w:tcPr>
          <w:p>
            <w:pPr>
              <w:jc w:val="center"/>
            </w:pPr>
            <w:r/>
            <w:r>
              <w:rPr>
                <w:rFonts w:ascii="Times New Roman" w:hAnsi="Times New Roman" w:eastAsia="宋体"/>
                <w:b w:val="0"/>
                <w:sz w:val="20"/>
              </w:rPr>
              <w:t>Ubuntu 22.04 LTS</w:t>
            </w:r>
          </w:p>
        </w:tc>
      </w:tr>
      <w:tr>
        <w:tc>
          <w:tcPr>
            <w:tcW w:type="dxa" w:w="4703"/>
          </w:tcPr>
          <w:p>
            <w:pPr>
              <w:jc w:val="center"/>
            </w:pPr>
            <w:r/>
            <w:r>
              <w:rPr>
                <w:rFonts w:ascii="Times New Roman" w:hAnsi="Times New Roman" w:eastAsia="宋体"/>
                <w:b w:val="0"/>
                <w:sz w:val="20"/>
              </w:rPr>
              <w:t>GPU</w:t>
            </w:r>
          </w:p>
        </w:tc>
        <w:tc>
          <w:tcPr>
            <w:tcW w:type="dxa" w:w="4703"/>
          </w:tcPr>
          <w:p>
            <w:pPr>
              <w:jc w:val="center"/>
            </w:pPr>
            <w:r/>
            <w:r>
              <w:rPr>
                <w:rFonts w:ascii="Times New Roman" w:hAnsi="Times New Roman" w:eastAsia="宋体"/>
                <w:b w:val="0"/>
                <w:sz w:val="20"/>
              </w:rPr>
              <w:t>NVIDIA RTX 3090 / RTX 4060 Ti (16GB)</w:t>
            </w:r>
          </w:p>
        </w:tc>
      </w:tr>
      <w:tr>
        <w:tc>
          <w:tcPr>
            <w:tcW w:type="dxa" w:w="4703"/>
          </w:tcPr>
          <w:p>
            <w:pPr>
              <w:jc w:val="center"/>
            </w:pPr>
            <w:r/>
            <w:r>
              <w:rPr>
                <w:rFonts w:ascii="Times New Roman" w:hAnsi="Times New Roman" w:eastAsia="宋体"/>
                <w:b w:val="0"/>
                <w:sz w:val="20"/>
              </w:rPr>
              <w:t>深度学习框架</w:t>
            </w:r>
          </w:p>
        </w:tc>
        <w:tc>
          <w:tcPr>
            <w:tcW w:type="dxa" w:w="4703"/>
          </w:tcPr>
          <w:p>
            <w:pPr>
              <w:jc w:val="center"/>
            </w:pPr>
            <w:r/>
            <w:r>
              <w:rPr>
                <w:rFonts w:ascii="Times New Roman" w:hAnsi="Times New Roman" w:eastAsia="宋体"/>
                <w:b w:val="0"/>
                <w:sz w:val="20"/>
              </w:rPr>
              <w:t>PyTorch 2.x</w:t>
            </w:r>
          </w:p>
        </w:tc>
      </w:tr>
      <w:tr>
        <w:tc>
          <w:tcPr>
            <w:tcW w:type="dxa" w:w="4703"/>
          </w:tcPr>
          <w:p>
            <w:pPr>
              <w:jc w:val="center"/>
            </w:pPr>
            <w:r/>
            <w:r>
              <w:rPr>
                <w:rFonts w:ascii="Times New Roman" w:hAnsi="Times New Roman" w:eastAsia="宋体"/>
                <w:b w:val="0"/>
                <w:sz w:val="20"/>
              </w:rPr>
              <w:t>输入尺寸</w:t>
            </w:r>
          </w:p>
        </w:tc>
        <w:tc>
          <w:tcPr>
            <w:tcW w:type="dxa" w:w="4703"/>
          </w:tcPr>
          <w:p>
            <w:pPr>
              <w:jc w:val="center"/>
            </w:pPr>
            <w:r/>
            <w:r>
              <w:rPr>
                <w:rFonts w:ascii="Times New Roman" w:hAnsi="Times New Roman" w:eastAsia="宋体"/>
                <w:b w:val="0"/>
                <w:sz w:val="20"/>
              </w:rPr>
              <w:t>224×224</w:t>
            </w:r>
          </w:p>
        </w:tc>
      </w:tr>
      <w:tr>
        <w:tc>
          <w:tcPr>
            <w:tcW w:type="dxa" w:w="4703"/>
          </w:tcPr>
          <w:p>
            <w:pPr>
              <w:jc w:val="center"/>
            </w:pPr>
            <w:r/>
            <w:r>
              <w:rPr>
                <w:rFonts w:ascii="Times New Roman" w:hAnsi="Times New Roman" w:eastAsia="宋体"/>
                <w:b w:val="0"/>
                <w:sz w:val="20"/>
              </w:rPr>
              <w:t>批量大小</w:t>
            </w:r>
          </w:p>
        </w:tc>
        <w:tc>
          <w:tcPr>
            <w:tcW w:type="dxa" w:w="4703"/>
          </w:tcPr>
          <w:p>
            <w:pPr>
              <w:jc w:val="center"/>
            </w:pPr>
            <w:r/>
            <w:r>
              <w:rPr>
                <w:rFonts w:ascii="Times New Roman" w:hAnsi="Times New Roman" w:eastAsia="宋体"/>
                <w:b w:val="0"/>
                <w:sz w:val="20"/>
              </w:rPr>
              <w:t>128 (梯度累积=2, 有效batch=64)</w:t>
            </w:r>
          </w:p>
        </w:tc>
      </w:tr>
      <w:tr>
        <w:tc>
          <w:tcPr>
            <w:tcW w:type="dxa" w:w="4703"/>
          </w:tcPr>
          <w:p>
            <w:pPr>
              <w:jc w:val="center"/>
            </w:pPr>
            <w:r/>
            <w:r>
              <w:rPr>
                <w:rFonts w:ascii="Times New Roman" w:hAnsi="Times New Roman" w:eastAsia="宋体"/>
                <w:b w:val="0"/>
                <w:sz w:val="20"/>
              </w:rPr>
              <w:t>优化器</w:t>
            </w:r>
          </w:p>
        </w:tc>
        <w:tc>
          <w:tcPr>
            <w:tcW w:type="dxa" w:w="4703"/>
          </w:tcPr>
          <w:p>
            <w:pPr>
              <w:jc w:val="center"/>
            </w:pPr>
            <w:r/>
            <w:r>
              <w:rPr>
                <w:rFonts w:ascii="Times New Roman" w:hAnsi="Times New Roman" w:eastAsia="宋体"/>
                <w:b w:val="0"/>
                <w:sz w:val="20"/>
              </w:rPr>
              <w:t>AdamW (β=0.9, 0.999, weight_decay=1e-4)</w:t>
            </w:r>
          </w:p>
        </w:tc>
      </w:tr>
      <w:tr>
        <w:tc>
          <w:tcPr>
            <w:tcW w:type="dxa" w:w="4703"/>
          </w:tcPr>
          <w:p>
            <w:pPr>
              <w:jc w:val="center"/>
            </w:pPr>
            <w:r/>
            <w:r>
              <w:rPr>
                <w:rFonts w:ascii="Times New Roman" w:hAnsi="Times New Roman" w:eastAsia="宋体"/>
                <w:b w:val="0"/>
                <w:sz w:val="20"/>
              </w:rPr>
              <w:t>主干学习率</w:t>
            </w:r>
          </w:p>
        </w:tc>
        <w:tc>
          <w:tcPr>
            <w:tcW w:type="dxa" w:w="4703"/>
          </w:tcPr>
          <w:p>
            <w:pPr>
              <w:jc w:val="center"/>
            </w:pPr>
            <w:r/>
            <w:r>
              <w:rPr>
                <w:rFonts w:ascii="Times New Roman" w:hAnsi="Times New Roman" w:eastAsia="宋体"/>
                <w:b w:val="0"/>
                <w:sz w:val="20"/>
              </w:rPr>
              <w:t>1e-4</w:t>
            </w:r>
          </w:p>
        </w:tc>
      </w:tr>
      <w:tr>
        <w:tc>
          <w:tcPr>
            <w:tcW w:type="dxa" w:w="4703"/>
          </w:tcPr>
          <w:p>
            <w:pPr>
              <w:jc w:val="center"/>
            </w:pPr>
            <w:r/>
            <w:r>
              <w:rPr>
                <w:rFonts w:ascii="Times New Roman" w:hAnsi="Times New Roman" w:eastAsia="宋体"/>
                <w:b w:val="0"/>
                <w:sz w:val="20"/>
              </w:rPr>
              <w:t>分类器学习率</w:t>
            </w:r>
          </w:p>
        </w:tc>
        <w:tc>
          <w:tcPr>
            <w:tcW w:type="dxa" w:w="4703"/>
          </w:tcPr>
          <w:p>
            <w:pPr>
              <w:jc w:val="center"/>
            </w:pPr>
            <w:r/>
            <w:r>
              <w:rPr>
                <w:rFonts w:ascii="Times New Roman" w:hAnsi="Times New Roman" w:eastAsia="宋体"/>
                <w:b w:val="0"/>
                <w:sz w:val="20"/>
              </w:rPr>
              <w:t>5e-4</w:t>
            </w:r>
          </w:p>
        </w:tc>
      </w:tr>
      <w:tr>
        <w:tc>
          <w:tcPr>
            <w:tcW w:type="dxa" w:w="4703"/>
          </w:tcPr>
          <w:p>
            <w:pPr>
              <w:jc w:val="center"/>
            </w:pPr>
            <w:r/>
            <w:r>
              <w:rPr>
                <w:rFonts w:ascii="Times New Roman" w:hAnsi="Times New Roman" w:eastAsia="宋体"/>
                <w:b w:val="0"/>
                <w:sz w:val="20"/>
              </w:rPr>
              <w:t>学习率调度</w:t>
            </w:r>
          </w:p>
        </w:tc>
        <w:tc>
          <w:tcPr>
            <w:tcW w:type="dxa" w:w="4703"/>
          </w:tcPr>
          <w:p>
            <w:pPr>
              <w:jc w:val="center"/>
            </w:pPr>
            <w:r/>
            <w:r>
              <w:rPr>
                <w:rFonts w:ascii="Times New Roman" w:hAnsi="Times New Roman" w:eastAsia="宋体"/>
                <w:b w:val="0"/>
                <w:sz w:val="20"/>
              </w:rPr>
              <w:t>余弦退火</w:t>
            </w:r>
          </w:p>
        </w:tc>
      </w:tr>
      <w:tr>
        <w:tc>
          <w:tcPr>
            <w:tcW w:type="dxa" w:w="4703"/>
          </w:tcPr>
          <w:p>
            <w:pPr>
              <w:jc w:val="center"/>
            </w:pPr>
            <w:r/>
            <w:r>
              <w:rPr>
                <w:rFonts w:ascii="Times New Roman" w:hAnsi="Times New Roman" w:eastAsia="宋体"/>
                <w:b w:val="0"/>
                <w:sz w:val="20"/>
              </w:rPr>
              <w:t>总训练轮次</w:t>
            </w:r>
          </w:p>
        </w:tc>
        <w:tc>
          <w:tcPr>
            <w:tcW w:type="dxa" w:w="4703"/>
          </w:tcPr>
          <w:p>
            <w:pPr>
              <w:jc w:val="center"/>
            </w:pPr>
            <w:r/>
            <w:r>
              <w:rPr>
                <w:rFonts w:ascii="Times New Roman" w:hAnsi="Times New Roman" w:eastAsia="宋体"/>
                <w:b w:val="0"/>
                <w:sz w:val="20"/>
              </w:rPr>
              <w:t>35 epochs</w:t>
            </w:r>
          </w:p>
        </w:tc>
      </w:tr>
      <w:tr>
        <w:tc>
          <w:tcPr>
            <w:tcW w:type="dxa" w:w="4703"/>
          </w:tcPr>
          <w:p>
            <w:pPr>
              <w:jc w:val="center"/>
            </w:pPr>
            <w:r/>
            <w:r>
              <w:rPr>
                <w:rFonts w:ascii="Times New Roman" w:hAnsi="Times New Roman" w:eastAsia="宋体"/>
                <w:b w:val="0"/>
                <w:sz w:val="20"/>
              </w:rPr>
              <w:t>标签平滑</w:t>
            </w:r>
          </w:p>
        </w:tc>
        <w:tc>
          <w:tcPr>
            <w:tcW w:type="dxa" w:w="4703"/>
          </w:tcPr>
          <w:p>
            <w:pPr>
              <w:jc w:val="center"/>
            </w:pPr>
            <w:r/>
            <w:r>
              <w:rPr>
                <w:rFonts w:ascii="Times New Roman" w:hAnsi="Times New Roman" w:eastAsia="宋体"/>
                <w:b w:val="0"/>
                <w:sz w:val="20"/>
              </w:rPr>
              <w:t>0.1</w:t>
            </w:r>
          </w:p>
        </w:tc>
      </w:tr>
    </w:tbl>
    <w:p/>
    <w:p>
      <w:pPr>
        <w:spacing w:before="0" w:after="60" w:line="360" w:lineRule="auto"/>
      </w:pPr>
      <w:r>
        <w:rPr>
          <w:rFonts w:ascii="Times New Roman" w:hAnsi="Times New Roman" w:eastAsia="宋体"/>
          <w:b w:val="0"/>
          <w:sz w:val="24"/>
        </w:rPr>
        <w:t>数据增强：水平翻转(p=0.5)、随机旋转(±8°, p=0.3)、亮度对比度调整(p=0.2)</w:t>
      </w:r>
    </w:p>
    <w:p>
      <w:pPr>
        <w:spacing w:before="240" w:after="120" w:line="360" w:lineRule="auto"/>
      </w:pPr>
      <w:r>
        <w:rPr>
          <w:rFonts w:ascii="Times New Roman" w:hAnsi="Times New Roman" w:eastAsia="黑体"/>
          <w:b/>
          <w:sz w:val="28"/>
        </w:rPr>
        <w:t>4.2 数据集与评估指标</w:t>
      </w:r>
    </w:p>
    <w:p>
      <w:pPr>
        <w:spacing w:before="0" w:after="60" w:line="360" w:lineRule="auto"/>
      </w:pPr>
      <w:r>
        <w:rPr>
          <w:rFonts w:ascii="Times New Roman" w:hAnsi="Times New Roman" w:eastAsia="宋体"/>
          <w:b w:val="0"/>
          <w:sz w:val="24"/>
        </w:rPr>
        <w:t>DomainNet：源域Real（200个已知类）→ 目标域Clipart（200已知+41未知）</w:t>
      </w:r>
    </w:p>
    <w:p>
      <w:pPr>
        <w:spacing w:before="0" w:after="60" w:line="360" w:lineRule="auto"/>
      </w:pPr>
      <w:r>
        <w:rPr>
          <w:rFonts w:ascii="Times New Roman" w:hAnsi="Times New Roman" w:eastAsia="宋体"/>
          <w:b w:val="0"/>
          <w:sz w:val="24"/>
        </w:rPr>
        <w:t>VisDA：源域Synthetic（8个已知类）→ 目标域Real（8已知+2未知）</w:t>
      </w:r>
    </w:p>
    <w:p>
      <w:pPr>
        <w:spacing w:before="0" w:after="60" w:line="360" w:lineRule="auto"/>
      </w:pPr>
      <w:r>
        <w:rPr>
          <w:rFonts w:ascii="Times New Roman" w:hAnsi="Times New Roman" w:eastAsia="宋体"/>
          <w:b w:val="0"/>
          <w:sz w:val="24"/>
        </w:rPr>
        <w:t>Office-Home：四域泛化验证（50已知+15未知/域）</w:t>
      </w:r>
    </w:p>
    <w:p>
      <w:pPr>
        <w:spacing w:before="0" w:after="60" w:line="360" w:lineRule="auto"/>
      </w:pPr>
      <w:r>
        <w:rPr>
          <w:rFonts w:ascii="Times New Roman" w:hAnsi="Times New Roman" w:eastAsia="宋体"/>
          <w:b w:val="0"/>
          <w:sz w:val="24"/>
        </w:rPr>
        <w:t>评估指标：</w:t>
      </w:r>
    </w:p>
    <w:p>
      <w:pPr>
        <w:spacing w:before="0" w:after="60" w:line="360" w:lineRule="auto"/>
      </w:pPr>
      <w:r>
        <w:rPr>
          <w:rFonts w:ascii="Times New Roman" w:hAnsi="Times New Roman" w:eastAsia="宋体"/>
          <w:b w:val="0"/>
          <w:sz w:val="24"/>
        </w:rPr>
        <w:t>已知类准确率（Known Acc）：正确分类的已知类样本比例</w:t>
      </w:r>
    </w:p>
    <w:p>
      <w:pPr>
        <w:spacing w:before="0" w:after="60" w:line="360" w:lineRule="auto"/>
      </w:pPr>
      <w:r>
        <w:rPr>
          <w:rFonts w:ascii="Times New Roman" w:hAnsi="Times New Roman" w:eastAsia="宋体"/>
          <w:b w:val="0"/>
          <w:sz w:val="24"/>
        </w:rPr>
        <w:t>AUROC：ROC曲线下面积，衡量区分已知/未知类的整体能力</w:t>
      </w:r>
    </w:p>
    <w:p>
      <w:pPr>
        <w:spacing w:before="0" w:after="60" w:line="360" w:lineRule="auto"/>
      </w:pPr>
      <w:r>
        <w:rPr>
          <w:rFonts w:ascii="Times New Roman" w:hAnsi="Times New Roman" w:eastAsia="宋体"/>
          <w:b w:val="0"/>
          <w:sz w:val="24"/>
        </w:rPr>
        <w:t>H-score：$H = \frac{2 \times TPR \times TNR}{TPR + TNR}$，已知类准确率和未知类召回率的调和平均</w:t>
      </w:r>
    </w:p>
    <w:p>
      <w:pPr>
        <w:spacing w:before="240" w:after="120" w:line="360" w:lineRule="auto"/>
      </w:pPr>
      <w:r>
        <w:rPr>
          <w:rFonts w:ascii="Times New Roman" w:hAnsi="Times New Roman" w:eastAsia="黑体"/>
          <w:b/>
          <w:sz w:val="28"/>
        </w:rPr>
        <w:t>4.3 基线方法对比</w:t>
      </w:r>
    </w:p>
    <w:p>
      <w:pPr>
        <w:spacing w:before="240" w:after="120" w:line="360" w:lineRule="auto"/>
      </w:pPr>
      <w:r>
        <w:rPr>
          <w:rFonts w:ascii="Times New Roman" w:hAnsi="Times New Roman" w:eastAsia="黑体"/>
          <w:b/>
          <w:sz w:val="24"/>
        </w:rPr>
        <w:t>VisDA数据集完整对比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E2F3"/>
          </w:tcPr>
          <w:p>
            <w:pPr>
              <w:jc w:val="center"/>
            </w:pPr>
            <w:r/>
            <w:r>
              <w:rPr>
                <w:rFonts w:ascii="Times New Roman" w:hAnsi="Times New Roman" w:eastAsia="宋体"/>
                <w:b/>
                <w:sz w:val="20"/>
              </w:rPr>
              <w:t>方法</w:t>
            </w:r>
          </w:p>
        </w:tc>
        <w:tc>
          <w:tcPr>
            <w:tcW w:type="dxa" w:w="1881"/>
            <w:shd w:fill="D9E2F3"/>
          </w:tcPr>
          <w:p>
            <w:pPr>
              <w:jc w:val="center"/>
            </w:pPr>
            <w:r/>
            <w:r>
              <w:rPr>
                <w:rFonts w:ascii="Times New Roman" w:hAnsi="Times New Roman" w:eastAsia="宋体"/>
                <w:b/>
                <w:sz w:val="20"/>
              </w:rPr>
              <w:t>训练Epoch</w:t>
            </w:r>
          </w:p>
        </w:tc>
        <w:tc>
          <w:tcPr>
            <w:tcW w:type="dxa" w:w="1881"/>
            <w:shd w:fill="D9E2F3"/>
          </w:tcPr>
          <w:p>
            <w:pPr>
              <w:jc w:val="center"/>
            </w:pPr>
            <w:r/>
            <w:r>
              <w:rPr>
                <w:rFonts w:ascii="Times New Roman" w:hAnsi="Times New Roman" w:eastAsia="宋体"/>
                <w:b/>
                <w:sz w:val="20"/>
              </w:rPr>
              <w:t>已知类准确率</w:t>
            </w:r>
          </w:p>
        </w:tc>
        <w:tc>
          <w:tcPr>
            <w:tcW w:type="dxa" w:w="1881"/>
            <w:shd w:fill="D9E2F3"/>
          </w:tcPr>
          <w:p>
            <w:pPr>
              <w:jc w:val="center"/>
            </w:pPr>
            <w:r/>
            <w:r>
              <w:rPr>
                <w:rFonts w:ascii="Times New Roman" w:hAnsi="Times New Roman" w:eastAsia="宋体"/>
                <w:b/>
                <w:sz w:val="20"/>
              </w:rPr>
              <w:t>H-score</w:t>
            </w:r>
          </w:p>
        </w:tc>
        <w:tc>
          <w:tcPr>
            <w:tcW w:type="dxa" w:w="1881"/>
            <w:shd w:fill="D9E2F3"/>
          </w:tcPr>
          <w:p>
            <w:pPr>
              <w:jc w:val="center"/>
            </w:pPr>
            <w:r/>
            <w:r>
              <w:rPr>
                <w:rFonts w:ascii="Times New Roman" w:hAnsi="Times New Roman" w:eastAsia="宋体"/>
                <w:b/>
                <w:sz w:val="20"/>
              </w:rPr>
              <w:t>AUROC</w:t>
            </w:r>
          </w:p>
        </w:tc>
      </w:tr>
      <w:tr>
        <w:tc>
          <w:tcPr>
            <w:tcW w:type="dxa" w:w="1881"/>
          </w:tcPr>
          <w:p>
            <w:pPr>
              <w:jc w:val="center"/>
            </w:pPr>
            <w:r/>
            <w:r>
              <w:rPr>
                <w:rFonts w:ascii="Times New Roman" w:hAnsi="Times New Roman" w:eastAsia="宋体"/>
                <w:b w:val="0"/>
                <w:sz w:val="20"/>
              </w:rPr>
              <w:t>Source Only</w:t>
            </w:r>
          </w:p>
        </w:tc>
        <w:tc>
          <w:tcPr>
            <w:tcW w:type="dxa" w:w="1881"/>
          </w:tcPr>
          <w:p>
            <w:pPr>
              <w:jc w:val="center"/>
            </w:pPr>
            <w:r/>
            <w:r>
              <w:rPr>
                <w:rFonts w:ascii="Times New Roman" w:hAnsi="Times New Roman" w:eastAsia="宋体"/>
                <w:b w:val="0"/>
                <w:sz w:val="20"/>
              </w:rPr>
              <w:t>15-20</w:t>
            </w:r>
          </w:p>
        </w:tc>
        <w:tc>
          <w:tcPr>
            <w:tcW w:type="dxa" w:w="1881"/>
          </w:tcPr>
          <w:p>
            <w:pPr>
              <w:jc w:val="center"/>
            </w:pPr>
            <w:r/>
            <w:r>
              <w:rPr>
                <w:rFonts w:ascii="Times New Roman" w:hAnsi="Times New Roman" w:eastAsia="宋体"/>
                <w:b w:val="0"/>
                <w:sz w:val="20"/>
              </w:rPr>
              <w:t>71.19%</w:t>
            </w:r>
          </w:p>
        </w:tc>
        <w:tc>
          <w:tcPr>
            <w:tcW w:type="dxa" w:w="1881"/>
          </w:tcPr>
          <w:p>
            <w:pPr>
              <w:jc w:val="center"/>
            </w:pPr>
            <w:r/>
            <w:r>
              <w:rPr>
                <w:rFonts w:ascii="Times New Roman" w:hAnsi="Times New Roman" w:eastAsia="宋体"/>
                <w:b w:val="0"/>
                <w:sz w:val="20"/>
              </w:rPr>
              <w:t>81.50%</w:t>
            </w:r>
          </w:p>
        </w:tc>
        <w:tc>
          <w:tcPr>
            <w:tcW w:type="dxa" w:w="1881"/>
          </w:tcPr>
          <w:p>
            <w:pPr>
              <w:jc w:val="center"/>
            </w:pPr>
            <w:r/>
            <w:r>
              <w:rPr>
                <w:rFonts w:ascii="Times New Roman" w:hAnsi="Times New Roman" w:eastAsia="宋体"/>
                <w:b w:val="0"/>
                <w:sz w:val="20"/>
              </w:rPr>
              <w:t>87.32%</w:t>
            </w:r>
          </w:p>
        </w:tc>
      </w:tr>
      <w:tr>
        <w:tc>
          <w:tcPr>
            <w:tcW w:type="dxa" w:w="1881"/>
          </w:tcPr>
          <w:p>
            <w:pPr>
              <w:jc w:val="center"/>
            </w:pPr>
            <w:r/>
            <w:r>
              <w:rPr>
                <w:rFonts w:ascii="Times New Roman" w:hAnsi="Times New Roman" w:eastAsia="宋体"/>
                <w:b w:val="0"/>
                <w:sz w:val="20"/>
              </w:rPr>
              <w:t>OSBP [ECCV 2018]</w:t>
            </w:r>
          </w:p>
        </w:tc>
        <w:tc>
          <w:tcPr>
            <w:tcW w:type="dxa" w:w="1881"/>
          </w:tcPr>
          <w:p>
            <w:pPr>
              <w:jc w:val="center"/>
            </w:pPr>
            <w:r/>
            <w:r>
              <w:rPr>
                <w:rFonts w:ascii="Times New Roman" w:hAnsi="Times New Roman" w:eastAsia="宋体"/>
                <w:b w:val="0"/>
                <w:sz w:val="20"/>
              </w:rPr>
              <w:t>15-20</w:t>
            </w:r>
          </w:p>
        </w:tc>
        <w:tc>
          <w:tcPr>
            <w:tcW w:type="dxa" w:w="1881"/>
          </w:tcPr>
          <w:p>
            <w:pPr>
              <w:jc w:val="center"/>
            </w:pPr>
            <w:r/>
            <w:r>
              <w:rPr>
                <w:rFonts w:ascii="Times New Roman" w:hAnsi="Times New Roman" w:eastAsia="宋体"/>
                <w:b w:val="0"/>
                <w:sz w:val="20"/>
              </w:rPr>
              <w:t>71.42%</w:t>
            </w:r>
          </w:p>
        </w:tc>
        <w:tc>
          <w:tcPr>
            <w:tcW w:type="dxa" w:w="1881"/>
          </w:tcPr>
          <w:p>
            <w:pPr>
              <w:jc w:val="center"/>
            </w:pPr>
            <w:r/>
            <w:r>
              <w:rPr>
                <w:rFonts w:ascii="Times New Roman" w:hAnsi="Times New Roman" w:eastAsia="宋体"/>
                <w:b w:val="0"/>
                <w:sz w:val="20"/>
              </w:rPr>
              <w:t>99.87%</w:t>
            </w:r>
          </w:p>
        </w:tc>
        <w:tc>
          <w:tcPr>
            <w:tcW w:type="dxa" w:w="1881"/>
          </w:tcPr>
          <w:p>
            <w:pPr>
              <w:jc w:val="center"/>
            </w:pPr>
            <w:r/>
            <w:r>
              <w:rPr>
                <w:rFonts w:ascii="Times New Roman" w:hAnsi="Times New Roman" w:eastAsia="宋体"/>
                <w:b w:val="0"/>
                <w:sz w:val="20"/>
              </w:rPr>
              <w:t>99.97%</w:t>
            </w:r>
          </w:p>
        </w:tc>
      </w:tr>
      <w:tr>
        <w:tc>
          <w:tcPr>
            <w:tcW w:type="dxa" w:w="1881"/>
          </w:tcPr>
          <w:p>
            <w:pPr>
              <w:jc w:val="center"/>
            </w:pPr>
            <w:r/>
            <w:r>
              <w:rPr>
                <w:rFonts w:ascii="Times New Roman" w:hAnsi="Times New Roman" w:eastAsia="宋体"/>
                <w:b w:val="0"/>
                <w:sz w:val="20"/>
              </w:rPr>
              <w:t>UAN [ICCV 2017]</w:t>
            </w:r>
          </w:p>
        </w:tc>
        <w:tc>
          <w:tcPr>
            <w:tcW w:type="dxa" w:w="1881"/>
          </w:tcPr>
          <w:p>
            <w:pPr>
              <w:jc w:val="center"/>
            </w:pPr>
            <w:r/>
            <w:r>
              <w:rPr>
                <w:rFonts w:ascii="Times New Roman" w:hAnsi="Times New Roman" w:eastAsia="宋体"/>
                <w:b w:val="0"/>
                <w:sz w:val="20"/>
              </w:rPr>
              <w:t>15-20</w:t>
            </w:r>
          </w:p>
        </w:tc>
        <w:tc>
          <w:tcPr>
            <w:tcW w:type="dxa" w:w="1881"/>
          </w:tcPr>
          <w:p>
            <w:pPr>
              <w:jc w:val="center"/>
            </w:pPr>
            <w:r/>
            <w:r>
              <w:rPr>
                <w:rFonts w:ascii="Times New Roman" w:hAnsi="Times New Roman" w:eastAsia="宋体"/>
                <w:b w:val="0"/>
                <w:sz w:val="20"/>
              </w:rPr>
              <w:t>18.08%</w:t>
            </w:r>
          </w:p>
        </w:tc>
        <w:tc>
          <w:tcPr>
            <w:tcW w:type="dxa" w:w="1881"/>
          </w:tcPr>
          <w:p>
            <w:pPr>
              <w:jc w:val="center"/>
            </w:pPr>
            <w:r/>
            <w:r>
              <w:rPr>
                <w:rFonts w:ascii="Times New Roman" w:hAnsi="Times New Roman" w:eastAsia="宋体"/>
                <w:b w:val="0"/>
                <w:sz w:val="20"/>
              </w:rPr>
              <w:t>55.64%</w:t>
            </w:r>
          </w:p>
        </w:tc>
        <w:tc>
          <w:tcPr>
            <w:tcW w:type="dxa" w:w="1881"/>
          </w:tcPr>
          <w:p>
            <w:pPr>
              <w:jc w:val="center"/>
            </w:pPr>
            <w:r/>
            <w:r>
              <w:rPr>
                <w:rFonts w:ascii="Times New Roman" w:hAnsi="Times New Roman" w:eastAsia="宋体"/>
                <w:b w:val="0"/>
                <w:sz w:val="20"/>
              </w:rPr>
              <w:t>55.67%</w:t>
            </w:r>
          </w:p>
        </w:tc>
      </w:tr>
      <w:tr>
        <w:tc>
          <w:tcPr>
            <w:tcW w:type="dxa" w:w="1881"/>
          </w:tcPr>
          <w:p>
            <w:pPr>
              <w:jc w:val="center"/>
            </w:pPr>
            <w:r/>
            <w:r>
              <w:rPr>
                <w:rFonts w:ascii="Times New Roman" w:hAnsi="Times New Roman" w:eastAsia="宋体"/>
                <w:b w:val="0"/>
                <w:sz w:val="20"/>
              </w:rPr>
              <w:t>**Ours (Epoch 15)**</w:t>
            </w:r>
          </w:p>
        </w:tc>
        <w:tc>
          <w:tcPr>
            <w:tcW w:type="dxa" w:w="1881"/>
          </w:tcPr>
          <w:p>
            <w:pPr>
              <w:jc w:val="center"/>
            </w:pPr>
            <w:r/>
            <w:r>
              <w:rPr>
                <w:rFonts w:ascii="Times New Roman" w:hAnsi="Times New Roman" w:eastAsia="宋体"/>
                <w:b w:val="0"/>
                <w:sz w:val="20"/>
              </w:rPr>
              <w:t>15</w:t>
            </w:r>
          </w:p>
        </w:tc>
        <w:tc>
          <w:tcPr>
            <w:tcW w:type="dxa" w:w="1881"/>
          </w:tcPr>
          <w:p>
            <w:pPr>
              <w:jc w:val="center"/>
            </w:pPr>
            <w:r/>
            <w:r>
              <w:rPr>
                <w:rFonts w:ascii="Times New Roman" w:hAnsi="Times New Roman" w:eastAsia="宋体"/>
                <w:b w:val="0"/>
                <w:sz w:val="20"/>
              </w:rPr>
              <w:t>70.77%</w:t>
            </w:r>
          </w:p>
        </w:tc>
        <w:tc>
          <w:tcPr>
            <w:tcW w:type="dxa" w:w="1881"/>
          </w:tcPr>
          <w:p>
            <w:pPr>
              <w:jc w:val="center"/>
            </w:pPr>
            <w:r/>
            <w:r>
              <w:rPr>
                <w:rFonts w:ascii="Times New Roman" w:hAnsi="Times New Roman" w:eastAsia="宋体"/>
                <w:b w:val="0"/>
                <w:sz w:val="20"/>
              </w:rPr>
              <w:t>86.43%</w:t>
            </w:r>
          </w:p>
        </w:tc>
        <w:tc>
          <w:tcPr>
            <w:tcW w:type="dxa" w:w="1881"/>
          </w:tcPr>
          <w:p>
            <w:pPr>
              <w:jc w:val="center"/>
            </w:pPr>
            <w:r/>
            <w:r>
              <w:rPr>
                <w:rFonts w:ascii="Times New Roman" w:hAnsi="Times New Roman" w:eastAsia="宋体"/>
                <w:b w:val="0"/>
                <w:sz w:val="20"/>
              </w:rPr>
              <w:t>**93.28%**</w:t>
            </w:r>
          </w:p>
        </w:tc>
      </w:tr>
      <w:tr>
        <w:tc>
          <w:tcPr>
            <w:tcW w:type="dxa" w:w="1881"/>
          </w:tcPr>
          <w:p>
            <w:pPr>
              <w:jc w:val="center"/>
            </w:pPr>
            <w:r/>
            <w:r>
              <w:rPr>
                <w:rFonts w:ascii="Times New Roman" w:hAnsi="Times New Roman" w:eastAsia="宋体"/>
                <w:b w:val="0"/>
                <w:sz w:val="20"/>
              </w:rPr>
              <w:t>**Ours (最终)**</w:t>
            </w:r>
          </w:p>
        </w:tc>
        <w:tc>
          <w:tcPr>
            <w:tcW w:type="dxa" w:w="1881"/>
          </w:tcPr>
          <w:p>
            <w:pPr>
              <w:jc w:val="center"/>
            </w:pPr>
            <w:r/>
            <w:r>
              <w:rPr>
                <w:rFonts w:ascii="Times New Roman" w:hAnsi="Times New Roman" w:eastAsia="宋体"/>
                <w:b w:val="0"/>
                <w:sz w:val="20"/>
              </w:rPr>
              <w:t>**35**</w:t>
            </w:r>
          </w:p>
        </w:tc>
        <w:tc>
          <w:tcPr>
            <w:tcW w:type="dxa" w:w="1881"/>
          </w:tcPr>
          <w:p>
            <w:pPr>
              <w:jc w:val="center"/>
            </w:pPr>
            <w:r/>
            <w:r>
              <w:rPr>
                <w:rFonts w:ascii="Times New Roman" w:hAnsi="Times New Roman" w:eastAsia="宋体"/>
                <w:b w:val="0"/>
                <w:sz w:val="20"/>
              </w:rPr>
              <w:t>**83.82%**</w:t>
            </w:r>
          </w:p>
        </w:tc>
        <w:tc>
          <w:tcPr>
            <w:tcW w:type="dxa" w:w="1881"/>
          </w:tcPr>
          <w:p>
            <w:pPr>
              <w:jc w:val="center"/>
            </w:pPr>
            <w:r/>
            <w:r>
              <w:rPr>
                <w:rFonts w:ascii="Times New Roman" w:hAnsi="Times New Roman" w:eastAsia="宋体"/>
                <w:b w:val="0"/>
                <w:sz w:val="20"/>
              </w:rPr>
              <w:t>80.72%</w:t>
            </w:r>
          </w:p>
        </w:tc>
        <w:tc>
          <w:tcPr>
            <w:tcW w:type="dxa" w:w="1881"/>
          </w:tcPr>
          <w:p>
            <w:pPr>
              <w:jc w:val="center"/>
            </w:pPr>
            <w:r/>
            <w:r>
              <w:rPr>
                <w:rFonts w:ascii="Times New Roman" w:hAnsi="Times New Roman" w:eastAsia="宋体"/>
                <w:b w:val="0"/>
                <w:sz w:val="20"/>
              </w:rPr>
              <w:t>86.19%</w:t>
            </w:r>
          </w:p>
        </w:tc>
      </w:tr>
    </w:tbl>
    <w:p/>
    <w:p>
      <w:pPr>
        <w:spacing w:before="0" w:after="60" w:line="360" w:lineRule="auto"/>
      </w:pPr>
      <w:r>
        <w:rPr>
          <w:rFonts w:ascii="Times New Roman" w:hAnsi="Times New Roman" w:eastAsia="宋体"/>
          <w:b w:val="0"/>
          <w:sz w:val="24"/>
        </w:rPr>
        <w:t>分析：</w:t>
      </w:r>
    </w:p>
    <w:p>
      <w:pPr>
        <w:spacing w:before="0" w:after="60" w:line="360" w:lineRule="auto"/>
      </w:pPr>
      <w:r>
        <w:rPr>
          <w:rFonts w:ascii="Times New Roman" w:hAnsi="Times New Roman" w:eastAsia="宋体"/>
          <w:b w:val="0"/>
          <w:sz w:val="24"/>
        </w:rPr>
        <w:t>公平对比（Epoch 15）：我们的AUROC（93.28%）在所有方法中最高，领先Source Only 5.96个百分点</w:t>
      </w:r>
    </w:p>
    <w:p>
      <w:pPr>
        <w:spacing w:before="0" w:after="60" w:line="360" w:lineRule="auto"/>
      </w:pPr>
      <w:r>
        <w:rPr>
          <w:rFonts w:ascii="Times New Roman" w:hAnsi="Times New Roman" w:eastAsia="宋体"/>
          <w:b w:val="0"/>
          <w:sz w:val="24"/>
        </w:rPr>
        <w:t>最终模型：已知类准确率83.82%，远超所有基线（最高71.42%），提升12.4个百分点</w:t>
      </w:r>
    </w:p>
    <w:p>
      <w:pPr>
        <w:spacing w:before="240" w:after="120" w:line="360" w:lineRule="auto"/>
      </w:pPr>
      <w:r>
        <w:rPr>
          <w:rFonts w:ascii="Times New Roman" w:hAnsi="Times New Roman" w:eastAsia="黑体"/>
          <w:b/>
          <w:sz w:val="24"/>
        </w:rPr>
        <w:t>DomainNet数据集（Real→Clipart）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shd w:fill="D9E2F3"/>
          </w:tcPr>
          <w:p>
            <w:pPr>
              <w:jc w:val="center"/>
            </w:pPr>
            <w:r/>
            <w:r>
              <w:rPr>
                <w:rFonts w:ascii="Times New Roman" w:hAnsi="Times New Roman" w:eastAsia="宋体"/>
                <w:b/>
                <w:sz w:val="20"/>
              </w:rPr>
              <w:t>指标</w:t>
            </w:r>
          </w:p>
        </w:tc>
        <w:tc>
          <w:tcPr>
            <w:tcW w:type="dxa" w:w="4703"/>
            <w:shd w:fill="D9E2F3"/>
          </w:tcPr>
          <w:p>
            <w:pPr>
              <w:jc w:val="center"/>
            </w:pPr>
            <w:r/>
            <w:r>
              <w:rPr>
                <w:rFonts w:ascii="Times New Roman" w:hAnsi="Times New Roman" w:eastAsia="宋体"/>
                <w:b/>
                <w:sz w:val="20"/>
              </w:rPr>
              <w:t>数值</w:t>
            </w:r>
          </w:p>
        </w:tc>
      </w:tr>
      <w:tr>
        <w:tc>
          <w:tcPr>
            <w:tcW w:type="dxa" w:w="4703"/>
          </w:tcPr>
          <w:p>
            <w:pPr>
              <w:jc w:val="center"/>
            </w:pPr>
            <w:r/>
            <w:r>
              <w:rPr>
                <w:rFonts w:ascii="Times New Roman" w:hAnsi="Times New Roman" w:eastAsia="宋体"/>
                <w:b w:val="0"/>
                <w:sz w:val="20"/>
              </w:rPr>
              <w:t>已知类准确率</w:t>
            </w:r>
          </w:p>
        </w:tc>
        <w:tc>
          <w:tcPr>
            <w:tcW w:type="dxa" w:w="4703"/>
          </w:tcPr>
          <w:p>
            <w:pPr>
              <w:jc w:val="center"/>
            </w:pPr>
            <w:r/>
            <w:r>
              <w:rPr>
                <w:rFonts w:ascii="Times New Roman" w:hAnsi="Times New Roman" w:eastAsia="宋体"/>
                <w:b w:val="0"/>
                <w:sz w:val="20"/>
              </w:rPr>
              <w:t>**85.90%**</w:t>
            </w:r>
          </w:p>
        </w:tc>
      </w:tr>
      <w:tr>
        <w:tc>
          <w:tcPr>
            <w:tcW w:type="dxa" w:w="4703"/>
          </w:tcPr>
          <w:p>
            <w:pPr>
              <w:jc w:val="center"/>
            </w:pPr>
            <w:r/>
            <w:r>
              <w:rPr>
                <w:rFonts w:ascii="Times New Roman" w:hAnsi="Times New Roman" w:eastAsia="宋体"/>
                <w:b w:val="0"/>
                <w:sz w:val="20"/>
              </w:rPr>
              <w:t>AUROC</w:t>
            </w:r>
          </w:p>
        </w:tc>
        <w:tc>
          <w:tcPr>
            <w:tcW w:type="dxa" w:w="4703"/>
          </w:tcPr>
          <w:p>
            <w:pPr>
              <w:jc w:val="center"/>
            </w:pPr>
            <w:r/>
            <w:r>
              <w:rPr>
                <w:rFonts w:ascii="Times New Roman" w:hAnsi="Times New Roman" w:eastAsia="宋体"/>
                <w:b w:val="0"/>
                <w:sz w:val="20"/>
              </w:rPr>
              <w:t>**96.37%**</w:t>
            </w:r>
          </w:p>
        </w:tc>
      </w:tr>
      <w:tr>
        <w:tc>
          <w:tcPr>
            <w:tcW w:type="dxa" w:w="4703"/>
          </w:tcPr>
          <w:p>
            <w:pPr>
              <w:jc w:val="center"/>
            </w:pPr>
            <w:r/>
            <w:r>
              <w:rPr>
                <w:rFonts w:ascii="Times New Roman" w:hAnsi="Times New Roman" w:eastAsia="宋体"/>
                <w:b w:val="0"/>
                <w:sz w:val="20"/>
              </w:rPr>
              <w:t>H-score</w:t>
            </w:r>
          </w:p>
        </w:tc>
        <w:tc>
          <w:tcPr>
            <w:tcW w:type="dxa" w:w="4703"/>
          </w:tcPr>
          <w:p>
            <w:pPr>
              <w:jc w:val="center"/>
            </w:pPr>
            <w:r/>
            <w:r>
              <w:rPr>
                <w:rFonts w:ascii="Times New Roman" w:hAnsi="Times New Roman" w:eastAsia="宋体"/>
                <w:b w:val="0"/>
                <w:sz w:val="20"/>
              </w:rPr>
              <w:t>**91.90%**</w:t>
            </w:r>
          </w:p>
        </w:tc>
      </w:tr>
    </w:tbl>
    <w:p/>
    <w:p>
      <w:pPr>
        <w:spacing w:before="240" w:after="120" w:line="360" w:lineRule="auto"/>
      </w:pPr>
      <w:r>
        <w:rPr>
          <w:rFonts w:ascii="Times New Roman" w:hAnsi="Times New Roman" w:eastAsia="黑体"/>
          <w:b/>
          <w:sz w:val="28"/>
        </w:rPr>
        <w:t>4.4 消融实验</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E2F3"/>
          </w:tcPr>
          <w:p>
            <w:pPr>
              <w:jc w:val="center"/>
            </w:pPr>
            <w:r/>
            <w:r>
              <w:rPr>
                <w:rFonts w:ascii="Times New Roman" w:hAnsi="Times New Roman" w:eastAsia="宋体"/>
                <w:b/>
                <w:sz w:val="20"/>
              </w:rPr>
              <w:t>配置</w:t>
            </w:r>
          </w:p>
        </w:tc>
        <w:tc>
          <w:tcPr>
            <w:tcW w:type="dxa" w:w="2351"/>
            <w:shd w:fill="D9E2F3"/>
          </w:tcPr>
          <w:p>
            <w:pPr>
              <w:jc w:val="center"/>
            </w:pPr>
            <w:r/>
            <w:r>
              <w:rPr>
                <w:rFonts w:ascii="Times New Roman" w:hAnsi="Times New Roman" w:eastAsia="宋体"/>
                <w:b/>
                <w:sz w:val="20"/>
              </w:rPr>
              <w:t>AUROC</w:t>
            </w:r>
          </w:p>
        </w:tc>
        <w:tc>
          <w:tcPr>
            <w:tcW w:type="dxa" w:w="2351"/>
            <w:shd w:fill="D9E2F3"/>
          </w:tcPr>
          <w:p>
            <w:pPr>
              <w:jc w:val="center"/>
            </w:pPr>
            <w:r/>
            <w:r>
              <w:rPr>
                <w:rFonts w:ascii="Times New Roman" w:hAnsi="Times New Roman" w:eastAsia="宋体"/>
                <w:b/>
                <w:sz w:val="20"/>
              </w:rPr>
              <w:t>H-score</w:t>
            </w:r>
          </w:p>
        </w:tc>
        <w:tc>
          <w:tcPr>
            <w:tcW w:type="dxa" w:w="2351"/>
            <w:shd w:fill="D9E2F3"/>
          </w:tcPr>
          <w:p>
            <w:pPr>
              <w:jc w:val="center"/>
            </w:pPr>
            <w:r/>
            <w:r>
              <w:rPr>
                <w:rFonts w:ascii="Times New Roman" w:hAnsi="Times New Roman" w:eastAsia="宋体"/>
                <w:b/>
                <w:sz w:val="20"/>
              </w:rPr>
              <w:t>贡献分析</w:t>
            </w:r>
          </w:p>
        </w:tc>
      </w:tr>
      <w:tr>
        <w:tc>
          <w:tcPr>
            <w:tcW w:type="dxa" w:w="2351"/>
          </w:tcPr>
          <w:p>
            <w:pPr>
              <w:jc w:val="center"/>
            </w:pPr>
            <w:r/>
            <w:r>
              <w:rPr>
                <w:rFonts w:ascii="Times New Roman" w:hAnsi="Times New Roman" w:eastAsia="宋体"/>
                <w:b w:val="0"/>
                <w:sz w:val="20"/>
              </w:rPr>
              <w:t>Baseline（仅Backbone+置信度）</w:t>
            </w:r>
          </w:p>
        </w:tc>
        <w:tc>
          <w:tcPr>
            <w:tcW w:type="dxa" w:w="2351"/>
          </w:tcPr>
          <w:p>
            <w:pPr>
              <w:jc w:val="center"/>
            </w:pPr>
            <w:r/>
            <w:r>
              <w:rPr>
                <w:rFonts w:ascii="Times New Roman" w:hAnsi="Times New Roman" w:eastAsia="宋体"/>
                <w:b w:val="0"/>
                <w:sz w:val="20"/>
              </w:rPr>
              <w:t>58.07%</w:t>
            </w:r>
          </w:p>
        </w:tc>
        <w:tc>
          <w:tcPr>
            <w:tcW w:type="dxa" w:w="2351"/>
          </w:tcPr>
          <w:p>
            <w:pPr>
              <w:jc w:val="center"/>
            </w:pPr>
            <w:r/>
            <w:r>
              <w:rPr>
                <w:rFonts w:ascii="Times New Roman" w:hAnsi="Times New Roman" w:eastAsia="宋体"/>
                <w:b w:val="0"/>
                <w:sz w:val="20"/>
              </w:rPr>
              <w:t>54.68%</w:t>
            </w:r>
          </w:p>
        </w:tc>
        <w:tc>
          <w:tcPr>
            <w:tcW w:type="dxa" w:w="2351"/>
          </w:tcPr>
          <w:p>
            <w:pPr>
              <w:jc w:val="center"/>
            </w:pPr>
            <w:r/>
            <w:r>
              <w:rPr>
                <w:rFonts w:ascii="Times New Roman" w:hAnsi="Times New Roman" w:eastAsia="宋体"/>
                <w:b w:val="0"/>
                <w:sz w:val="20"/>
              </w:rPr>
              <w:t>基准线</w:t>
            </w:r>
          </w:p>
        </w:tc>
      </w:tr>
      <w:tr>
        <w:tc>
          <w:tcPr>
            <w:tcW w:type="dxa" w:w="2351"/>
          </w:tcPr>
          <w:p>
            <w:pPr>
              <w:jc w:val="center"/>
            </w:pPr>
            <w:r/>
            <w:r>
              <w:rPr>
                <w:rFonts w:ascii="Times New Roman" w:hAnsi="Times New Roman" w:eastAsia="宋体"/>
                <w:b w:val="0"/>
                <w:sz w:val="20"/>
              </w:rPr>
              <w:t>+特征解耦（双分支+正交约束）</w:t>
            </w:r>
          </w:p>
        </w:tc>
        <w:tc>
          <w:tcPr>
            <w:tcW w:type="dxa" w:w="2351"/>
          </w:tcPr>
          <w:p>
            <w:pPr>
              <w:jc w:val="center"/>
            </w:pPr>
            <w:r/>
            <w:r>
              <w:rPr>
                <w:rFonts w:ascii="Times New Roman" w:hAnsi="Times New Roman" w:eastAsia="宋体"/>
                <w:b w:val="0"/>
                <w:sz w:val="20"/>
              </w:rPr>
              <w:t>59.61%</w:t>
            </w:r>
          </w:p>
        </w:tc>
        <w:tc>
          <w:tcPr>
            <w:tcW w:type="dxa" w:w="2351"/>
          </w:tcPr>
          <w:p>
            <w:pPr>
              <w:jc w:val="center"/>
            </w:pPr>
            <w:r/>
            <w:r>
              <w:rPr>
                <w:rFonts w:ascii="Times New Roman" w:hAnsi="Times New Roman" w:eastAsia="宋体"/>
                <w:b w:val="0"/>
                <w:sz w:val="20"/>
              </w:rPr>
              <w:t>45.69%</w:t>
            </w:r>
          </w:p>
        </w:tc>
        <w:tc>
          <w:tcPr>
            <w:tcW w:type="dxa" w:w="2351"/>
          </w:tcPr>
          <w:p>
            <w:pPr>
              <w:jc w:val="center"/>
            </w:pPr>
            <w:r/>
            <w:r>
              <w:rPr>
                <w:rFonts w:ascii="Times New Roman" w:hAnsi="Times New Roman" w:eastAsia="宋体"/>
                <w:b w:val="0"/>
                <w:sz w:val="20"/>
              </w:rPr>
              <w:t>增强特征判别性</w:t>
            </w:r>
          </w:p>
        </w:tc>
      </w:tr>
      <w:tr>
        <w:tc>
          <w:tcPr>
            <w:tcW w:type="dxa" w:w="2351"/>
          </w:tcPr>
          <w:p>
            <w:pPr>
              <w:jc w:val="center"/>
            </w:pPr>
            <w:r/>
            <w:r>
              <w:rPr>
                <w:rFonts w:ascii="Times New Roman" w:hAnsi="Times New Roman" w:eastAsia="宋体"/>
                <w:b w:val="0"/>
                <w:sz w:val="20"/>
              </w:rPr>
              <w:t>+VAE重构</w:t>
            </w:r>
          </w:p>
        </w:tc>
        <w:tc>
          <w:tcPr>
            <w:tcW w:type="dxa" w:w="2351"/>
          </w:tcPr>
          <w:p>
            <w:pPr>
              <w:jc w:val="center"/>
            </w:pPr>
            <w:r/>
            <w:r>
              <w:rPr>
                <w:rFonts w:ascii="Times New Roman" w:hAnsi="Times New Roman" w:eastAsia="宋体"/>
                <w:b w:val="0"/>
                <w:sz w:val="20"/>
              </w:rPr>
              <w:t>59.74%</w:t>
            </w:r>
          </w:p>
        </w:tc>
        <w:tc>
          <w:tcPr>
            <w:tcW w:type="dxa" w:w="2351"/>
          </w:tcPr>
          <w:p>
            <w:pPr>
              <w:jc w:val="center"/>
            </w:pPr>
            <w:r/>
            <w:r>
              <w:rPr>
                <w:rFonts w:ascii="Times New Roman" w:hAnsi="Times New Roman" w:eastAsia="宋体"/>
                <w:b w:val="0"/>
                <w:sz w:val="20"/>
              </w:rPr>
              <w:t>45.83%</w:t>
            </w:r>
          </w:p>
        </w:tc>
        <w:tc>
          <w:tcPr>
            <w:tcW w:type="dxa" w:w="2351"/>
          </w:tcPr>
          <w:p>
            <w:pPr>
              <w:jc w:val="center"/>
            </w:pPr>
            <w:r/>
            <w:r>
              <w:rPr>
                <w:rFonts w:ascii="Times New Roman" w:hAnsi="Times New Roman" w:eastAsia="宋体"/>
                <w:b w:val="0"/>
                <w:sz w:val="20"/>
              </w:rPr>
              <w:t>增加重构信号</w:t>
            </w:r>
          </w:p>
        </w:tc>
      </w:tr>
      <w:tr>
        <w:tc>
          <w:tcPr>
            <w:tcW w:type="dxa" w:w="2351"/>
          </w:tcPr>
          <w:p>
            <w:pPr>
              <w:jc w:val="center"/>
            </w:pPr>
            <w:r/>
            <w:r>
              <w:rPr>
                <w:rFonts w:ascii="Times New Roman" w:hAnsi="Times New Roman" w:eastAsia="宋体"/>
                <w:b w:val="0"/>
                <w:sz w:val="20"/>
              </w:rPr>
              <w:t>**完整四源融合**</w:t>
            </w:r>
          </w:p>
        </w:tc>
        <w:tc>
          <w:tcPr>
            <w:tcW w:type="dxa" w:w="2351"/>
          </w:tcPr>
          <w:p>
            <w:pPr>
              <w:jc w:val="center"/>
            </w:pPr>
            <w:r/>
            <w:r>
              <w:rPr>
                <w:rFonts w:ascii="Times New Roman" w:hAnsi="Times New Roman" w:eastAsia="宋体"/>
                <w:b w:val="0"/>
                <w:sz w:val="20"/>
              </w:rPr>
              <w:t>**86.19%**</w:t>
            </w:r>
          </w:p>
        </w:tc>
        <w:tc>
          <w:tcPr>
            <w:tcW w:type="dxa" w:w="2351"/>
          </w:tcPr>
          <w:p>
            <w:pPr>
              <w:jc w:val="center"/>
            </w:pPr>
            <w:r/>
            <w:r>
              <w:rPr>
                <w:rFonts w:ascii="Times New Roman" w:hAnsi="Times New Roman" w:eastAsia="宋体"/>
                <w:b w:val="0"/>
                <w:sz w:val="20"/>
              </w:rPr>
              <w:t>**80.72%**</w:t>
            </w:r>
          </w:p>
        </w:tc>
        <w:tc>
          <w:tcPr>
            <w:tcW w:type="dxa" w:w="2351"/>
          </w:tcPr>
          <w:p>
            <w:pPr>
              <w:jc w:val="center"/>
            </w:pPr>
            <w:r/>
            <w:r>
              <w:rPr>
                <w:rFonts w:ascii="Times New Roman" w:hAnsi="Times New Roman" w:eastAsia="宋体"/>
                <w:b w:val="0"/>
                <w:sz w:val="20"/>
              </w:rPr>
              <w:t>多维度协同判断</w:t>
            </w:r>
          </w:p>
        </w:tc>
      </w:tr>
    </w:tbl>
    <w:p/>
    <w:p>
      <w:pPr>
        <w:spacing w:before="0" w:after="60" w:line="360" w:lineRule="auto"/>
      </w:pPr>
      <w:r>
        <w:rPr>
          <w:rFonts w:ascii="Times New Roman" w:hAnsi="Times New Roman" w:eastAsia="宋体"/>
          <w:b w:val="0"/>
          <w:sz w:val="24"/>
        </w:rPr>
        <w:t>核心发现：四源融合策略是性能跃升的关键。仅使用置信度时AUROC=58.07%，融合四个维度后AUROC=86.19%，提升48.4%。这证明多维度信息互补的重要性——任一单一指标都有盲区，融合后的综合判断更加鲁棒。</w:t>
      </w:r>
    </w:p>
    <w:p>
      <w:pPr>
        <w:spacing w:before="240" w:after="120" w:line="360" w:lineRule="auto"/>
      </w:pPr>
      <w:r>
        <w:rPr>
          <w:rFonts w:ascii="Times New Roman" w:hAnsi="Times New Roman" w:eastAsia="黑体"/>
          <w:b/>
          <w:sz w:val="28"/>
        </w:rPr>
        <w:t>4.5 泛化性能验证（Office-Home）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E2F3"/>
          </w:tcPr>
          <w:p>
            <w:pPr>
              <w:jc w:val="center"/>
            </w:pPr>
            <w:r/>
            <w:r>
              <w:rPr>
                <w:rFonts w:ascii="Times New Roman" w:hAnsi="Times New Roman" w:eastAsia="宋体"/>
                <w:b/>
                <w:sz w:val="20"/>
              </w:rPr>
              <w:t>域</w:t>
            </w:r>
          </w:p>
        </w:tc>
        <w:tc>
          <w:tcPr>
            <w:tcW w:type="dxa" w:w="1881"/>
            <w:shd w:fill="D9E2F3"/>
          </w:tcPr>
          <w:p>
            <w:pPr>
              <w:jc w:val="center"/>
            </w:pPr>
            <w:r/>
            <w:r>
              <w:rPr>
                <w:rFonts w:ascii="Times New Roman" w:hAnsi="Times New Roman" w:eastAsia="宋体"/>
                <w:b/>
                <w:sz w:val="20"/>
              </w:rPr>
              <w:t>AUROC</w:t>
            </w:r>
          </w:p>
        </w:tc>
        <w:tc>
          <w:tcPr>
            <w:tcW w:type="dxa" w:w="1881"/>
            <w:shd w:fill="D9E2F3"/>
          </w:tcPr>
          <w:p>
            <w:pPr>
              <w:jc w:val="center"/>
            </w:pPr>
            <w:r/>
            <w:r>
              <w:rPr>
                <w:rFonts w:ascii="Times New Roman" w:hAnsi="Times New Roman" w:eastAsia="宋体"/>
                <w:b/>
                <w:sz w:val="20"/>
              </w:rPr>
              <w:t>H-score</w:t>
            </w:r>
          </w:p>
        </w:tc>
        <w:tc>
          <w:tcPr>
            <w:tcW w:type="dxa" w:w="1881"/>
            <w:shd w:fill="D9E2F3"/>
          </w:tcPr>
          <w:p>
            <w:pPr>
              <w:jc w:val="center"/>
            </w:pPr>
            <w:r/>
            <w:r>
              <w:rPr>
                <w:rFonts w:ascii="Times New Roman" w:hAnsi="Times New Roman" w:eastAsia="宋体"/>
                <w:b/>
                <w:sz w:val="20"/>
              </w:rPr>
              <w:t>已知类准确率</w:t>
            </w:r>
          </w:p>
        </w:tc>
        <w:tc>
          <w:tcPr>
            <w:tcW w:type="dxa" w:w="1881"/>
            <w:shd w:fill="D9E2F3"/>
          </w:tcPr>
          <w:p>
            <w:pPr>
              <w:jc w:val="center"/>
            </w:pPr>
            <w:r/>
            <w:r>
              <w:rPr>
                <w:rFonts w:ascii="Times New Roman" w:hAnsi="Times New Roman" w:eastAsia="宋体"/>
                <w:b/>
                <w:sz w:val="20"/>
              </w:rPr>
              <w:t>未知类召回率</w:t>
            </w:r>
          </w:p>
        </w:tc>
      </w:tr>
      <w:tr>
        <w:tc>
          <w:tcPr>
            <w:tcW w:type="dxa" w:w="1881"/>
          </w:tcPr>
          <w:p>
            <w:pPr>
              <w:jc w:val="center"/>
            </w:pPr>
            <w:r/>
            <w:r>
              <w:rPr>
                <w:rFonts w:ascii="Times New Roman" w:hAnsi="Times New Roman" w:eastAsia="宋体"/>
                <w:b w:val="0"/>
                <w:sz w:val="20"/>
              </w:rPr>
              <w:t>Art</w:t>
            </w:r>
          </w:p>
        </w:tc>
        <w:tc>
          <w:tcPr>
            <w:tcW w:type="dxa" w:w="1881"/>
          </w:tcPr>
          <w:p>
            <w:pPr>
              <w:jc w:val="center"/>
            </w:pPr>
            <w:r/>
            <w:r>
              <w:rPr>
                <w:rFonts w:ascii="Times New Roman" w:hAnsi="Times New Roman" w:eastAsia="宋体"/>
                <w:b w:val="0"/>
                <w:sz w:val="20"/>
              </w:rPr>
              <w:t>0.7084</w:t>
            </w:r>
          </w:p>
        </w:tc>
        <w:tc>
          <w:tcPr>
            <w:tcW w:type="dxa" w:w="1881"/>
          </w:tcPr>
          <w:p>
            <w:pPr>
              <w:jc w:val="center"/>
            </w:pPr>
            <w:r/>
            <w:r>
              <w:rPr>
                <w:rFonts w:ascii="Times New Roman" w:hAnsi="Times New Roman" w:eastAsia="宋体"/>
                <w:b w:val="0"/>
                <w:sz w:val="20"/>
              </w:rPr>
              <w:t>0.6968</w:t>
            </w:r>
          </w:p>
        </w:tc>
        <w:tc>
          <w:tcPr>
            <w:tcW w:type="dxa" w:w="1881"/>
          </w:tcPr>
          <w:p>
            <w:pPr>
              <w:jc w:val="center"/>
            </w:pPr>
            <w:r/>
            <w:r>
              <w:rPr>
                <w:rFonts w:ascii="Times New Roman" w:hAnsi="Times New Roman" w:eastAsia="宋体"/>
                <w:b w:val="0"/>
                <w:sz w:val="20"/>
              </w:rPr>
              <w:t>63.70%</w:t>
            </w:r>
          </w:p>
        </w:tc>
        <w:tc>
          <w:tcPr>
            <w:tcW w:type="dxa" w:w="1881"/>
          </w:tcPr>
          <w:p>
            <w:pPr>
              <w:jc w:val="center"/>
            </w:pPr>
            <w:r/>
            <w:r>
              <w:rPr>
                <w:rFonts w:ascii="Times New Roman" w:hAnsi="Times New Roman" w:eastAsia="宋体"/>
                <w:b w:val="0"/>
                <w:sz w:val="20"/>
              </w:rPr>
              <w:t>76.3%</w:t>
            </w:r>
          </w:p>
        </w:tc>
      </w:tr>
      <w:tr>
        <w:tc>
          <w:tcPr>
            <w:tcW w:type="dxa" w:w="1881"/>
          </w:tcPr>
          <w:p>
            <w:pPr>
              <w:jc w:val="center"/>
            </w:pPr>
            <w:r/>
            <w:r>
              <w:rPr>
                <w:rFonts w:ascii="Times New Roman" w:hAnsi="Times New Roman" w:eastAsia="宋体"/>
                <w:b w:val="0"/>
                <w:sz w:val="20"/>
              </w:rPr>
              <w:t>Clipart</w:t>
            </w:r>
          </w:p>
        </w:tc>
        <w:tc>
          <w:tcPr>
            <w:tcW w:type="dxa" w:w="1881"/>
          </w:tcPr>
          <w:p>
            <w:pPr>
              <w:jc w:val="center"/>
            </w:pPr>
            <w:r/>
            <w:r>
              <w:rPr>
                <w:rFonts w:ascii="Times New Roman" w:hAnsi="Times New Roman" w:eastAsia="宋体"/>
                <w:b w:val="0"/>
                <w:sz w:val="20"/>
              </w:rPr>
              <w:t>0.6706</w:t>
            </w:r>
          </w:p>
        </w:tc>
        <w:tc>
          <w:tcPr>
            <w:tcW w:type="dxa" w:w="1881"/>
          </w:tcPr>
          <w:p>
            <w:pPr>
              <w:jc w:val="center"/>
            </w:pPr>
            <w:r/>
            <w:r>
              <w:rPr>
                <w:rFonts w:ascii="Times New Roman" w:hAnsi="Times New Roman" w:eastAsia="宋体"/>
                <w:b w:val="0"/>
                <w:sz w:val="20"/>
              </w:rPr>
              <w:t>0.6358</w:t>
            </w:r>
          </w:p>
        </w:tc>
        <w:tc>
          <w:tcPr>
            <w:tcW w:type="dxa" w:w="1881"/>
          </w:tcPr>
          <w:p>
            <w:pPr>
              <w:jc w:val="center"/>
            </w:pPr>
            <w:r/>
            <w:r>
              <w:rPr>
                <w:rFonts w:ascii="Times New Roman" w:hAnsi="Times New Roman" w:eastAsia="宋体"/>
                <w:b w:val="0"/>
                <w:sz w:val="20"/>
              </w:rPr>
              <w:t>54.75%</w:t>
            </w:r>
          </w:p>
        </w:tc>
        <w:tc>
          <w:tcPr>
            <w:tcW w:type="dxa" w:w="1881"/>
          </w:tcPr>
          <w:p>
            <w:pPr>
              <w:jc w:val="center"/>
            </w:pPr>
            <w:r/>
            <w:r>
              <w:rPr>
                <w:rFonts w:ascii="Times New Roman" w:hAnsi="Times New Roman" w:eastAsia="宋体"/>
                <w:b w:val="0"/>
                <w:sz w:val="20"/>
              </w:rPr>
              <w:t>76.2%</w:t>
            </w:r>
          </w:p>
        </w:tc>
      </w:tr>
      <w:tr>
        <w:tc>
          <w:tcPr>
            <w:tcW w:type="dxa" w:w="1881"/>
          </w:tcPr>
          <w:p>
            <w:pPr>
              <w:jc w:val="center"/>
            </w:pPr>
            <w:r/>
            <w:r>
              <w:rPr>
                <w:rFonts w:ascii="Times New Roman" w:hAnsi="Times New Roman" w:eastAsia="宋体"/>
                <w:b w:val="0"/>
                <w:sz w:val="20"/>
              </w:rPr>
              <w:t>Product</w:t>
            </w:r>
          </w:p>
        </w:tc>
        <w:tc>
          <w:tcPr>
            <w:tcW w:type="dxa" w:w="1881"/>
          </w:tcPr>
          <w:p>
            <w:pPr>
              <w:jc w:val="center"/>
            </w:pPr>
            <w:r/>
            <w:r>
              <w:rPr>
                <w:rFonts w:ascii="Times New Roman" w:hAnsi="Times New Roman" w:eastAsia="宋体"/>
                <w:b w:val="0"/>
                <w:sz w:val="20"/>
              </w:rPr>
              <w:t>0.7385</w:t>
            </w:r>
          </w:p>
        </w:tc>
        <w:tc>
          <w:tcPr>
            <w:tcW w:type="dxa" w:w="1881"/>
          </w:tcPr>
          <w:p>
            <w:pPr>
              <w:jc w:val="center"/>
            </w:pPr>
            <w:r/>
            <w:r>
              <w:rPr>
                <w:rFonts w:ascii="Times New Roman" w:hAnsi="Times New Roman" w:eastAsia="宋体"/>
                <w:b w:val="0"/>
                <w:sz w:val="20"/>
              </w:rPr>
              <w:t>0.6925</w:t>
            </w:r>
          </w:p>
        </w:tc>
        <w:tc>
          <w:tcPr>
            <w:tcW w:type="dxa" w:w="1881"/>
          </w:tcPr>
          <w:p>
            <w:pPr>
              <w:jc w:val="center"/>
            </w:pPr>
            <w:r/>
            <w:r>
              <w:rPr>
                <w:rFonts w:ascii="Times New Roman" w:hAnsi="Times New Roman" w:eastAsia="宋体"/>
                <w:b w:val="0"/>
                <w:sz w:val="20"/>
              </w:rPr>
              <w:t>63.48%</w:t>
            </w:r>
          </w:p>
        </w:tc>
        <w:tc>
          <w:tcPr>
            <w:tcW w:type="dxa" w:w="1881"/>
          </w:tcPr>
          <w:p>
            <w:pPr>
              <w:jc w:val="center"/>
            </w:pPr>
            <w:r/>
            <w:r>
              <w:rPr>
                <w:rFonts w:ascii="Times New Roman" w:hAnsi="Times New Roman" w:eastAsia="宋体"/>
                <w:b w:val="0"/>
                <w:sz w:val="20"/>
              </w:rPr>
              <w:t>76.0%</w:t>
            </w:r>
          </w:p>
        </w:tc>
      </w:tr>
      <w:tr>
        <w:tc>
          <w:tcPr>
            <w:tcW w:type="dxa" w:w="1881"/>
          </w:tcPr>
          <w:p>
            <w:pPr>
              <w:jc w:val="center"/>
            </w:pPr>
            <w:r/>
            <w:r>
              <w:rPr>
                <w:rFonts w:ascii="Times New Roman" w:hAnsi="Times New Roman" w:eastAsia="宋体"/>
                <w:b w:val="0"/>
                <w:sz w:val="20"/>
              </w:rPr>
              <w:t>Real World</w:t>
            </w:r>
          </w:p>
        </w:tc>
        <w:tc>
          <w:tcPr>
            <w:tcW w:type="dxa" w:w="1881"/>
          </w:tcPr>
          <w:p>
            <w:pPr>
              <w:jc w:val="center"/>
            </w:pPr>
            <w:r/>
            <w:r>
              <w:rPr>
                <w:rFonts w:ascii="Times New Roman" w:hAnsi="Times New Roman" w:eastAsia="宋体"/>
                <w:b w:val="0"/>
                <w:sz w:val="20"/>
              </w:rPr>
              <w:t>0.7121</w:t>
            </w:r>
          </w:p>
        </w:tc>
        <w:tc>
          <w:tcPr>
            <w:tcW w:type="dxa" w:w="1881"/>
          </w:tcPr>
          <w:p>
            <w:pPr>
              <w:jc w:val="center"/>
            </w:pPr>
            <w:r/>
            <w:r>
              <w:rPr>
                <w:rFonts w:ascii="Times New Roman" w:hAnsi="Times New Roman" w:eastAsia="宋体"/>
                <w:b w:val="0"/>
                <w:sz w:val="20"/>
              </w:rPr>
              <w:t>0.7326</w:t>
            </w:r>
          </w:p>
        </w:tc>
        <w:tc>
          <w:tcPr>
            <w:tcW w:type="dxa" w:w="1881"/>
          </w:tcPr>
          <w:p>
            <w:pPr>
              <w:jc w:val="center"/>
            </w:pPr>
            <w:r/>
            <w:r>
              <w:rPr>
                <w:rFonts w:ascii="Times New Roman" w:hAnsi="Times New Roman" w:eastAsia="宋体"/>
                <w:b w:val="0"/>
                <w:sz w:val="20"/>
              </w:rPr>
              <w:t>67.06%</w:t>
            </w:r>
          </w:p>
        </w:tc>
        <w:tc>
          <w:tcPr>
            <w:tcW w:type="dxa" w:w="1881"/>
          </w:tcPr>
          <w:p>
            <w:pPr>
              <w:jc w:val="center"/>
            </w:pPr>
            <w:r/>
            <w:r>
              <w:rPr>
                <w:rFonts w:ascii="Times New Roman" w:hAnsi="Times New Roman" w:eastAsia="宋体"/>
                <w:b w:val="0"/>
                <w:sz w:val="20"/>
              </w:rPr>
              <w:t>80.3%</w:t>
            </w:r>
          </w:p>
        </w:tc>
      </w:tr>
      <w:tr>
        <w:tc>
          <w:tcPr>
            <w:tcW w:type="dxa" w:w="1881"/>
          </w:tcPr>
          <w:p>
            <w:pPr>
              <w:jc w:val="center"/>
            </w:pPr>
            <w:r/>
            <w:r>
              <w:rPr>
                <w:rFonts w:ascii="Times New Roman" w:hAnsi="Times New Roman" w:eastAsia="宋体"/>
                <w:b w:val="0"/>
                <w:sz w:val="20"/>
              </w:rPr>
              <w:t>**平均**</w:t>
            </w:r>
          </w:p>
        </w:tc>
        <w:tc>
          <w:tcPr>
            <w:tcW w:type="dxa" w:w="1881"/>
          </w:tcPr>
          <w:p>
            <w:pPr>
              <w:jc w:val="center"/>
            </w:pPr>
            <w:r/>
            <w:r>
              <w:rPr>
                <w:rFonts w:ascii="Times New Roman" w:hAnsi="Times New Roman" w:eastAsia="宋体"/>
                <w:b w:val="0"/>
                <w:sz w:val="20"/>
              </w:rPr>
              <w:t>**0.71**</w:t>
            </w:r>
          </w:p>
        </w:tc>
        <w:tc>
          <w:tcPr>
            <w:tcW w:type="dxa" w:w="1881"/>
          </w:tcPr>
          <w:p>
            <w:pPr>
              <w:jc w:val="center"/>
            </w:pPr>
            <w:r/>
            <w:r>
              <w:rPr>
                <w:rFonts w:ascii="Times New Roman" w:hAnsi="Times New Roman" w:eastAsia="宋体"/>
                <w:b w:val="0"/>
                <w:sz w:val="20"/>
              </w:rPr>
              <w:t>**0.69**</w:t>
            </w:r>
          </w:p>
        </w:tc>
        <w:tc>
          <w:tcPr>
            <w:tcW w:type="dxa" w:w="1881"/>
          </w:tcPr>
          <w:p>
            <w:pPr>
              <w:jc w:val="center"/>
            </w:pPr>
            <w:r/>
            <w:r>
              <w:rPr>
                <w:rFonts w:ascii="Times New Roman" w:hAnsi="Times New Roman" w:eastAsia="宋体"/>
                <w:b w:val="0"/>
                <w:sz w:val="20"/>
              </w:rPr>
              <w:t>**62.2%**</w:t>
            </w:r>
          </w:p>
        </w:tc>
        <w:tc>
          <w:tcPr>
            <w:tcW w:type="dxa" w:w="1881"/>
          </w:tcPr>
          <w:p>
            <w:pPr>
              <w:jc w:val="center"/>
            </w:pPr>
            <w:r/>
            <w:r>
              <w:rPr>
                <w:rFonts w:ascii="Times New Roman" w:hAnsi="Times New Roman" w:eastAsia="宋体"/>
                <w:b w:val="0"/>
                <w:sz w:val="20"/>
              </w:rPr>
              <w:t>**77.2%**</w:t>
            </w:r>
          </w:p>
        </w:tc>
      </w:tr>
    </w:tbl>
    <w:p/>
    <w:p>
      <w:pPr>
        <w:spacing w:before="0" w:after="60" w:line="360" w:lineRule="auto"/>
        <w:ind w:firstLine="425"/>
      </w:pPr>
      <w:r>
        <w:rPr>
          <w:rFonts w:ascii="Times New Roman" w:hAnsi="Times New Roman" w:eastAsia="宋体"/>
          <w:b w:val="0"/>
          <w:sz w:val="24"/>
        </w:rPr>
        <w:t>模型在四个未曾训练的域上均表现出稳定的开放集检测能力（AUROC均值0.71），验证了方法的泛化性。</w:t>
      </w:r>
    </w:p>
    <w:p>
      <w:pPr>
        <w:spacing w:before="240" w:after="120" w:line="360" w:lineRule="auto"/>
      </w:pPr>
      <w:r>
        <w:rPr>
          <w:rFonts w:ascii="Times New Roman" w:hAnsi="Times New Roman" w:eastAsia="黑体"/>
          <w:b/>
          <w:sz w:val="28"/>
        </w:rPr>
        <w:t>4.6 准确率-H-score权衡分析</w:t>
      </w:r>
    </w:p>
    <w:p>
      <w:pPr>
        <w:spacing w:before="0" w:after="60" w:line="360" w:lineRule="auto"/>
        <w:ind w:firstLine="425"/>
      </w:pPr>
      <w:r>
        <w:rPr>
          <w:rFonts w:ascii="Times New Roman" w:hAnsi="Times New Roman" w:eastAsia="宋体"/>
          <w:b w:val="0"/>
          <w:sz w:val="24"/>
        </w:rPr>
        <w:t>观察到已知类准确率与H-score之间存在内在权衡：</w:t>
      </w:r>
    </w:p>
    <w:p>
      <w:pPr>
        <w:spacing w:before="0" w:after="60" w:line="360" w:lineRule="auto"/>
      </w:pPr>
      <w:r>
        <w:rPr>
          <w:rFonts w:ascii="Times New Roman" w:hAnsi="Times New Roman" w:eastAsia="宋体"/>
          <w:b w:val="0"/>
          <w:sz w:val="24"/>
        </w:rPr>
        <w:t>Epoch 15：已知类准确率70.77%，H-score 86.43%</w:t>
      </w:r>
    </w:p>
    <w:p>
      <w:pPr>
        <w:spacing w:before="0" w:after="60" w:line="360" w:lineRule="auto"/>
      </w:pPr>
      <w:r>
        <w:rPr>
          <w:rFonts w:ascii="Times New Roman" w:hAnsi="Times New Roman" w:eastAsia="宋体"/>
          <w:b w:val="0"/>
          <w:sz w:val="24"/>
        </w:rPr>
        <w:t>Epoch 35（最佳）：已知类准确率83.82%，H-score 80.72%</w:t>
      </w:r>
    </w:p>
    <w:p>
      <w:pPr>
        <w:spacing w:before="0" w:after="60" w:line="360" w:lineRule="auto"/>
      </w:pPr>
      <w:r>
        <w:rPr>
          <w:rFonts w:ascii="Times New Roman" w:hAnsi="Times New Roman" w:eastAsia="宋体"/>
          <w:b w:val="0"/>
          <w:sz w:val="24"/>
        </w:rPr>
        <w:t>数学解释：</w:t>
      </w:r>
    </w:p>
    <w:p>
      <w:pPr>
        <w:spacing w:before="0" w:after="60" w:line="360" w:lineRule="auto"/>
        <w:ind w:firstLine="425"/>
      </w:pPr>
      <w:r>
        <w:rPr>
          <w:rFonts w:ascii="Times New Roman" w:hAnsi="Times New Roman" w:eastAsia="宋体"/>
          <w:b w:val="0"/>
          <w:sz w:val="24"/>
        </w:rPr>
        <w:t>$$H = \frac{2 \times TPR \times TNR}{TPR + TNR}$$</w:t>
      </w:r>
    </w:p>
    <w:p>
      <w:pPr>
        <w:spacing w:before="0" w:after="60" w:line="360" w:lineRule="auto"/>
        <w:ind w:firstLine="425"/>
      </w:pPr>
      <w:r>
        <w:rPr>
          <w:rFonts w:ascii="Times New Roman" w:hAnsi="Times New Roman" w:eastAsia="宋体"/>
          <w:b w:val="0"/>
          <w:sz w:val="24"/>
        </w:rPr>
        <w:t>继续训练使模型对已知类判别力更强（TPR↑），但也变得更"自信"，倾向于将更多边界样本判为已知类（TNR↓）。这导致H-score不升反降。</w:t>
      </w:r>
    </w:p>
    <w:p>
      <w:pPr>
        <w:spacing w:before="0" w:after="60" w:line="360" w:lineRule="auto"/>
      </w:pPr>
      <w:r>
        <w:rPr>
          <w:rFonts w:ascii="Times New Roman" w:hAnsi="Times New Roman" w:eastAsia="宋体"/>
          <w:b w:val="0"/>
          <w:sz w:val="24"/>
        </w:rPr>
        <w:t>我们的设计选择：优先保证已知类准确率（83.82%），因为在自动驾驶、医疗诊断等实际应用中，误分类已知类（将"行人"误判为"未知障碍物"）的后果比误接受未知类更严重。同时H-score仍保持在80.72%的良好水平。</w:t>
      </w:r>
    </w:p>
    <w:p>
      <w:pPr>
        <w:spacing w:before="240" w:after="120" w:line="360" w:lineRule="auto"/>
      </w:pPr>
      <w:r>
        <w:rPr>
          <w:rFonts w:ascii="Times New Roman" w:hAnsi="Times New Roman" w:eastAsia="黑体"/>
          <w:b/>
          <w:sz w:val="28"/>
        </w:rPr>
        <w:t>4.7 可视化分析</w:t>
      </w:r>
    </w:p>
    <w:p>
      <w:pPr>
        <w:spacing w:before="120" w:after="120"/>
        <w:jc w:val="center"/>
      </w:pPr>
      <w:r>
        <w:rPr>
          <w:rFonts w:ascii="Times New Roman" w:hAnsi="Times New Roman" w:eastAsia="宋体"/>
          <w:b w:val="0"/>
          <w:color w:val="808080"/>
          <w:sz w:val="22"/>
        </w:rPr>
        <w:t>【插入图片：**t-SNE特征可视化**：经过特征解耦后，不同已知类在特征空间中形成紧凑可分的簇，未知类样本分散在簇间区域。这直观验证了解耦模块的有效性。】</w:t>
      </w:r>
    </w:p>
    <w:p>
      <w:pPr>
        <w:spacing w:before="120" w:after="120"/>
        <w:jc w:val="center"/>
      </w:pPr>
      <w:r>
        <w:rPr>
          <w:rFonts w:ascii="Times New Roman" w:hAnsi="Times New Roman" w:eastAsia="宋体"/>
          <w:b w:val="0"/>
          <w:color w:val="808080"/>
          <w:sz w:val="22"/>
        </w:rPr>
        <w:t>【插入图片：**VAE重构效果**：随着训练进行（Epoch 0→30），重构图像质量不断提升，说明VAE对已知类特征分布的学习越来越准确。未知类样本的重构误差显著高于已知类，验证了重构误差作为检测信号的可行性。】</w:t>
      </w:r>
    </w:p>
    <w:p>
      <w:r>
        <w:br w:type="page"/>
      </w:r>
    </w:p>
    <w:p>
      <w:pPr>
        <w:spacing w:before="240" w:after="120" w:line="360" w:lineRule="auto"/>
      </w:pPr>
      <w:r>
        <w:rPr>
          <w:rFonts w:ascii="Times New Roman" w:hAnsi="Times New Roman" w:eastAsia="黑体"/>
          <w:b/>
          <w:sz w:val="32"/>
        </w:rPr>
        <w:t>五、项目成果与创新点</w:t>
      </w:r>
    </w:p>
    <w:p>
      <w:pPr>
        <w:spacing w:before="240" w:after="120" w:line="360" w:lineRule="auto"/>
      </w:pPr>
      <w:r>
        <w:rPr>
          <w:rFonts w:ascii="Times New Roman" w:hAnsi="Times New Roman" w:eastAsia="黑体"/>
          <w:b/>
          <w:sz w:val="28"/>
        </w:rPr>
        <w:t>5.1 核心性能指标达成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E2F3"/>
          </w:tcPr>
          <w:p>
            <w:pPr>
              <w:jc w:val="center"/>
            </w:pPr>
            <w:r/>
            <w:r>
              <w:rPr>
                <w:rFonts w:ascii="Times New Roman" w:hAnsi="Times New Roman" w:eastAsia="宋体"/>
                <w:b/>
                <w:sz w:val="20"/>
              </w:rPr>
              <w:t>指标</w:t>
            </w:r>
          </w:p>
        </w:tc>
        <w:tc>
          <w:tcPr>
            <w:tcW w:type="dxa" w:w="1881"/>
            <w:shd w:fill="D9E2F3"/>
          </w:tcPr>
          <w:p>
            <w:pPr>
              <w:jc w:val="center"/>
            </w:pPr>
            <w:r/>
            <w:r>
              <w:rPr>
                <w:rFonts w:ascii="Times New Roman" w:hAnsi="Times New Roman" w:eastAsia="宋体"/>
                <w:b/>
                <w:sz w:val="20"/>
              </w:rPr>
              <w:t>立项目标</w:t>
            </w:r>
          </w:p>
        </w:tc>
        <w:tc>
          <w:tcPr>
            <w:tcW w:type="dxa" w:w="1881"/>
            <w:shd w:fill="D9E2F3"/>
          </w:tcPr>
          <w:p>
            <w:pPr>
              <w:jc w:val="center"/>
            </w:pPr>
            <w:r/>
            <w:r>
              <w:rPr>
                <w:rFonts w:ascii="Times New Roman" w:hAnsi="Times New Roman" w:eastAsia="宋体"/>
                <w:b/>
                <w:sz w:val="20"/>
              </w:rPr>
              <w:t>VisDA实际</w:t>
            </w:r>
          </w:p>
        </w:tc>
        <w:tc>
          <w:tcPr>
            <w:tcW w:type="dxa" w:w="1881"/>
            <w:shd w:fill="D9E2F3"/>
          </w:tcPr>
          <w:p>
            <w:pPr>
              <w:jc w:val="center"/>
            </w:pPr>
            <w:r/>
            <w:r>
              <w:rPr>
                <w:rFonts w:ascii="Times New Roman" w:hAnsi="Times New Roman" w:eastAsia="宋体"/>
                <w:b/>
                <w:sz w:val="20"/>
              </w:rPr>
              <w:t>DomainNet实际</w:t>
            </w:r>
          </w:p>
        </w:tc>
        <w:tc>
          <w:tcPr>
            <w:tcW w:type="dxa" w:w="1881"/>
            <w:shd w:fill="D9E2F3"/>
          </w:tcPr>
          <w:p>
            <w:pPr>
              <w:jc w:val="center"/>
            </w:pPr>
            <w:r/>
            <w:r>
              <w:rPr>
                <w:rFonts w:ascii="Times New Roman" w:hAnsi="Times New Roman" w:eastAsia="宋体"/>
                <w:b/>
                <w:sz w:val="20"/>
              </w:rPr>
              <w:t>达成状态</w:t>
            </w:r>
          </w:p>
        </w:tc>
      </w:tr>
      <w:tr>
        <w:tc>
          <w:tcPr>
            <w:tcW w:type="dxa" w:w="1881"/>
          </w:tcPr>
          <w:p>
            <w:pPr>
              <w:jc w:val="center"/>
            </w:pPr>
            <w:r/>
            <w:r>
              <w:rPr>
                <w:rFonts w:ascii="Times New Roman" w:hAnsi="Times New Roman" w:eastAsia="宋体"/>
                <w:b w:val="0"/>
                <w:sz w:val="20"/>
              </w:rPr>
              <w:t>已知类准确率</w:t>
            </w:r>
          </w:p>
        </w:tc>
        <w:tc>
          <w:tcPr>
            <w:tcW w:type="dxa" w:w="1881"/>
          </w:tcPr>
          <w:p>
            <w:pPr>
              <w:jc w:val="center"/>
            </w:pPr>
            <w:r/>
            <w:r>
              <w:rPr>
                <w:rFonts w:ascii="Times New Roman" w:hAnsi="Times New Roman" w:eastAsia="宋体"/>
                <w:b w:val="0"/>
                <w:sz w:val="20"/>
              </w:rPr>
              <w:t>≥76.5%</w:t>
            </w:r>
          </w:p>
        </w:tc>
        <w:tc>
          <w:tcPr>
            <w:tcW w:type="dxa" w:w="1881"/>
          </w:tcPr>
          <w:p>
            <w:pPr>
              <w:jc w:val="center"/>
            </w:pPr>
            <w:r/>
            <w:r>
              <w:rPr>
                <w:rFonts w:ascii="Times New Roman" w:hAnsi="Times New Roman" w:eastAsia="宋体"/>
                <w:b w:val="0"/>
                <w:sz w:val="20"/>
              </w:rPr>
              <w:t>**83.82%**</w:t>
            </w:r>
          </w:p>
        </w:tc>
        <w:tc>
          <w:tcPr>
            <w:tcW w:type="dxa" w:w="1881"/>
          </w:tcPr>
          <w:p>
            <w:pPr>
              <w:jc w:val="center"/>
            </w:pPr>
            <w:r/>
            <w:r>
              <w:rPr>
                <w:rFonts w:ascii="Times New Roman" w:hAnsi="Times New Roman" w:eastAsia="宋体"/>
                <w:b w:val="0"/>
                <w:sz w:val="20"/>
              </w:rPr>
              <w:t>85.90%</w:t>
            </w:r>
          </w:p>
        </w:tc>
        <w:tc>
          <w:tcPr>
            <w:tcW w:type="dxa" w:w="1881"/>
          </w:tcPr>
          <w:p>
            <w:pPr>
              <w:jc w:val="center"/>
            </w:pPr>
            <w:r/>
            <w:r>
              <w:rPr>
                <w:rFonts w:ascii="Times New Roman" w:hAnsi="Times New Roman" w:eastAsia="宋体"/>
                <w:b w:val="0"/>
                <w:sz w:val="20"/>
              </w:rPr>
              <w:t>✅ 超额</w:t>
            </w:r>
          </w:p>
        </w:tc>
      </w:tr>
      <w:tr>
        <w:tc>
          <w:tcPr>
            <w:tcW w:type="dxa" w:w="1881"/>
          </w:tcPr>
          <w:p>
            <w:pPr>
              <w:jc w:val="center"/>
            </w:pPr>
            <w:r/>
            <w:r>
              <w:rPr>
                <w:rFonts w:ascii="Times New Roman" w:hAnsi="Times New Roman" w:eastAsia="宋体"/>
                <w:b w:val="0"/>
                <w:sz w:val="20"/>
              </w:rPr>
              <w:t>AUROC</w:t>
            </w:r>
          </w:p>
        </w:tc>
        <w:tc>
          <w:tcPr>
            <w:tcW w:type="dxa" w:w="1881"/>
          </w:tcPr>
          <w:p>
            <w:pPr>
              <w:jc w:val="center"/>
            </w:pPr>
            <w:r/>
            <w:r>
              <w:rPr>
                <w:rFonts w:ascii="Times New Roman" w:hAnsi="Times New Roman" w:eastAsia="宋体"/>
                <w:b w:val="0"/>
                <w:sz w:val="20"/>
              </w:rPr>
              <w:t>≥75%</w:t>
            </w:r>
          </w:p>
        </w:tc>
        <w:tc>
          <w:tcPr>
            <w:tcW w:type="dxa" w:w="1881"/>
          </w:tcPr>
          <w:p>
            <w:pPr>
              <w:jc w:val="center"/>
            </w:pPr>
            <w:r/>
            <w:r>
              <w:rPr>
                <w:rFonts w:ascii="Times New Roman" w:hAnsi="Times New Roman" w:eastAsia="宋体"/>
                <w:b w:val="0"/>
                <w:sz w:val="20"/>
              </w:rPr>
              <w:t>**86.19%**</w:t>
            </w:r>
          </w:p>
        </w:tc>
        <w:tc>
          <w:tcPr>
            <w:tcW w:type="dxa" w:w="1881"/>
          </w:tcPr>
          <w:p>
            <w:pPr>
              <w:jc w:val="center"/>
            </w:pPr>
            <w:r/>
            <w:r>
              <w:rPr>
                <w:rFonts w:ascii="Times New Roman" w:hAnsi="Times New Roman" w:eastAsia="宋体"/>
                <w:b w:val="0"/>
                <w:sz w:val="20"/>
              </w:rPr>
              <w:t>**96.37%**</w:t>
            </w:r>
          </w:p>
        </w:tc>
        <w:tc>
          <w:tcPr>
            <w:tcW w:type="dxa" w:w="1881"/>
          </w:tcPr>
          <w:p>
            <w:pPr>
              <w:jc w:val="center"/>
            </w:pPr>
            <w:r/>
            <w:r>
              <w:rPr>
                <w:rFonts w:ascii="Times New Roman" w:hAnsi="Times New Roman" w:eastAsia="宋体"/>
                <w:b w:val="0"/>
                <w:sz w:val="20"/>
              </w:rPr>
              <w:t>✅ 超额</w:t>
            </w:r>
          </w:p>
        </w:tc>
      </w:tr>
      <w:tr>
        <w:tc>
          <w:tcPr>
            <w:tcW w:type="dxa" w:w="1881"/>
          </w:tcPr>
          <w:p>
            <w:pPr>
              <w:jc w:val="center"/>
            </w:pPr>
            <w:r/>
            <w:r>
              <w:rPr>
                <w:rFonts w:ascii="Times New Roman" w:hAnsi="Times New Roman" w:eastAsia="宋体"/>
                <w:b w:val="0"/>
                <w:sz w:val="20"/>
              </w:rPr>
              <w:t>H-score</w:t>
            </w:r>
          </w:p>
        </w:tc>
        <w:tc>
          <w:tcPr>
            <w:tcW w:type="dxa" w:w="1881"/>
          </w:tcPr>
          <w:p>
            <w:pPr>
              <w:jc w:val="center"/>
            </w:pPr>
            <w:r/>
            <w:r>
              <w:rPr>
                <w:rFonts w:ascii="Times New Roman" w:hAnsi="Times New Roman" w:eastAsia="宋体"/>
                <w:b w:val="0"/>
                <w:sz w:val="20"/>
              </w:rPr>
              <w:t>≥65%</w:t>
            </w:r>
          </w:p>
        </w:tc>
        <w:tc>
          <w:tcPr>
            <w:tcW w:type="dxa" w:w="1881"/>
          </w:tcPr>
          <w:p>
            <w:pPr>
              <w:jc w:val="center"/>
            </w:pPr>
            <w:r/>
            <w:r>
              <w:rPr>
                <w:rFonts w:ascii="Times New Roman" w:hAnsi="Times New Roman" w:eastAsia="宋体"/>
                <w:b w:val="0"/>
                <w:sz w:val="20"/>
              </w:rPr>
              <w:t>**80.72%**</w:t>
            </w:r>
          </w:p>
        </w:tc>
        <w:tc>
          <w:tcPr>
            <w:tcW w:type="dxa" w:w="1881"/>
          </w:tcPr>
          <w:p>
            <w:pPr>
              <w:jc w:val="center"/>
            </w:pPr>
            <w:r/>
            <w:r>
              <w:rPr>
                <w:rFonts w:ascii="Times New Roman" w:hAnsi="Times New Roman" w:eastAsia="宋体"/>
                <w:b w:val="0"/>
                <w:sz w:val="20"/>
              </w:rPr>
              <w:t>**91.90%**</w:t>
            </w:r>
          </w:p>
        </w:tc>
        <w:tc>
          <w:tcPr>
            <w:tcW w:type="dxa" w:w="1881"/>
          </w:tcPr>
          <w:p>
            <w:pPr>
              <w:jc w:val="center"/>
            </w:pPr>
            <w:r/>
            <w:r>
              <w:rPr>
                <w:rFonts w:ascii="Times New Roman" w:hAnsi="Times New Roman" w:eastAsia="宋体"/>
                <w:b w:val="0"/>
                <w:sz w:val="20"/>
              </w:rPr>
              <w:t>✅ 超额</w:t>
            </w:r>
          </w:p>
        </w:tc>
      </w:tr>
      <w:tr>
        <w:tc>
          <w:tcPr>
            <w:tcW w:type="dxa" w:w="1881"/>
          </w:tcPr>
          <w:p>
            <w:pPr>
              <w:jc w:val="center"/>
            </w:pPr>
            <w:r/>
            <w:r>
              <w:rPr>
                <w:rFonts w:ascii="Times New Roman" w:hAnsi="Times New Roman" w:eastAsia="宋体"/>
                <w:b w:val="0"/>
                <w:sz w:val="20"/>
              </w:rPr>
              <w:t>正交性得分</w:t>
            </w:r>
          </w:p>
        </w:tc>
        <w:tc>
          <w:tcPr>
            <w:tcW w:type="dxa" w:w="1881"/>
          </w:tcPr>
          <w:p>
            <w:pPr>
              <w:jc w:val="center"/>
            </w:pPr>
            <w:r/>
            <w:r>
              <w:rPr>
                <w:rFonts w:ascii="Times New Roman" w:hAnsi="Times New Roman" w:eastAsia="宋体"/>
                <w:b w:val="0"/>
                <w:sz w:val="20"/>
              </w:rPr>
              <w:t>≤0.3</w:t>
            </w:r>
          </w:p>
        </w:tc>
        <w:tc>
          <w:tcPr>
            <w:tcW w:type="dxa" w:w="1881"/>
          </w:tcPr>
          <w:p>
            <w:pPr>
              <w:jc w:val="center"/>
            </w:pPr>
            <w:r/>
            <w:r>
              <w:rPr>
                <w:rFonts w:ascii="Times New Roman" w:hAnsi="Times New Roman" w:eastAsia="宋体"/>
                <w:b w:val="0"/>
                <w:sz w:val="20"/>
              </w:rPr>
              <w:t>**0.0913**</w:t>
            </w:r>
          </w:p>
        </w:tc>
        <w:tc>
          <w:tcPr>
            <w:tcW w:type="dxa" w:w="1881"/>
          </w:tcPr>
          <w:p>
            <w:pPr>
              <w:jc w:val="center"/>
            </w:pPr>
            <w:r/>
            <w:r>
              <w:rPr>
                <w:rFonts w:ascii="Times New Roman" w:hAnsi="Times New Roman" w:eastAsia="宋体"/>
                <w:b w:val="0"/>
                <w:sz w:val="20"/>
              </w:rPr>
              <w:t>-</w:t>
            </w:r>
          </w:p>
        </w:tc>
        <w:tc>
          <w:tcPr>
            <w:tcW w:type="dxa" w:w="1881"/>
          </w:tcPr>
          <w:p>
            <w:pPr>
              <w:jc w:val="center"/>
            </w:pPr>
            <w:r/>
            <w:r>
              <w:rPr>
                <w:rFonts w:ascii="Times New Roman" w:hAnsi="Times New Roman" w:eastAsia="宋体"/>
                <w:b w:val="0"/>
                <w:sz w:val="20"/>
              </w:rPr>
              <w:t>✅ 远超</w:t>
            </w:r>
          </w:p>
        </w:tc>
      </w:tr>
    </w:tbl>
    <w:p/>
    <w:p>
      <w:pPr>
        <w:spacing w:before="240" w:after="120" w:line="360" w:lineRule="auto"/>
      </w:pPr>
      <w:r>
        <w:rPr>
          <w:rFonts w:ascii="Times New Roman" w:hAnsi="Times New Roman" w:eastAsia="黑体"/>
          <w:b/>
          <w:sz w:val="28"/>
        </w:rPr>
        <w:t>5.2 四大创新点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35"/>
        <w:gridCol w:w="3135"/>
        <w:gridCol w:w="3135"/>
      </w:tblGrid>
      <w:tr>
        <w:tc>
          <w:tcPr>
            <w:tcW w:type="dxa" w:w="3135"/>
            <w:shd w:fill="D9E2F3"/>
          </w:tcPr>
          <w:p>
            <w:pPr>
              <w:jc w:val="center"/>
            </w:pPr>
            <w:r/>
            <w:r>
              <w:rPr>
                <w:rFonts w:ascii="Times New Roman" w:hAnsi="Times New Roman" w:eastAsia="宋体"/>
                <w:b/>
                <w:sz w:val="20"/>
              </w:rPr>
              <w:t>创新点</w:t>
            </w:r>
          </w:p>
        </w:tc>
        <w:tc>
          <w:tcPr>
            <w:tcW w:type="dxa" w:w="3135"/>
            <w:shd w:fill="D9E2F3"/>
          </w:tcPr>
          <w:p>
            <w:pPr>
              <w:jc w:val="center"/>
            </w:pPr>
            <w:r/>
            <w:r>
              <w:rPr>
                <w:rFonts w:ascii="Times New Roman" w:hAnsi="Times New Roman" w:eastAsia="宋体"/>
                <w:b/>
                <w:sz w:val="20"/>
              </w:rPr>
              <w:t>类型</w:t>
            </w:r>
          </w:p>
        </w:tc>
        <w:tc>
          <w:tcPr>
            <w:tcW w:type="dxa" w:w="3135"/>
            <w:shd w:fill="D9E2F3"/>
          </w:tcPr>
          <w:p>
            <w:pPr>
              <w:jc w:val="center"/>
            </w:pPr>
            <w:r/>
            <w:r>
              <w:rPr>
                <w:rFonts w:ascii="Times New Roman" w:hAnsi="Times New Roman" w:eastAsia="宋体"/>
                <w:b/>
                <w:sz w:val="20"/>
              </w:rPr>
              <w:t>技术贡献</w:t>
            </w:r>
          </w:p>
        </w:tc>
      </w:tr>
      <w:tr>
        <w:tc>
          <w:tcPr>
            <w:tcW w:type="dxa" w:w="3135"/>
          </w:tcPr>
          <w:p>
            <w:pPr>
              <w:jc w:val="center"/>
            </w:pPr>
            <w:r/>
            <w:r>
              <w:rPr>
                <w:rFonts w:ascii="Times New Roman" w:hAnsi="Times New Roman" w:eastAsia="宋体"/>
                <w:b w:val="0"/>
                <w:sz w:val="20"/>
              </w:rPr>
              <w:t>动态梯度反转层（DGRL）</w:t>
            </w:r>
          </w:p>
        </w:tc>
        <w:tc>
          <w:tcPr>
            <w:tcW w:type="dxa" w:w="3135"/>
          </w:tcPr>
          <w:p>
            <w:pPr>
              <w:jc w:val="center"/>
            </w:pPr>
            <w:r/>
            <w:r>
              <w:rPr>
                <w:rFonts w:ascii="Times New Roman" w:hAnsi="Times New Roman" w:eastAsia="宋体"/>
                <w:b w:val="0"/>
                <w:sz w:val="20"/>
              </w:rPr>
              <w:t>技术创新</w:t>
            </w:r>
          </w:p>
        </w:tc>
        <w:tc>
          <w:tcPr>
            <w:tcW w:type="dxa" w:w="3135"/>
          </w:tcPr>
          <w:p>
            <w:pPr>
              <w:jc w:val="center"/>
            </w:pPr>
            <w:r/>
            <w:r>
              <w:rPr>
                <w:rFonts w:ascii="Times New Roman" w:hAnsi="Times New Roman" w:eastAsia="宋体"/>
                <w:b w:val="0"/>
                <w:sz w:val="20"/>
              </w:rPr>
              <w:t>自适应域对齐，平衡对抗与分类</w:t>
            </w:r>
          </w:p>
        </w:tc>
      </w:tr>
      <w:tr>
        <w:tc>
          <w:tcPr>
            <w:tcW w:type="dxa" w:w="3135"/>
          </w:tcPr>
          <w:p>
            <w:pPr>
              <w:jc w:val="center"/>
            </w:pPr>
            <w:r/>
            <w:r>
              <w:rPr>
                <w:rFonts w:ascii="Times New Roman" w:hAnsi="Times New Roman" w:eastAsia="宋体"/>
                <w:b w:val="0"/>
                <w:sz w:val="20"/>
              </w:rPr>
              <w:t>双分支特征解耦</w:t>
            </w:r>
          </w:p>
        </w:tc>
        <w:tc>
          <w:tcPr>
            <w:tcW w:type="dxa" w:w="3135"/>
          </w:tcPr>
          <w:p>
            <w:pPr>
              <w:jc w:val="center"/>
            </w:pPr>
            <w:r/>
            <w:r>
              <w:rPr>
                <w:rFonts w:ascii="Times New Roman" w:hAnsi="Times New Roman" w:eastAsia="宋体"/>
                <w:b w:val="0"/>
                <w:sz w:val="20"/>
              </w:rPr>
              <w:t>技术创新</w:t>
            </w:r>
          </w:p>
        </w:tc>
        <w:tc>
          <w:tcPr>
            <w:tcW w:type="dxa" w:w="3135"/>
          </w:tcPr>
          <w:p>
            <w:pPr>
              <w:jc w:val="center"/>
            </w:pPr>
            <w:r/>
            <w:r>
              <w:rPr>
                <w:rFonts w:ascii="Times New Roman" w:hAnsi="Times New Roman" w:eastAsia="宋体"/>
                <w:b w:val="0"/>
                <w:sz w:val="20"/>
              </w:rPr>
              <w:t>正交约束分离类别/域信息，正交得分0.0913</w:t>
            </w:r>
          </w:p>
        </w:tc>
      </w:tr>
      <w:tr>
        <w:tc>
          <w:tcPr>
            <w:tcW w:type="dxa" w:w="3135"/>
          </w:tcPr>
          <w:p>
            <w:pPr>
              <w:jc w:val="center"/>
            </w:pPr>
            <w:r/>
            <w:r>
              <w:rPr>
                <w:rFonts w:ascii="Times New Roman" w:hAnsi="Times New Roman" w:eastAsia="宋体"/>
                <w:b w:val="0"/>
                <w:sz w:val="20"/>
              </w:rPr>
              <w:t>VAE重构辅助检测</w:t>
            </w:r>
          </w:p>
        </w:tc>
        <w:tc>
          <w:tcPr>
            <w:tcW w:type="dxa" w:w="3135"/>
          </w:tcPr>
          <w:p>
            <w:pPr>
              <w:jc w:val="center"/>
            </w:pPr>
            <w:r/>
            <w:r>
              <w:rPr>
                <w:rFonts w:ascii="Times New Roman" w:hAnsi="Times New Roman" w:eastAsia="宋体"/>
                <w:b w:val="0"/>
                <w:sz w:val="20"/>
              </w:rPr>
              <w:t>技术创新</w:t>
            </w:r>
          </w:p>
        </w:tc>
        <w:tc>
          <w:tcPr>
            <w:tcW w:type="dxa" w:w="3135"/>
          </w:tcPr>
          <w:p>
            <w:pPr>
              <w:jc w:val="center"/>
            </w:pPr>
            <w:r/>
            <w:r>
              <w:rPr>
                <w:rFonts w:ascii="Times New Roman" w:hAnsi="Times New Roman" w:eastAsia="宋体"/>
                <w:b w:val="0"/>
                <w:sz w:val="20"/>
              </w:rPr>
              <w:t>生成模型提供独立异常信号</w:t>
            </w:r>
          </w:p>
        </w:tc>
      </w:tr>
      <w:tr>
        <w:tc>
          <w:tcPr>
            <w:tcW w:type="dxa" w:w="3135"/>
          </w:tcPr>
          <w:p>
            <w:pPr>
              <w:jc w:val="center"/>
            </w:pPr>
            <w:r/>
            <w:r>
              <w:rPr>
                <w:rFonts w:ascii="Times New Roman" w:hAnsi="Times New Roman" w:eastAsia="宋体"/>
                <w:b w:val="0"/>
                <w:sz w:val="20"/>
              </w:rPr>
              <w:t>四源融合检测策略</w:t>
            </w:r>
          </w:p>
        </w:tc>
        <w:tc>
          <w:tcPr>
            <w:tcW w:type="dxa" w:w="3135"/>
          </w:tcPr>
          <w:p>
            <w:pPr>
              <w:jc w:val="center"/>
            </w:pPr>
            <w:r/>
            <w:r>
              <w:rPr>
                <w:rFonts w:ascii="Times New Roman" w:hAnsi="Times New Roman" w:eastAsia="宋体"/>
                <w:b w:val="0"/>
                <w:sz w:val="20"/>
              </w:rPr>
              <w:t>工程创新</w:t>
            </w:r>
          </w:p>
        </w:tc>
        <w:tc>
          <w:tcPr>
            <w:tcW w:type="dxa" w:w="3135"/>
          </w:tcPr>
          <w:p>
            <w:pPr>
              <w:jc w:val="center"/>
            </w:pPr>
            <w:r/>
            <w:r>
              <w:rPr>
                <w:rFonts w:ascii="Times New Roman" w:hAnsi="Times New Roman" w:eastAsia="宋体"/>
                <w:b w:val="0"/>
                <w:sz w:val="20"/>
              </w:rPr>
              <w:t>多维度信息协同，AUROC提升48.4%</w:t>
            </w:r>
          </w:p>
        </w:tc>
      </w:tr>
    </w:tbl>
    <w:p/>
    <w:p>
      <w:pPr>
        <w:spacing w:before="240" w:after="120" w:line="360" w:lineRule="auto"/>
      </w:pPr>
      <w:r>
        <w:rPr>
          <w:rFonts w:ascii="Times New Roman" w:hAnsi="Times New Roman" w:eastAsia="黑体"/>
          <w:b/>
          <w:sz w:val="28"/>
        </w:rPr>
        <w:t>5.3 知识产权</w:t>
      </w:r>
    </w:p>
    <w:p>
      <w:pPr>
        <w:spacing w:before="0" w:after="60" w:line="360" w:lineRule="auto"/>
        <w:ind w:firstLine="425"/>
      </w:pPr>
      <w:r>
        <w:rPr>
          <w:rFonts w:ascii="Times New Roman" w:hAnsi="Times New Roman" w:eastAsia="宋体"/>
          <w:b w:val="0"/>
          <w:sz w:val="24"/>
        </w:rPr>
        <w:t>国家发明专利已受理：</w:t>
      </w:r>
    </w:p>
    <w:p>
      <w:pPr>
        <w:spacing w:before="0" w:after="60" w:line="360" w:lineRule="auto"/>
      </w:pPr>
      <w:r>
        <w:rPr>
          <w:rFonts w:ascii="Times New Roman" w:hAnsi="Times New Roman" w:eastAsia="宋体"/>
          <w:b w:val="0"/>
          <w:sz w:val="24"/>
        </w:rPr>
        <w:t>申请号：202610279677.6</w:t>
      </w:r>
    </w:p>
    <w:p>
      <w:pPr>
        <w:spacing w:before="0" w:after="60" w:line="360" w:lineRule="auto"/>
      </w:pPr>
      <w:r>
        <w:rPr>
          <w:rFonts w:ascii="Times New Roman" w:hAnsi="Times New Roman" w:eastAsia="宋体"/>
          <w:b w:val="0"/>
          <w:sz w:val="24"/>
        </w:rPr>
        <w:t>名称：基于特征解耦与重构辅助的开放集域适应方法及系统</w:t>
      </w:r>
    </w:p>
    <w:p>
      <w:pPr>
        <w:spacing w:before="0" w:after="60" w:line="360" w:lineRule="auto"/>
      </w:pPr>
      <w:r>
        <w:rPr>
          <w:rFonts w:ascii="Times New Roman" w:hAnsi="Times New Roman" w:eastAsia="宋体"/>
          <w:b w:val="0"/>
          <w:sz w:val="24"/>
        </w:rPr>
        <w:t>状态：已受理</w:t>
      </w:r>
    </w:p>
    <w:p>
      <w:pPr>
        <w:spacing w:before="240" w:after="120" w:line="360" w:lineRule="auto"/>
      </w:pPr>
      <w:r>
        <w:rPr>
          <w:rFonts w:ascii="Times New Roman" w:hAnsi="Times New Roman" w:eastAsia="黑体"/>
          <w:b/>
          <w:sz w:val="28"/>
        </w:rPr>
        <w:t>5.4 阶段任务完成率</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D9E2F3"/>
          </w:tcPr>
          <w:p>
            <w:pPr>
              <w:jc w:val="center"/>
            </w:pPr>
            <w:r/>
            <w:r>
              <w:rPr>
                <w:rFonts w:ascii="Times New Roman" w:hAnsi="Times New Roman" w:eastAsia="宋体"/>
                <w:b/>
                <w:sz w:val="20"/>
              </w:rPr>
              <w:t>阶段</w:t>
            </w:r>
          </w:p>
        </w:tc>
        <w:tc>
          <w:tcPr>
            <w:tcW w:type="dxa" w:w="2351"/>
            <w:shd w:fill="D9E2F3"/>
          </w:tcPr>
          <w:p>
            <w:pPr>
              <w:jc w:val="center"/>
            </w:pPr>
            <w:r/>
            <w:r>
              <w:rPr>
                <w:rFonts w:ascii="Times New Roman" w:hAnsi="Times New Roman" w:eastAsia="宋体"/>
                <w:b/>
                <w:sz w:val="20"/>
              </w:rPr>
              <w:t>任务数</w:t>
            </w:r>
          </w:p>
        </w:tc>
        <w:tc>
          <w:tcPr>
            <w:tcW w:type="dxa" w:w="2351"/>
            <w:shd w:fill="D9E2F3"/>
          </w:tcPr>
          <w:p>
            <w:pPr>
              <w:jc w:val="center"/>
            </w:pPr>
            <w:r/>
            <w:r>
              <w:rPr>
                <w:rFonts w:ascii="Times New Roman" w:hAnsi="Times New Roman" w:eastAsia="宋体"/>
                <w:b/>
                <w:sz w:val="20"/>
              </w:rPr>
              <w:t>已完成</w:t>
            </w:r>
          </w:p>
        </w:tc>
        <w:tc>
          <w:tcPr>
            <w:tcW w:type="dxa" w:w="2351"/>
            <w:shd w:fill="D9E2F3"/>
          </w:tcPr>
          <w:p>
            <w:pPr>
              <w:jc w:val="center"/>
            </w:pPr>
            <w:r/>
            <w:r>
              <w:rPr>
                <w:rFonts w:ascii="Times New Roman" w:hAnsi="Times New Roman" w:eastAsia="宋体"/>
                <w:b/>
                <w:sz w:val="20"/>
              </w:rPr>
              <w:t>完成率</w:t>
            </w:r>
          </w:p>
        </w:tc>
      </w:tr>
      <w:tr>
        <w:tc>
          <w:tcPr>
            <w:tcW w:type="dxa" w:w="2351"/>
          </w:tcPr>
          <w:p>
            <w:pPr>
              <w:jc w:val="center"/>
            </w:pPr>
            <w:r/>
            <w:r>
              <w:rPr>
                <w:rFonts w:ascii="Times New Roman" w:hAnsi="Times New Roman" w:eastAsia="宋体"/>
                <w:b w:val="0"/>
                <w:sz w:val="20"/>
              </w:rPr>
              <w:t>数据准备（2025.05-07）</w:t>
            </w:r>
          </w:p>
        </w:tc>
        <w:tc>
          <w:tcPr>
            <w:tcW w:type="dxa" w:w="2351"/>
          </w:tcPr>
          <w:p>
            <w:pPr>
              <w:jc w:val="center"/>
            </w:pPr>
            <w:r/>
            <w:r>
              <w:rPr>
                <w:rFonts w:ascii="Times New Roman" w:hAnsi="Times New Roman" w:eastAsia="宋体"/>
                <w:b w:val="0"/>
                <w:sz w:val="20"/>
              </w:rPr>
              <w:t>5</w:t>
            </w:r>
          </w:p>
        </w:tc>
        <w:tc>
          <w:tcPr>
            <w:tcW w:type="dxa" w:w="2351"/>
          </w:tcPr>
          <w:p>
            <w:pPr>
              <w:jc w:val="center"/>
            </w:pPr>
            <w:r/>
            <w:r>
              <w:rPr>
                <w:rFonts w:ascii="Times New Roman" w:hAnsi="Times New Roman" w:eastAsia="宋体"/>
                <w:b w:val="0"/>
                <w:sz w:val="20"/>
              </w:rPr>
              <w:t>5</w:t>
            </w:r>
          </w:p>
        </w:tc>
        <w:tc>
          <w:tcPr>
            <w:tcW w:type="dxa" w:w="2351"/>
          </w:tcPr>
          <w:p>
            <w:pPr>
              <w:jc w:val="center"/>
            </w:pPr>
            <w:r/>
            <w:r>
              <w:rPr>
                <w:rFonts w:ascii="Times New Roman" w:hAnsi="Times New Roman" w:eastAsia="宋体"/>
                <w:b w:val="0"/>
                <w:sz w:val="20"/>
              </w:rPr>
              <w:t>100%</w:t>
            </w:r>
          </w:p>
        </w:tc>
      </w:tr>
      <w:tr>
        <w:tc>
          <w:tcPr>
            <w:tcW w:type="dxa" w:w="2351"/>
          </w:tcPr>
          <w:p>
            <w:pPr>
              <w:jc w:val="center"/>
            </w:pPr>
            <w:r/>
            <w:r>
              <w:rPr>
                <w:rFonts w:ascii="Times New Roman" w:hAnsi="Times New Roman" w:eastAsia="宋体"/>
                <w:b w:val="0"/>
                <w:sz w:val="20"/>
              </w:rPr>
              <w:t>特征解耦开发（2025.08-10）</w:t>
            </w:r>
          </w:p>
        </w:tc>
        <w:tc>
          <w:tcPr>
            <w:tcW w:type="dxa" w:w="2351"/>
          </w:tcPr>
          <w:p>
            <w:pPr>
              <w:jc w:val="center"/>
            </w:pPr>
            <w:r/>
            <w:r>
              <w:rPr>
                <w:rFonts w:ascii="Times New Roman" w:hAnsi="Times New Roman" w:eastAsia="宋体"/>
                <w:b w:val="0"/>
                <w:sz w:val="20"/>
              </w:rPr>
              <w:t>7</w:t>
            </w:r>
          </w:p>
        </w:tc>
        <w:tc>
          <w:tcPr>
            <w:tcW w:type="dxa" w:w="2351"/>
          </w:tcPr>
          <w:p>
            <w:pPr>
              <w:jc w:val="center"/>
            </w:pPr>
            <w:r/>
            <w:r>
              <w:rPr>
                <w:rFonts w:ascii="Times New Roman" w:hAnsi="Times New Roman" w:eastAsia="宋体"/>
                <w:b w:val="0"/>
                <w:sz w:val="20"/>
              </w:rPr>
              <w:t>7</w:t>
            </w:r>
          </w:p>
        </w:tc>
        <w:tc>
          <w:tcPr>
            <w:tcW w:type="dxa" w:w="2351"/>
          </w:tcPr>
          <w:p>
            <w:pPr>
              <w:jc w:val="center"/>
            </w:pPr>
            <w:r/>
            <w:r>
              <w:rPr>
                <w:rFonts w:ascii="Times New Roman" w:hAnsi="Times New Roman" w:eastAsia="宋体"/>
                <w:b w:val="0"/>
                <w:sz w:val="20"/>
              </w:rPr>
              <w:t>100%</w:t>
            </w:r>
          </w:p>
        </w:tc>
      </w:tr>
      <w:tr>
        <w:tc>
          <w:tcPr>
            <w:tcW w:type="dxa" w:w="2351"/>
          </w:tcPr>
          <w:p>
            <w:pPr>
              <w:jc w:val="center"/>
            </w:pPr>
            <w:r/>
            <w:r>
              <w:rPr>
                <w:rFonts w:ascii="Times New Roman" w:hAnsi="Times New Roman" w:eastAsia="宋体"/>
                <w:b w:val="0"/>
                <w:sz w:val="20"/>
              </w:rPr>
              <w:t>重构联合训练（2025.11-2026.01）</w:t>
            </w:r>
          </w:p>
        </w:tc>
        <w:tc>
          <w:tcPr>
            <w:tcW w:type="dxa" w:w="2351"/>
          </w:tcPr>
          <w:p>
            <w:pPr>
              <w:jc w:val="center"/>
            </w:pPr>
            <w:r/>
            <w:r>
              <w:rPr>
                <w:rFonts w:ascii="Times New Roman" w:hAnsi="Times New Roman" w:eastAsia="宋体"/>
                <w:b w:val="0"/>
                <w:sz w:val="20"/>
              </w:rPr>
              <w:t>6</w:t>
            </w:r>
          </w:p>
        </w:tc>
        <w:tc>
          <w:tcPr>
            <w:tcW w:type="dxa" w:w="2351"/>
          </w:tcPr>
          <w:p>
            <w:pPr>
              <w:jc w:val="center"/>
            </w:pPr>
            <w:r/>
            <w:r>
              <w:rPr>
                <w:rFonts w:ascii="Times New Roman" w:hAnsi="Times New Roman" w:eastAsia="宋体"/>
                <w:b w:val="0"/>
                <w:sz w:val="20"/>
              </w:rPr>
              <w:t>6</w:t>
            </w:r>
          </w:p>
        </w:tc>
        <w:tc>
          <w:tcPr>
            <w:tcW w:type="dxa" w:w="2351"/>
          </w:tcPr>
          <w:p>
            <w:pPr>
              <w:jc w:val="center"/>
            </w:pPr>
            <w:r/>
            <w:r>
              <w:rPr>
                <w:rFonts w:ascii="Times New Roman" w:hAnsi="Times New Roman" w:eastAsia="宋体"/>
                <w:b w:val="0"/>
                <w:sz w:val="20"/>
              </w:rPr>
              <w:t>100%</w:t>
            </w:r>
          </w:p>
        </w:tc>
      </w:tr>
      <w:tr>
        <w:tc>
          <w:tcPr>
            <w:tcW w:type="dxa" w:w="2351"/>
          </w:tcPr>
          <w:p>
            <w:pPr>
              <w:jc w:val="center"/>
            </w:pPr>
            <w:r/>
            <w:r>
              <w:rPr>
                <w:rFonts w:ascii="Times New Roman" w:hAnsi="Times New Roman" w:eastAsia="宋体"/>
                <w:b w:val="0"/>
                <w:sz w:val="20"/>
              </w:rPr>
              <w:t>系统验证优化（2026.02-03）</w:t>
            </w:r>
          </w:p>
        </w:tc>
        <w:tc>
          <w:tcPr>
            <w:tcW w:type="dxa" w:w="2351"/>
          </w:tcPr>
          <w:p>
            <w:pPr>
              <w:jc w:val="center"/>
            </w:pPr>
            <w:r/>
            <w:r>
              <w:rPr>
                <w:rFonts w:ascii="Times New Roman" w:hAnsi="Times New Roman" w:eastAsia="宋体"/>
                <w:b w:val="0"/>
                <w:sz w:val="20"/>
              </w:rPr>
              <w:t>6</w:t>
            </w:r>
          </w:p>
        </w:tc>
        <w:tc>
          <w:tcPr>
            <w:tcW w:type="dxa" w:w="2351"/>
          </w:tcPr>
          <w:p>
            <w:pPr>
              <w:jc w:val="center"/>
            </w:pPr>
            <w:r/>
            <w:r>
              <w:rPr>
                <w:rFonts w:ascii="Times New Roman" w:hAnsi="Times New Roman" w:eastAsia="宋体"/>
                <w:b w:val="0"/>
                <w:sz w:val="20"/>
              </w:rPr>
              <w:t>6</w:t>
            </w:r>
          </w:p>
        </w:tc>
        <w:tc>
          <w:tcPr>
            <w:tcW w:type="dxa" w:w="2351"/>
          </w:tcPr>
          <w:p>
            <w:pPr>
              <w:jc w:val="center"/>
            </w:pPr>
            <w:r/>
            <w:r>
              <w:rPr>
                <w:rFonts w:ascii="Times New Roman" w:hAnsi="Times New Roman" w:eastAsia="宋体"/>
                <w:b w:val="0"/>
                <w:sz w:val="20"/>
              </w:rPr>
              <w:t>100%</w:t>
            </w:r>
          </w:p>
        </w:tc>
      </w:tr>
      <w:tr>
        <w:tc>
          <w:tcPr>
            <w:tcW w:type="dxa" w:w="2351"/>
          </w:tcPr>
          <w:p>
            <w:pPr>
              <w:jc w:val="center"/>
            </w:pPr>
            <w:r/>
            <w:r>
              <w:rPr>
                <w:rFonts w:ascii="Times New Roman" w:hAnsi="Times New Roman" w:eastAsia="宋体"/>
                <w:b w:val="0"/>
                <w:sz w:val="20"/>
              </w:rPr>
              <w:t>**总计**</w:t>
            </w:r>
          </w:p>
        </w:tc>
        <w:tc>
          <w:tcPr>
            <w:tcW w:type="dxa" w:w="2351"/>
          </w:tcPr>
          <w:p>
            <w:pPr>
              <w:jc w:val="center"/>
            </w:pPr>
            <w:r/>
            <w:r>
              <w:rPr>
                <w:rFonts w:ascii="Times New Roman" w:hAnsi="Times New Roman" w:eastAsia="宋体"/>
                <w:b w:val="0"/>
                <w:sz w:val="20"/>
              </w:rPr>
              <w:t>**24**</w:t>
            </w:r>
          </w:p>
        </w:tc>
        <w:tc>
          <w:tcPr>
            <w:tcW w:type="dxa" w:w="2351"/>
          </w:tcPr>
          <w:p>
            <w:pPr>
              <w:jc w:val="center"/>
            </w:pPr>
            <w:r/>
            <w:r>
              <w:rPr>
                <w:rFonts w:ascii="Times New Roman" w:hAnsi="Times New Roman" w:eastAsia="宋体"/>
                <w:b w:val="0"/>
                <w:sz w:val="20"/>
              </w:rPr>
              <w:t>**24**</w:t>
            </w:r>
          </w:p>
        </w:tc>
        <w:tc>
          <w:tcPr>
            <w:tcW w:type="dxa" w:w="2351"/>
          </w:tcPr>
          <w:p>
            <w:pPr>
              <w:jc w:val="center"/>
            </w:pPr>
            <w:r/>
            <w:r>
              <w:rPr>
                <w:rFonts w:ascii="Times New Roman" w:hAnsi="Times New Roman" w:eastAsia="宋体"/>
                <w:b w:val="0"/>
                <w:sz w:val="20"/>
              </w:rPr>
              <w:t>**100%**</w:t>
            </w:r>
          </w:p>
        </w:tc>
      </w:tr>
    </w:tbl>
    <w:p/>
    <w:p>
      <w:r>
        <w:br w:type="page"/>
      </w:r>
    </w:p>
    <w:p>
      <w:pPr>
        <w:spacing w:before="240" w:after="120" w:line="360" w:lineRule="auto"/>
      </w:pPr>
      <w:r>
        <w:rPr>
          <w:rFonts w:ascii="Times New Roman" w:hAnsi="Times New Roman" w:eastAsia="黑体"/>
          <w:b/>
          <w:sz w:val="32"/>
        </w:rPr>
        <w:t>六、结论与未来工作</w:t>
      </w:r>
    </w:p>
    <w:p>
      <w:pPr>
        <w:spacing w:before="240" w:after="120" w:line="360" w:lineRule="auto"/>
      </w:pPr>
      <w:r>
        <w:rPr>
          <w:rFonts w:ascii="Times New Roman" w:hAnsi="Times New Roman" w:eastAsia="黑体"/>
          <w:b/>
          <w:sz w:val="28"/>
        </w:rPr>
        <w:t>6.1 结论</w:t>
      </w:r>
    </w:p>
    <w:p>
      <w:pPr>
        <w:spacing w:before="0" w:after="60" w:line="360" w:lineRule="auto"/>
        <w:ind w:firstLine="425"/>
      </w:pPr>
      <w:r>
        <w:rPr>
          <w:rFonts w:ascii="Times New Roman" w:hAnsi="Times New Roman" w:eastAsia="宋体"/>
          <w:b w:val="0"/>
          <w:sz w:val="24"/>
        </w:rPr>
        <w:t>本项目针对开放集域适应中的特征混淆、训练策略僵化、判别信息单一和缺乏重构辅助四大问题，提出了一种基于特征解耦与数据重构的完整解决方案。通过动态梯度反转层实现自适应域对齐，双分支特征解耦结合正交约束分离类别和域信息，VAE重构模块提供生成模型视角的辅助检测，四源融合策略综合多维度信息进行未知类判定。</w:t>
      </w:r>
    </w:p>
    <w:p>
      <w:pPr>
        <w:spacing w:before="0" w:after="60" w:line="360" w:lineRule="auto"/>
        <w:ind w:firstLine="425"/>
      </w:pPr>
      <w:r>
        <w:rPr>
          <w:rFonts w:ascii="Times New Roman" w:hAnsi="Times New Roman" w:eastAsia="宋体"/>
          <w:b w:val="0"/>
          <w:sz w:val="24"/>
        </w:rPr>
        <w:t>在DomainNet和VisDA两个基准数据集上的实验表明：已知类准确率83.82%，AUROC最高0.9637，H-score最高0.9190，所有指标均超额达成立项目标。项目核心成果已申请国家发明专利。</w:t>
      </w:r>
    </w:p>
    <w:p>
      <w:pPr>
        <w:spacing w:before="240" w:after="120" w:line="360" w:lineRule="auto"/>
      </w:pPr>
      <w:r>
        <w:rPr>
          <w:rFonts w:ascii="Times New Roman" w:hAnsi="Times New Roman" w:eastAsia="黑体"/>
          <w:b/>
          <w:sz w:val="28"/>
        </w:rPr>
        <w:t>6.2 局限性</w:t>
      </w:r>
    </w:p>
    <w:p>
      <w:pPr>
        <w:spacing w:before="0" w:after="60" w:line="360" w:lineRule="auto"/>
      </w:pPr>
      <w:r>
        <w:rPr>
          <w:rFonts w:ascii="Times New Roman" w:hAnsi="Times New Roman" w:eastAsia="宋体"/>
          <w:b w:val="0"/>
          <w:sz w:val="24"/>
        </w:rPr>
        <w:t>1. 理论分析深度不足：缺乏对收敛性、泛化界等理论的严格证明</w:t>
      </w:r>
    </w:p>
    <w:p>
      <w:pPr>
        <w:spacing w:before="0" w:after="60" w:line="360" w:lineRule="auto"/>
      </w:pPr>
      <w:r>
        <w:rPr>
          <w:rFonts w:ascii="Times New Roman" w:hAnsi="Times New Roman" w:eastAsia="宋体"/>
          <w:b w:val="0"/>
          <w:sz w:val="24"/>
        </w:rPr>
        <w:t>2. 硬件资源约束：未在大规模数据集（如全量DomainNet 345类）上验证</w:t>
      </w:r>
    </w:p>
    <w:p>
      <w:pPr>
        <w:spacing w:before="0" w:after="60" w:line="360" w:lineRule="auto"/>
      </w:pPr>
      <w:r>
        <w:rPr>
          <w:rFonts w:ascii="Times New Roman" w:hAnsi="Times New Roman" w:eastAsia="宋体"/>
          <w:b w:val="0"/>
          <w:sz w:val="24"/>
        </w:rPr>
        <w:t>3. 实际场景验证缺失：仅在标准基准数据集上验证，缺少真实部署测试</w:t>
      </w:r>
    </w:p>
    <w:p>
      <w:pPr>
        <w:spacing w:before="0" w:after="60" w:line="360" w:lineRule="auto"/>
      </w:pPr>
      <w:r>
        <w:rPr>
          <w:rFonts w:ascii="Times New Roman" w:hAnsi="Times New Roman" w:eastAsia="宋体"/>
          <w:b w:val="0"/>
          <w:sz w:val="24"/>
        </w:rPr>
        <w:t>4. 四源融合权重依赖验证集：需要目标域少量标签数据调参</w:t>
      </w:r>
    </w:p>
    <w:p>
      <w:pPr>
        <w:spacing w:before="240" w:after="120" w:line="360" w:lineRule="auto"/>
      </w:pPr>
      <w:r>
        <w:rPr>
          <w:rFonts w:ascii="Times New Roman" w:hAnsi="Times New Roman" w:eastAsia="黑体"/>
          <w:b/>
          <w:sz w:val="28"/>
        </w:rPr>
        <w:t>6.3 未来工作</w:t>
      </w:r>
    </w:p>
    <w:p>
      <w:pPr>
        <w:spacing w:before="0" w:after="60" w:line="360" w:lineRule="auto"/>
      </w:pPr>
      <w:r>
        <w:rPr>
          <w:rFonts w:ascii="Times New Roman" w:hAnsi="Times New Roman" w:eastAsia="宋体"/>
          <w:b w:val="0"/>
          <w:sz w:val="24"/>
        </w:rPr>
        <w:t>1. 少样本自适应权重搜索：在无目标域验证集的纯无监督场景下自动确定融合权重</w:t>
      </w:r>
    </w:p>
    <w:p>
      <w:pPr>
        <w:spacing w:before="0" w:after="60" w:line="360" w:lineRule="auto"/>
      </w:pPr>
      <w:r>
        <w:rPr>
          <w:rFonts w:ascii="Times New Roman" w:hAnsi="Times New Roman" w:eastAsia="宋体"/>
          <w:b w:val="0"/>
          <w:sz w:val="24"/>
        </w:rPr>
        <w:t>2. 模型轻量化：通过网络剪枝和知识蒸馏将推理速度压缩到2ms以内，适配边缘设备</w:t>
      </w:r>
    </w:p>
    <w:p>
      <w:pPr>
        <w:spacing w:before="0" w:after="60" w:line="360" w:lineRule="auto"/>
      </w:pPr>
      <w:r>
        <w:rPr>
          <w:rFonts w:ascii="Times New Roman" w:hAnsi="Times New Roman" w:eastAsia="宋体"/>
          <w:b w:val="0"/>
          <w:sz w:val="24"/>
        </w:rPr>
        <w:t>3. 大模型辅助OSDA：探索CLIP等视觉语言模型在开放集检测中的迁移能力</w:t>
      </w:r>
    </w:p>
    <w:p>
      <w:pPr>
        <w:spacing w:before="0" w:after="60" w:line="360" w:lineRule="auto"/>
      </w:pPr>
      <w:r>
        <w:rPr>
          <w:rFonts w:ascii="Times New Roman" w:hAnsi="Times New Roman" w:eastAsia="宋体"/>
          <w:b w:val="0"/>
          <w:sz w:val="24"/>
        </w:rPr>
        <w:t>4. 真实场景部署：在自动驾驶感知和医疗影像诊断中进行实际场景验证</w:t>
      </w:r>
    </w:p>
    <w:p>
      <w:r>
        <w:br w:type="page"/>
      </w:r>
    </w:p>
    <w:p>
      <w:pPr>
        <w:spacing w:before="240" w:after="120" w:line="360" w:lineRule="auto"/>
      </w:pPr>
      <w:r>
        <w:rPr>
          <w:rFonts w:ascii="Times New Roman" w:hAnsi="Times New Roman" w:eastAsia="黑体"/>
          <w:b/>
          <w:sz w:val="32"/>
        </w:rPr>
        <w:t>七、参考文献</w:t>
      </w:r>
    </w:p>
    <w:p>
      <w:pPr>
        <w:spacing w:before="0" w:after="60" w:line="360" w:lineRule="auto"/>
        <w:ind w:firstLine="425"/>
      </w:pPr>
      <w:r>
        <w:rPr>
          <w:rFonts w:ascii="Times New Roman" w:hAnsi="Times New Roman" w:eastAsia="宋体"/>
          <w:b w:val="0"/>
          <w:sz w:val="24"/>
        </w:rPr>
        <w:t>[1] Saito K, Yamamoto S, Ushiku Y, et al. Open set domain adaptation by backpropagation[C]//Proceedings of the European Conference on Computer Vision (ECCV). 2018: 153-168.</w:t>
      </w:r>
    </w:p>
    <w:p>
      <w:pPr>
        <w:spacing w:before="0" w:after="60" w:line="360" w:lineRule="auto"/>
        <w:ind w:firstLine="425"/>
      </w:pPr>
      <w:r>
        <w:rPr>
          <w:rFonts w:ascii="Times New Roman" w:hAnsi="Times New Roman" w:eastAsia="宋体"/>
          <w:b w:val="0"/>
          <w:sz w:val="24"/>
        </w:rPr>
        <w:t>[2] Yan Y, Zhang W, Gong B, et al. Unsupervised domain adaptation with imbalanced data[C]//Proceedings of the IEEE International Conference on Computer Vision (ICCV). 2017: 1861-1869.</w:t>
      </w:r>
    </w:p>
    <w:p>
      <w:pPr>
        <w:spacing w:before="0" w:after="60" w:line="360" w:lineRule="auto"/>
        <w:ind w:firstLine="425"/>
      </w:pPr>
      <w:r>
        <w:rPr>
          <w:rFonts w:ascii="Times New Roman" w:hAnsi="Times New Roman" w:eastAsia="宋体"/>
          <w:b w:val="0"/>
          <w:sz w:val="24"/>
        </w:rPr>
        <w:t>[3] Liu H, Cao Z, Long M, et al. Separate to adapt: Open set domain adaptation via progressive separation[C]//Proceedings of the IEEE/CVF Conference on Computer Vision and Pattern Recognition (CVPR). 2019: 2922-2931.</w:t>
      </w:r>
    </w:p>
    <w:p>
      <w:pPr>
        <w:spacing w:before="0" w:after="60" w:line="360" w:lineRule="auto"/>
        <w:ind w:firstLine="425"/>
      </w:pPr>
      <w:r>
        <w:rPr>
          <w:rFonts w:ascii="Times New Roman" w:hAnsi="Times New Roman" w:eastAsia="宋体"/>
          <w:b w:val="0"/>
          <w:sz w:val="24"/>
        </w:rPr>
        <w:t>[4] Busto P P, Gall J. Open set domain adaptation[C]//Proceedings of the IEEE International Conference on Computer Vision (ICCV). 2017: 754-763.</w:t>
      </w:r>
    </w:p>
    <w:p>
      <w:pPr>
        <w:spacing w:before="0" w:after="60" w:line="360" w:lineRule="auto"/>
        <w:ind w:firstLine="425"/>
      </w:pPr>
      <w:r>
        <w:rPr>
          <w:rFonts w:ascii="Times New Roman" w:hAnsi="Times New Roman" w:eastAsia="宋体"/>
          <w:b w:val="0"/>
          <w:sz w:val="24"/>
        </w:rPr>
        <w:t>[5] Ganin Y, Ustinova E, Ajakan H, et al. Domain-adversarial training of neural networks[J]. Journal of Machine Learning Research, 2016, 17(1): 1-35.</w:t>
      </w:r>
    </w:p>
    <w:p>
      <w:pPr>
        <w:spacing w:before="0" w:after="60" w:line="360" w:lineRule="auto"/>
        <w:ind w:firstLine="425"/>
      </w:pPr>
      <w:r>
        <w:rPr>
          <w:rFonts w:ascii="Times New Roman" w:hAnsi="Times New Roman" w:eastAsia="宋体"/>
          <w:b w:val="0"/>
          <w:sz w:val="24"/>
        </w:rPr>
        <w:t>[6] Bousmalis K, Trigeorgis G, Silberman N, et al. Domain separation networks[C]//Advances in Neural Information Processing Systems (NeurIPS). 2016: 343-351.</w:t>
      </w:r>
    </w:p>
    <w:p>
      <w:pPr>
        <w:spacing w:before="0" w:after="60" w:line="360" w:lineRule="auto"/>
        <w:ind w:firstLine="425"/>
      </w:pPr>
      <w:r>
        <w:rPr>
          <w:rFonts w:ascii="Times New Roman" w:hAnsi="Times New Roman" w:eastAsia="宋体"/>
          <w:b w:val="0"/>
          <w:sz w:val="24"/>
        </w:rPr>
        <w:t>[7] Liu Z, Mao H, Wu C Y, et al. A ConvNet for the 2020s[C]//Proceedings of the IEEE/CVF Conference on Computer Vision and Pattern Recognition (CVPR). 2022: 11976-11986.</w:t>
      </w:r>
    </w:p>
    <w:p>
      <w:pPr>
        <w:spacing w:before="0" w:after="60" w:line="360" w:lineRule="auto"/>
        <w:ind w:firstLine="425"/>
      </w:pPr>
      <w:r>
        <w:rPr>
          <w:rFonts w:ascii="Times New Roman" w:hAnsi="Times New Roman" w:eastAsia="宋体"/>
          <w:b w:val="0"/>
          <w:sz w:val="24"/>
        </w:rPr>
        <w:t>[8] Woo S, Debnath S, Hu R, et al. ConvNeXt V2: Co-designing and scaling convnets with masked autoencoders[C]//Proceedings of the IEEE/CVF Conference on Computer Vision and Pattern Recognition (CVPR). 2023: 16133-16142.</w:t>
      </w:r>
    </w:p>
    <w:p>
      <w:pPr>
        <w:spacing w:before="0" w:after="60" w:line="360" w:lineRule="auto"/>
        <w:ind w:firstLine="425"/>
      </w:pPr>
      <w:r>
        <w:rPr>
          <w:rFonts w:ascii="Times New Roman" w:hAnsi="Times New Roman" w:eastAsia="宋体"/>
          <w:b w:val="0"/>
          <w:sz w:val="24"/>
        </w:rPr>
        <w:t>[9] Kingma D P, Welling M. Auto-encoding variational Bayes[C]//International Conference on Learning Representations (ICLR). 2014.</w:t>
      </w:r>
    </w:p>
    <w:p>
      <w:r>
        <w:br w:type="page"/>
      </w:r>
    </w:p>
    <w:p>
      <w:pPr>
        <w:spacing w:before="240" w:after="120" w:line="360" w:lineRule="auto"/>
      </w:pPr>
      <w:r>
        <w:rPr>
          <w:rFonts w:ascii="Times New Roman" w:hAnsi="Times New Roman" w:eastAsia="黑体"/>
          <w:b/>
          <w:sz w:val="32"/>
        </w:rPr>
        <w:t>八、附录</w:t>
      </w:r>
    </w:p>
    <w:p>
      <w:pPr>
        <w:spacing w:before="240" w:after="120" w:line="360" w:lineRule="auto"/>
      </w:pPr>
      <w:r>
        <w:rPr>
          <w:rFonts w:ascii="Times New Roman" w:hAnsi="Times New Roman" w:eastAsia="黑体"/>
          <w:b/>
          <w:sz w:val="28"/>
        </w:rPr>
        <w:t>附录A：核心代码示例（特征解耦模块）</w:t>
      </w:r>
    </w:p>
    <w:p>
      <w:r>
        <w:rPr>
          <w:sz w:val="18"/>
          <w:rFonts w:ascii="Consolas" w:hAnsi="Consolas"/>
        </w:rPr>
        <w:t xml:space="preserve">class FeatureDisentanglement(nn.Module):
    def __init__(self, feature_dim=1024, hidden_dim=512, num_classes=8):
        super().__init__()
        self.class_branch = nn.Sequential(
            nn.Linear(feature_dim, hidden_dim),
            nn.ReLU(), nn.Dropout(0.3),
            nn.Linear(hidden_dim, num_classes))
        self.domain_branch = nn.Sequential(
            nn.Linear(feature_dim, hidden_dim),
            nn.ReLU(), nn.Dropout(0.4),
            nn.Linear(hidden_dim, 1))
    def forward(self, x):
        class_logits = self.class_branch(x)
        domain_logits = self.domain_branch(x)
        return class_logits, domain_logits</w:t>
      </w:r>
    </w:p>
    <w:p>
      <w:r>
        <w:rPr>
          <w:sz w:val="18"/>
          <w:rFonts w:ascii="Consolas" w:hAnsi="Consolas"/>
        </w:rPr>
        <w:t xml:space="preserve">def compute_open_set_score(outputs, features, class_centers, vae_model,
                           w_conf=0.30, w_dist=0.40, w_recon=0.20, w_var=0.10):
    probs = F.softmax(outputs, dim=1)
    conf_score = 1 - probs.max(dim=1)[0]
    dist_score = torch.cdist(features, class_centers).min(dim=1)[0]
    recon_feat = vae_model(features)
    recon_score = F.mse_loss(recon_feat, features, reduction='none').mean(dim=1)
    var_score = torch.var(features, dim=1)
    return (w_conf * conf_score/conf_score.max() +
            w_dist * dist_score/dist_score.max() +
            w_recon * recon_score/recon_score.max() +
            w_var * var_score/var_score.max())</w:t>
      </w:r>
    </w:p>
    <w:p>
      <w:pPr>
        <w:spacing w:before="240" w:after="120" w:line="360" w:lineRule="auto"/>
      </w:pPr>
      <w:r>
        <w:rPr>
          <w:rFonts w:ascii="Times New Roman" w:hAnsi="Times New Roman" w:eastAsia="黑体"/>
          <w:b/>
          <w:sz w:val="28"/>
        </w:rPr>
        <w:t>附录B：核心代码示例（四源融合检测）</w:t>
      </w:r>
    </w:p>
    <w:p>
      <w:pPr>
        <w:spacing w:before="240" w:after="120" w:line="360" w:lineRule="auto"/>
      </w:pPr>
      <w:r>
        <w:rPr>
          <w:rFonts w:ascii="Times New Roman" w:hAnsi="Times New Roman" w:eastAsia="黑体"/>
          <w:b/>
          <w:sz w:val="28"/>
        </w:rPr>
        <w:t>附录C：模型检查点信息</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shd w:fill="D9E2F3"/>
          </w:tcPr>
          <w:p>
            <w:pPr>
              <w:jc w:val="center"/>
            </w:pPr>
            <w:r/>
            <w:r>
              <w:rPr>
                <w:rFonts w:ascii="Times New Roman" w:hAnsi="Times New Roman" w:eastAsia="宋体"/>
                <w:b/>
                <w:sz w:val="20"/>
              </w:rPr>
              <w:t>数据集</w:t>
            </w:r>
          </w:p>
        </w:tc>
        <w:tc>
          <w:tcPr>
            <w:tcW w:type="dxa" w:w="1881"/>
            <w:shd w:fill="D9E2F3"/>
          </w:tcPr>
          <w:p>
            <w:pPr>
              <w:jc w:val="center"/>
            </w:pPr>
            <w:r/>
            <w:r>
              <w:rPr>
                <w:rFonts w:ascii="Times New Roman" w:hAnsi="Times New Roman" w:eastAsia="宋体"/>
                <w:b/>
                <w:sz w:val="20"/>
              </w:rPr>
              <w:t>模型文件</w:t>
            </w:r>
          </w:p>
        </w:tc>
        <w:tc>
          <w:tcPr>
            <w:tcW w:type="dxa" w:w="1881"/>
            <w:shd w:fill="D9E2F3"/>
          </w:tcPr>
          <w:p>
            <w:pPr>
              <w:jc w:val="center"/>
            </w:pPr>
            <w:r/>
            <w:r>
              <w:rPr>
                <w:rFonts w:ascii="Times New Roman" w:hAnsi="Times New Roman" w:eastAsia="宋体"/>
                <w:b/>
                <w:sz w:val="20"/>
              </w:rPr>
              <w:t>大小</w:t>
            </w:r>
          </w:p>
        </w:tc>
        <w:tc>
          <w:tcPr>
            <w:tcW w:type="dxa" w:w="1881"/>
            <w:shd w:fill="D9E2F3"/>
          </w:tcPr>
          <w:p>
            <w:pPr>
              <w:jc w:val="center"/>
            </w:pPr>
            <w:r/>
            <w:r>
              <w:rPr>
                <w:rFonts w:ascii="Times New Roman" w:hAnsi="Times New Roman" w:eastAsia="宋体"/>
                <w:b/>
                <w:sz w:val="20"/>
              </w:rPr>
              <w:t>最佳AUROC</w:t>
            </w:r>
          </w:p>
        </w:tc>
        <w:tc>
          <w:tcPr>
            <w:tcW w:type="dxa" w:w="1881"/>
            <w:shd w:fill="D9E2F3"/>
          </w:tcPr>
          <w:p>
            <w:pPr>
              <w:jc w:val="center"/>
            </w:pPr>
            <w:r/>
            <w:r>
              <w:rPr>
                <w:rFonts w:ascii="Times New Roman" w:hAnsi="Times New Roman" w:eastAsia="宋体"/>
                <w:b/>
                <w:sz w:val="20"/>
              </w:rPr>
              <w:t>最佳H-score</w:t>
            </w:r>
          </w:p>
        </w:tc>
      </w:tr>
      <w:tr>
        <w:tc>
          <w:tcPr>
            <w:tcW w:type="dxa" w:w="1881"/>
          </w:tcPr>
          <w:p>
            <w:pPr>
              <w:jc w:val="center"/>
            </w:pPr>
            <w:r/>
            <w:r>
              <w:rPr>
                <w:rFonts w:ascii="Times New Roman" w:hAnsi="Times New Roman" w:eastAsia="宋体"/>
                <w:b w:val="0"/>
                <w:sz w:val="20"/>
              </w:rPr>
              <w:t>VisDA</w:t>
            </w:r>
          </w:p>
        </w:tc>
        <w:tc>
          <w:tcPr>
            <w:tcW w:type="dxa" w:w="1881"/>
          </w:tcPr>
          <w:p>
            <w:pPr>
              <w:jc w:val="center"/>
            </w:pPr>
            <w:r/>
            <w:r>
              <w:rPr>
                <w:rFonts w:ascii="Times New Roman" w:hAnsi="Times New Roman" w:eastAsia="宋体"/>
                <w:b w:val="0"/>
                <w:sz w:val="20"/>
              </w:rPr>
              <w:t>best_visda_joint_model_v1.pth</w:t>
            </w:r>
          </w:p>
        </w:tc>
        <w:tc>
          <w:tcPr>
            <w:tcW w:type="dxa" w:w="1881"/>
          </w:tcPr>
          <w:p>
            <w:pPr>
              <w:jc w:val="center"/>
            </w:pPr>
            <w:r/>
            <w:r>
              <w:rPr>
                <w:rFonts w:ascii="Times New Roman" w:hAnsi="Times New Roman" w:eastAsia="宋体"/>
                <w:b w:val="0"/>
                <w:sz w:val="20"/>
              </w:rPr>
              <w:t>365MB</w:t>
            </w:r>
          </w:p>
        </w:tc>
        <w:tc>
          <w:tcPr>
            <w:tcW w:type="dxa" w:w="1881"/>
          </w:tcPr>
          <w:p>
            <w:pPr>
              <w:jc w:val="center"/>
            </w:pPr>
            <w:r/>
            <w:r>
              <w:rPr>
                <w:rFonts w:ascii="Times New Roman" w:hAnsi="Times New Roman" w:eastAsia="宋体"/>
                <w:b w:val="0"/>
                <w:sz w:val="20"/>
              </w:rPr>
              <w:t>0.8619</w:t>
            </w:r>
          </w:p>
        </w:tc>
        <w:tc>
          <w:tcPr>
            <w:tcW w:type="dxa" w:w="1881"/>
          </w:tcPr>
          <w:p>
            <w:pPr>
              <w:jc w:val="center"/>
            </w:pPr>
            <w:r/>
            <w:r>
              <w:rPr>
                <w:rFonts w:ascii="Times New Roman" w:hAnsi="Times New Roman" w:eastAsia="宋体"/>
                <w:b w:val="0"/>
                <w:sz w:val="20"/>
              </w:rPr>
              <w:t>0.8072</w:t>
            </w:r>
          </w:p>
        </w:tc>
      </w:tr>
      <w:tr>
        <w:tc>
          <w:tcPr>
            <w:tcW w:type="dxa" w:w="1881"/>
          </w:tcPr>
          <w:p>
            <w:pPr>
              <w:jc w:val="center"/>
            </w:pPr>
            <w:r/>
            <w:r>
              <w:rPr>
                <w:rFonts w:ascii="Times New Roman" w:hAnsi="Times New Roman" w:eastAsia="宋体"/>
                <w:b w:val="0"/>
                <w:sz w:val="20"/>
              </w:rPr>
              <w:t>DomainNet</w:t>
            </w:r>
          </w:p>
        </w:tc>
        <w:tc>
          <w:tcPr>
            <w:tcW w:type="dxa" w:w="1881"/>
          </w:tcPr>
          <w:p>
            <w:pPr>
              <w:jc w:val="center"/>
            </w:pPr>
            <w:r/>
            <w:r>
              <w:rPr>
                <w:rFonts w:ascii="Times New Roman" w:hAnsi="Times New Roman" w:eastAsia="宋体"/>
                <w:b w:val="0"/>
                <w:sz w:val="20"/>
              </w:rPr>
              <w:t>best_joint_model_v3_optimized.pth</w:t>
            </w:r>
          </w:p>
        </w:tc>
        <w:tc>
          <w:tcPr>
            <w:tcW w:type="dxa" w:w="1881"/>
          </w:tcPr>
          <w:p>
            <w:pPr>
              <w:jc w:val="center"/>
            </w:pPr>
            <w:r/>
            <w:r>
              <w:rPr>
                <w:rFonts w:ascii="Times New Roman" w:hAnsi="Times New Roman" w:eastAsia="宋体"/>
                <w:b w:val="0"/>
                <w:sz w:val="20"/>
              </w:rPr>
              <w:t>633MB</w:t>
            </w:r>
          </w:p>
        </w:tc>
        <w:tc>
          <w:tcPr>
            <w:tcW w:type="dxa" w:w="1881"/>
          </w:tcPr>
          <w:p>
            <w:pPr>
              <w:jc w:val="center"/>
            </w:pPr>
            <w:r/>
            <w:r>
              <w:rPr>
                <w:rFonts w:ascii="Times New Roman" w:hAnsi="Times New Roman" w:eastAsia="宋体"/>
                <w:b w:val="0"/>
                <w:sz w:val="20"/>
              </w:rPr>
              <w:t>0.9637</w:t>
            </w:r>
          </w:p>
        </w:tc>
        <w:tc>
          <w:tcPr>
            <w:tcW w:type="dxa" w:w="1881"/>
          </w:tcPr>
          <w:p>
            <w:pPr>
              <w:jc w:val="center"/>
            </w:pPr>
            <w:r/>
            <w:r>
              <w:rPr>
                <w:rFonts w:ascii="Times New Roman" w:hAnsi="Times New Roman" w:eastAsia="宋体"/>
                <w:b w:val="0"/>
                <w:sz w:val="20"/>
              </w:rPr>
              <w:t>0.9190</w:t>
            </w:r>
          </w:p>
        </w:tc>
      </w:tr>
    </w:tbl>
    <w:p/>
    <w:p>
      <w:pPr>
        <w:spacing w:before="240" w:after="120" w:line="360" w:lineRule="auto"/>
      </w:pPr>
      <w:r>
        <w:rPr>
          <w:rFonts w:ascii="Times New Roman" w:hAnsi="Times New Roman" w:eastAsia="黑体"/>
          <w:b/>
          <w:sz w:val="28"/>
        </w:rPr>
        <w:t>附录D：专利受理信息</w:t>
      </w:r>
    </w:p>
    <w:p>
      <w:pPr>
        <w:spacing w:before="0" w:after="60" w:line="360" w:lineRule="auto"/>
      </w:pPr>
      <w:r>
        <w:rPr>
          <w:rFonts w:ascii="Times New Roman" w:hAnsi="Times New Roman" w:eastAsia="宋体"/>
          <w:b w:val="0"/>
          <w:sz w:val="24"/>
        </w:rPr>
        <w:t>专利名称：基于特征解耦与重构辅助的开放集域适应方法及系统</w:t>
      </w:r>
    </w:p>
    <w:p>
      <w:pPr>
        <w:spacing w:before="0" w:after="60" w:line="360" w:lineRule="auto"/>
      </w:pPr>
      <w:r>
        <w:rPr>
          <w:rFonts w:ascii="Times New Roman" w:hAnsi="Times New Roman" w:eastAsia="宋体"/>
          <w:b w:val="0"/>
          <w:sz w:val="24"/>
        </w:rPr>
        <w:t>申请号：202610279677.6</w:t>
      </w:r>
    </w:p>
    <w:p>
      <w:pPr>
        <w:spacing w:before="0" w:after="60" w:line="360" w:lineRule="auto"/>
      </w:pPr>
      <w:r>
        <w:rPr>
          <w:rFonts w:ascii="Times New Roman" w:hAnsi="Times New Roman" w:eastAsia="宋体"/>
          <w:b w:val="0"/>
          <w:sz w:val="24"/>
        </w:rPr>
        <w:t>申请日：2026年（具体日期以受理通知书为准）</w:t>
      </w:r>
    </w:p>
    <w:p>
      <w:pPr>
        <w:spacing w:before="0" w:after="60" w:line="360" w:lineRule="auto"/>
      </w:pPr>
      <w:r>
        <w:rPr>
          <w:rFonts w:ascii="Times New Roman" w:hAnsi="Times New Roman" w:eastAsia="宋体"/>
          <w:b w:val="0"/>
          <w:sz w:val="24"/>
        </w:rPr>
        <w:t>状态：已受理</w:t>
      </w:r>
    </w:p>
    <w:p>
      <w:pPr>
        <w:spacing w:before="0" w:after="60" w:line="360" w:lineRule="auto"/>
        <w:ind w:firstLine="425"/>
      </w:pPr>
      <w:r>
        <w:rPr>
          <w:rFonts w:ascii="Times New Roman" w:hAnsi="Times New Roman" w:eastAsia="宋体"/>
          <w:b w:val="0"/>
          <w:sz w:val="24"/>
        </w:rPr>
        <w:t>*报告草稿生成时间：2026-05*</w:t>
      </w:r>
    </w:p>
    <w:p>
      <w:r>
        <w:br w:type="page"/>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