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rFonts w:ascii="黑体" w:hAnsi="黑体" w:eastAsia="黑体"/>
          <w:b/>
          <w:sz w:val="44"/>
        </w:rPr>
        <w:t>基于特征解耦与数据重构的开放集域适应方法研究</w:t>
      </w:r>
    </w:p>
    <w:p>
      <w:pPr>
        <w:spacing w:after="720"/>
        <w:jc w:val="center"/>
      </w:pPr>
      <w:r>
        <w:rPr>
          <w:rFonts w:ascii="黑体" w:hAnsi="黑体" w:eastAsia="黑体"/>
          <w:b/>
          <w:sz w:val="32"/>
        </w:rPr>
        <w:t>大创结题报告（系统填报版）</w:t>
      </w:r>
    </w:p>
    <w:p>
      <w:pPr>
        <w:spacing w:before="360" w:after="240"/>
      </w:pPr>
      <w:r>
        <w:rPr>
          <w:rFonts w:ascii="黑体" w:hAnsi="黑体" w:eastAsia="黑体"/>
          <w:b/>
          <w:sz w:val="32"/>
        </w:rPr>
        <w:t>一、项目执行情况</w:t>
      </w:r>
    </w:p>
    <w:p>
      <w:pPr>
        <w:spacing w:before="240" w:after="160"/>
      </w:pPr>
      <w:r>
        <w:rPr>
          <w:rFonts w:ascii="黑体" w:hAnsi="黑体" w:eastAsia="黑体"/>
          <w:b/>
          <w:sz w:val="28"/>
        </w:rPr>
        <w:t>（一）本项目的选题背景、目的与意义</w:t>
      </w:r>
    </w:p>
    <w:p>
      <w:pPr>
        <w:spacing w:before="160" w:after="120"/>
      </w:pPr>
      <w:r>
        <w:rPr>
          <w:rFonts w:ascii="黑体" w:hAnsi="黑体" w:eastAsia="黑体"/>
          <w:b/>
          <w:sz w:val="24"/>
        </w:rPr>
        <w:t>1. 选题背景</w:t>
      </w:r>
    </w:p>
    <w:p>
      <w:pPr>
        <w:spacing w:line="360" w:lineRule="auto" w:after="120"/>
        <w:ind w:firstLine="420"/>
      </w:pPr>
      <w:r>
        <w:rPr>
          <w:rFonts w:ascii="宋体" w:hAnsi="宋体" w:eastAsia="宋体"/>
          <w:b w:val="0"/>
          <w:sz w:val="24"/>
        </w:rPr>
        <w:t>深度学习的成功高度依赖于训练数据与测试数据独立同分布（i.i.d.）的假设。然而，在真实应用场景中，当训练数据（源域）与测试数据（目标域）来自不同分布时，模型性能会显著下降，这种现象被称为域偏移。更关键的是，目标域往往包含训练时从未见过的未知类别，这种场景被称为开放集域适应（OSDA）。</w:t>
      </w:r>
    </w:p>
    <w:p>
      <w:pPr>
        <w:spacing w:line="360" w:lineRule="auto" w:after="120"/>
        <w:ind w:firstLine="420"/>
      </w:pPr>
      <w:r>
        <w:rPr>
          <w:rFonts w:ascii="宋体" w:hAnsi="宋体" w:eastAsia="宋体"/>
          <w:b w:val="0"/>
          <w:sz w:val="24"/>
        </w:rPr>
        <w:t>例如，在自动驾驶场景中，感知模型在晴朗天气的欧洲街道图像上训练，但实际部署时需要处理雨天的中国城市道路——不仅要应对视觉风格的域偏移，还需要识别训练集中从未出现过的未知障碍物（如散落货物、罕见动物）。</w:t>
      </w:r>
    </w:p>
    <w:p>
      <w:pPr>
        <w:spacing w:line="360" w:lineRule="auto" w:after="120"/>
        <w:ind w:firstLine="420"/>
      </w:pPr>
      <w:r>
        <w:rPr>
          <w:rFonts w:ascii="宋体" w:hAnsi="宋体" w:eastAsia="宋体"/>
          <w:b w:val="0"/>
          <w:sz w:val="24"/>
        </w:rPr>
        <w:t>现有OSDA方法存在四大共性问题：（1）特征混淆——类别信息和域信息在特征空间中纠缠；（2）训练策略僵化——对抗训练强度固定，无法自适应调整；（3）判别信息单一——仅依赖分类器置信度判定未知类；（4）缺乏重构辅助——未利用生成模型的重构误差作为独立检测信号。</w:t>
      </w:r>
    </w:p>
    <w:p>
      <w:pPr>
        <w:spacing w:before="160" w:after="120"/>
      </w:pPr>
      <w:r>
        <w:rPr>
          <w:rFonts w:ascii="黑体" w:hAnsi="黑体" w:eastAsia="黑体"/>
          <w:b/>
          <w:sz w:val="24"/>
        </w:rPr>
        <w:t>2. 研究目的</w:t>
      </w:r>
    </w:p>
    <w:p>
      <w:pPr>
        <w:spacing w:line="360" w:lineRule="auto" w:after="120"/>
        <w:ind w:firstLine="420"/>
      </w:pPr>
      <w:r>
        <w:rPr>
          <w:rFonts w:ascii="宋体" w:hAnsi="宋体" w:eastAsia="宋体"/>
          <w:b w:val="0"/>
          <w:sz w:val="24"/>
        </w:rPr>
        <w:t>本项目旨在设计并实现一种基于特征解耦与数据重构的开放集域适应方法，核心目标是：（1）将源域学到的分类知识有效迁移到分布不同的目标域；（2）在目标域中准确区分已知类和训练时未见过的未知类；（3）在已知类分类精度和未知类检测能力之间取得最优平衡。</w:t>
      </w:r>
    </w:p>
    <w:p>
      <w:pPr>
        <w:spacing w:before="160" w:after="120"/>
      </w:pPr>
      <w:r>
        <w:rPr>
          <w:rFonts w:ascii="黑体" w:hAnsi="黑体" w:eastAsia="黑体"/>
          <w:b/>
          <w:sz w:val="24"/>
        </w:rPr>
        <w:t>3. 研究意义</w:t>
      </w:r>
    </w:p>
    <w:p>
      <w:pPr>
        <w:spacing w:line="360" w:lineRule="auto" w:after="120"/>
        <w:ind w:firstLine="420"/>
      </w:pPr>
      <w:r>
        <w:rPr>
          <w:rFonts w:ascii="宋体" w:hAnsi="宋体" w:eastAsia="宋体"/>
          <w:b w:val="0"/>
          <w:sz w:val="24"/>
        </w:rPr>
        <w:t>理论意义：本项目将特征解耦理论、变分自编码器和域对抗训练有机融合到OSDA框架中，为开放集域适应提供了新的方法论视角。动态梯度反转层和四源融合检测策略为相关领域的研究提供了可借鉴的技术思路。</w:t>
      </w:r>
    </w:p>
    <w:p>
      <w:pPr>
        <w:spacing w:line="360" w:lineRule="auto" w:after="120"/>
        <w:ind w:firstLine="420"/>
      </w:pPr>
      <w:r>
        <w:rPr>
          <w:rFonts w:ascii="宋体" w:hAnsi="宋体" w:eastAsia="宋体"/>
          <w:b w:val="0"/>
          <w:sz w:val="24"/>
        </w:rPr>
        <w:t>应用价值：（1）自动驾驶——检测训练数据中未出现的未知障碍物；（2）医疗诊断——识别训练集未包含的罕见病灶类型；（3）工业缺陷检测——发现产线上从未见过的新型缺陷；（4）安防监控——检测异常行为模式。</w:t>
      </w:r>
    </w:p>
    <w:p>
      <w:pPr>
        <w:spacing w:before="240" w:after="160"/>
      </w:pPr>
      <w:r>
        <w:rPr>
          <w:rFonts w:ascii="黑体" w:hAnsi="黑体" w:eastAsia="黑体"/>
          <w:b/>
          <w:sz w:val="28"/>
        </w:rPr>
        <w:t>（二）项目的创新点与特色</w:t>
      </w:r>
    </w:p>
    <w:p>
      <w:pPr>
        <w:spacing w:line="360" w:lineRule="auto" w:after="120"/>
        <w:ind w:firstLine="420"/>
      </w:pPr>
      <w:r>
        <w:rPr>
          <w:rFonts w:ascii="宋体" w:hAnsi="宋体" w:eastAsia="宋体"/>
          <w:b/>
          <w:sz w:val="24"/>
        </w:rPr>
        <w:t>本项目包含四项核心创新：</w:t>
      </w:r>
    </w:p>
    <w:p>
      <w:pPr>
        <w:spacing w:line="360" w:lineRule="auto" w:after="120"/>
        <w:ind w:firstLine="420"/>
      </w:pPr>
      <w:r>
        <w:rPr>
          <w:rFonts w:ascii="宋体" w:hAnsi="宋体" w:eastAsia="宋体"/>
          <w:b w:val="0"/>
          <w:sz w:val="24"/>
        </w:rPr>
        <w:t>创新点一：动态梯度反转层（DGRL）。传统域对抗训练使用固定的梯度反转系数（α=1.0），导致训练后期对抗操作破坏已学到的类别判别性。我们提出动态衰减策略：α(t) = 1.0 × 0.95^(⌊t/2⌋)。训练前期α接近1.0，强对抗快速对齐域分布；训练后期α逐渐衰减至约0.1-0.3，降低对抗强度以保护类别信息。实验验证：使用动态衰减后，已知类准确率从固定α时的78.5%提升至83.82%。</w:t>
      </w:r>
    </w:p>
    <w:p>
      <w:pPr>
        <w:spacing w:line="360" w:lineRule="auto" w:after="120"/>
        <w:ind w:firstLine="420"/>
      </w:pPr>
      <w:r>
        <w:rPr>
          <w:rFonts w:ascii="宋体" w:hAnsi="宋体" w:eastAsia="宋体"/>
          <w:b w:val="0"/>
          <w:sz w:val="24"/>
        </w:rPr>
        <w:t>创新点二：双分支特征解耦。在通用特征之上构建两个并行分支——类别分支（提取判别性特征）和域分支（提取域不变特征），并施加正交约束：L_orth = ||G_cls - I||_F² + ||G_dom - I||_F²。其中G为特征Gram矩阵，I为单位矩阵。约束迫使每个分支内部各特征维度相互独立，减少冗余。实验测得正交性得分0.0913，远低于0.3的目标值。</w:t>
      </w:r>
    </w:p>
    <w:p>
      <w:pPr>
        <w:spacing w:line="360" w:lineRule="auto" w:after="120"/>
        <w:ind w:firstLine="420"/>
      </w:pPr>
      <w:r>
        <w:rPr>
          <w:rFonts w:ascii="宋体" w:hAnsi="宋体" w:eastAsia="宋体"/>
          <w:b w:val="0"/>
          <w:sz w:val="24"/>
        </w:rPr>
        <w:t>创新点三：VAE重构辅助检测。引入变分自编码器学习已知类特征的概率分布。将通用特征与类别分支特征拼接（共2048维）作为VAE输入。未知类样本由于不符合已知类分布，重构误差显著高于已知类，提供一个与分类器互补的独立检测信号。</w:t>
      </w:r>
    </w:p>
    <w:p>
      <w:pPr>
        <w:spacing w:line="360" w:lineRule="auto" w:after="120"/>
        <w:ind w:firstLine="420"/>
      </w:pPr>
      <w:r>
        <w:rPr>
          <w:rFonts w:ascii="宋体" w:hAnsi="宋体" w:eastAsia="宋体"/>
          <w:b w:val="0"/>
          <w:sz w:val="24"/>
        </w:rPr>
        <w:t>创新点四：四源融合开放集检测。从四个维度综合判断目标域样本是否为未知类：置信度分数（30%）、特征距离分数（40%）、重构误差（20%）、特征方差（10%）。权重通过网格搜索确定。消融实验证明：仅使用置信度时AUROC=58.07%，融合四个维度后AUROC=86.19%，提升48.4%。</w:t>
      </w:r>
    </w:p>
    <w:p>
      <w:pPr>
        <w:spacing w:line="360" w:lineRule="auto" w:after="120"/>
        <w:ind w:firstLine="420"/>
      </w:pPr>
      <w:r>
        <w:rPr>
          <w:rFonts w:ascii="宋体" w:hAnsi="宋体" w:eastAsia="宋体"/>
          <w:b/>
          <w:sz w:val="24"/>
        </w:rPr>
        <w:t>【插入图片：图1-方法整体架构图（01_fig1_method_overview）】</w:t>
      </w:r>
    </w:p>
    <w:p>
      <w:pPr>
        <w:spacing w:before="240" w:after="160"/>
      </w:pPr>
      <w:r>
        <w:rPr>
          <w:rFonts w:ascii="黑体" w:hAnsi="黑体" w:eastAsia="黑体"/>
          <w:b/>
          <w:sz w:val="28"/>
        </w:rPr>
        <w:t>（三）团队成员分工和合作情况</w:t>
      </w:r>
    </w:p>
    <w:tbl>
      <w:tblPr>
        <w:tblStyle w:val="TableGrid"/>
        <w:tblW w:type="auto" w:w="0"/>
        <w:tblLook w:firstColumn="1" w:firstRow="1" w:lastColumn="0" w:lastRow="0" w:noHBand="0" w:noVBand="1" w:val="04A0"/>
      </w:tblPr>
      <w:tblGrid>
        <w:gridCol w:w="2882"/>
        <w:gridCol w:w="2882"/>
        <w:gridCol w:w="2882"/>
      </w:tblGrid>
      <w:tr>
        <w:tc>
          <w:tcPr>
            <w:tcW w:type="dxa" w:w="2882"/>
          </w:tcPr>
          <w:p>
            <w:pPr>
              <w:jc w:val="center"/>
            </w:pPr>
            <w:r/>
            <w:r>
              <w:rPr>
                <w:rFonts w:ascii="黑体" w:hAnsi="黑体" w:eastAsia="黑体"/>
                <w:b/>
                <w:sz w:val="22"/>
              </w:rPr>
              <w:t>姓名</w:t>
            </w:r>
          </w:p>
        </w:tc>
        <w:tc>
          <w:tcPr>
            <w:tcW w:type="dxa" w:w="2882"/>
          </w:tcPr>
          <w:p>
            <w:pPr>
              <w:jc w:val="center"/>
            </w:pPr>
            <w:r/>
            <w:r>
              <w:rPr>
                <w:rFonts w:ascii="黑体" w:hAnsi="黑体" w:eastAsia="黑体"/>
                <w:b/>
                <w:sz w:val="22"/>
              </w:rPr>
              <w:t>角色</w:t>
            </w:r>
          </w:p>
        </w:tc>
        <w:tc>
          <w:tcPr>
            <w:tcW w:type="dxa" w:w="2882"/>
          </w:tcPr>
          <w:p>
            <w:pPr>
              <w:jc w:val="center"/>
            </w:pPr>
            <w:r/>
            <w:r>
              <w:rPr>
                <w:rFonts w:ascii="黑体" w:hAnsi="黑体" w:eastAsia="黑体"/>
                <w:b/>
                <w:sz w:val="22"/>
              </w:rPr>
              <w:t>主要职责</w:t>
            </w:r>
          </w:p>
        </w:tc>
      </w:tr>
      <w:tr>
        <w:tc>
          <w:tcPr>
            <w:tcW w:type="dxa" w:w="2882"/>
          </w:tcPr>
          <w:p>
            <w:r/>
            <w:r>
              <w:rPr>
                <w:rFonts w:ascii="宋体" w:hAnsi="宋体" w:eastAsia="宋体"/>
                <w:b w:val="0"/>
                <w:sz w:val="22"/>
              </w:rPr>
              <w:t>[成员1]</w:t>
            </w:r>
          </w:p>
        </w:tc>
        <w:tc>
          <w:tcPr>
            <w:tcW w:type="dxa" w:w="2882"/>
          </w:tcPr>
          <w:p>
            <w:r/>
            <w:r>
              <w:rPr>
                <w:rFonts w:ascii="宋体" w:hAnsi="宋体" w:eastAsia="宋体"/>
                <w:b w:val="0"/>
                <w:sz w:val="22"/>
              </w:rPr>
              <w:t>项目负责人</w:t>
            </w:r>
          </w:p>
        </w:tc>
        <w:tc>
          <w:tcPr>
            <w:tcW w:type="dxa" w:w="2882"/>
          </w:tcPr>
          <w:p>
            <w:r/>
            <w:r>
              <w:rPr>
                <w:rFonts w:ascii="宋体" w:hAnsi="宋体" w:eastAsia="宋体"/>
                <w:b w:val="0"/>
                <w:sz w:val="22"/>
              </w:rPr>
              <w:t>总体方案设计、特征解耦模块开发、实验方案制定、论文撰写</w:t>
            </w:r>
          </w:p>
        </w:tc>
      </w:tr>
      <w:tr>
        <w:tc>
          <w:tcPr>
            <w:tcW w:type="dxa" w:w="2882"/>
          </w:tcPr>
          <w:p>
            <w:r/>
            <w:r>
              <w:rPr>
                <w:rFonts w:ascii="宋体" w:hAnsi="宋体" w:eastAsia="宋体"/>
                <w:b w:val="0"/>
                <w:sz w:val="22"/>
              </w:rPr>
              <w:t>[成员2]</w:t>
            </w:r>
          </w:p>
        </w:tc>
        <w:tc>
          <w:tcPr>
            <w:tcW w:type="dxa" w:w="2882"/>
          </w:tcPr>
          <w:p>
            <w:r/>
            <w:r>
              <w:rPr>
                <w:rFonts w:ascii="宋体" w:hAnsi="宋体" w:eastAsia="宋体"/>
                <w:b w:val="0"/>
                <w:sz w:val="22"/>
              </w:rPr>
              <w:t>核心成员</w:t>
            </w:r>
          </w:p>
        </w:tc>
        <w:tc>
          <w:tcPr>
            <w:tcW w:type="dxa" w:w="2882"/>
          </w:tcPr>
          <w:p>
            <w:r/>
            <w:r>
              <w:rPr>
                <w:rFonts w:ascii="宋体" w:hAnsi="宋体" w:eastAsia="宋体"/>
                <w:b w:val="0"/>
                <w:sz w:val="22"/>
              </w:rPr>
              <w:t>VAE重构模块开发、四源融合策略实现、模型训练调优</w:t>
            </w:r>
          </w:p>
        </w:tc>
      </w:tr>
      <w:tr>
        <w:tc>
          <w:tcPr>
            <w:tcW w:type="dxa" w:w="2882"/>
          </w:tcPr>
          <w:p>
            <w:r/>
            <w:r>
              <w:rPr>
                <w:rFonts w:ascii="宋体" w:hAnsi="宋体" w:eastAsia="宋体"/>
                <w:b w:val="0"/>
                <w:sz w:val="22"/>
              </w:rPr>
              <w:t>[成员3]</w:t>
            </w:r>
          </w:p>
        </w:tc>
        <w:tc>
          <w:tcPr>
            <w:tcW w:type="dxa" w:w="2882"/>
          </w:tcPr>
          <w:p>
            <w:r/>
            <w:r>
              <w:rPr>
                <w:rFonts w:ascii="宋体" w:hAnsi="宋体" w:eastAsia="宋体"/>
                <w:b w:val="0"/>
                <w:sz w:val="22"/>
              </w:rPr>
              <w:t>核心成员</w:t>
            </w:r>
          </w:p>
        </w:tc>
        <w:tc>
          <w:tcPr>
            <w:tcW w:type="dxa" w:w="2882"/>
          </w:tcPr>
          <w:p>
            <w:r/>
            <w:r>
              <w:rPr>
                <w:rFonts w:ascii="宋体" w:hAnsi="宋体" w:eastAsia="宋体"/>
                <w:b w:val="0"/>
                <w:sz w:val="22"/>
              </w:rPr>
              <w:t>数据集预处理、基线方法复现（OSBP/UAN/Source Only）、可视化分析</w:t>
            </w:r>
          </w:p>
        </w:tc>
      </w:tr>
    </w:tbl>
    <w:p>
      <w:pPr>
        <w:spacing w:line="360" w:lineRule="auto" w:after="120"/>
      </w:pPr>
      <w:r>
        <w:rPr>
          <w:rFonts w:ascii="宋体" w:hAnsi="宋体" w:eastAsia="宋体"/>
          <w:b/>
          <w:sz w:val="24"/>
        </w:rPr>
        <w:t>合作机制：</w:t>
      </w:r>
    </w:p>
    <w:p>
      <w:pPr>
        <w:spacing w:line="360" w:lineRule="auto" w:after="120"/>
        <w:ind w:firstLine="420"/>
      </w:pPr>
      <w:r>
        <w:rPr>
          <w:rFonts w:ascii="宋体" w:hAnsi="宋体" w:eastAsia="宋体"/>
          <w:b w:val="0"/>
          <w:sz w:val="24"/>
        </w:rPr>
        <w:t>（1）每周召开项目例会，同步进展并讨论技术难题；（2）使用Git进行代码版本管理，各模块独立开发后集成测试；（3）实验阶段采用"一人主导、两人验证"模式，确保结果可复现；（4）结题阶段分工撰写报告各章节，互相审阅修改。</w:t>
      </w:r>
    </w:p>
    <w:p>
      <w:pPr>
        <w:spacing w:before="240" w:after="160"/>
      </w:pPr>
      <w:r>
        <w:rPr>
          <w:rFonts w:ascii="黑体" w:hAnsi="黑体" w:eastAsia="黑体"/>
          <w:b/>
          <w:sz w:val="28"/>
        </w:rPr>
        <w:t>（四）成果简述</w:t>
      </w:r>
    </w:p>
    <w:p>
      <w:pPr>
        <w:spacing w:line="360" w:lineRule="auto" w:after="120"/>
      </w:pPr>
      <w:r>
        <w:rPr>
          <w:rFonts w:ascii="宋体" w:hAnsi="宋体" w:eastAsia="宋体"/>
          <w:b/>
          <w:sz w:val="24"/>
        </w:rPr>
        <w:t>1. 核心指标达成</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tcPr>
          <w:p>
            <w:pPr>
              <w:jc w:val="center"/>
            </w:pPr>
            <w:r/>
            <w:r>
              <w:rPr>
                <w:rFonts w:ascii="黑体" w:hAnsi="黑体" w:eastAsia="黑体"/>
                <w:b/>
                <w:sz w:val="22"/>
              </w:rPr>
              <w:t>指标</w:t>
            </w:r>
          </w:p>
        </w:tc>
        <w:tc>
          <w:tcPr>
            <w:tcW w:type="dxa" w:w="1729"/>
          </w:tcPr>
          <w:p>
            <w:pPr>
              <w:jc w:val="center"/>
            </w:pPr>
            <w:r/>
            <w:r>
              <w:rPr>
                <w:rFonts w:ascii="黑体" w:hAnsi="黑体" w:eastAsia="黑体"/>
                <w:b/>
                <w:sz w:val="22"/>
              </w:rPr>
              <w:t>立项目标</w:t>
            </w:r>
          </w:p>
        </w:tc>
        <w:tc>
          <w:tcPr>
            <w:tcW w:type="dxa" w:w="1729"/>
          </w:tcPr>
          <w:p>
            <w:pPr>
              <w:jc w:val="center"/>
            </w:pPr>
            <w:r/>
            <w:r>
              <w:rPr>
                <w:rFonts w:ascii="黑体" w:hAnsi="黑体" w:eastAsia="黑体"/>
                <w:b/>
                <w:sz w:val="22"/>
              </w:rPr>
              <w:t>VisDA实际</w:t>
            </w:r>
          </w:p>
        </w:tc>
        <w:tc>
          <w:tcPr>
            <w:tcW w:type="dxa" w:w="1729"/>
          </w:tcPr>
          <w:p>
            <w:pPr>
              <w:jc w:val="center"/>
            </w:pPr>
            <w:r/>
            <w:r>
              <w:rPr>
                <w:rFonts w:ascii="黑体" w:hAnsi="黑体" w:eastAsia="黑体"/>
                <w:b/>
                <w:sz w:val="22"/>
              </w:rPr>
              <w:t>DomainNet实际</w:t>
            </w:r>
          </w:p>
        </w:tc>
        <w:tc>
          <w:tcPr>
            <w:tcW w:type="dxa" w:w="1729"/>
          </w:tcPr>
          <w:p>
            <w:pPr>
              <w:jc w:val="center"/>
            </w:pPr>
            <w:r/>
            <w:r>
              <w:rPr>
                <w:rFonts w:ascii="黑体" w:hAnsi="黑体" w:eastAsia="黑体"/>
                <w:b/>
                <w:sz w:val="22"/>
              </w:rPr>
              <w:t>达成状态</w:t>
            </w:r>
          </w:p>
        </w:tc>
      </w:tr>
      <w:tr>
        <w:tc>
          <w:tcPr>
            <w:tcW w:type="dxa" w:w="1729"/>
          </w:tcPr>
          <w:p>
            <w:pPr>
              <w:jc w:val="center"/>
            </w:pPr>
            <w:r/>
            <w:r>
              <w:rPr>
                <w:rFonts w:ascii="宋体" w:hAnsi="宋体" w:eastAsia="宋体"/>
                <w:b w:val="0"/>
                <w:sz w:val="22"/>
              </w:rPr>
              <w:t>已知类准确率</w:t>
            </w:r>
          </w:p>
        </w:tc>
        <w:tc>
          <w:tcPr>
            <w:tcW w:type="dxa" w:w="1729"/>
          </w:tcPr>
          <w:p>
            <w:pPr>
              <w:jc w:val="center"/>
            </w:pPr>
            <w:r/>
            <w:r>
              <w:rPr>
                <w:rFonts w:ascii="宋体" w:hAnsi="宋体" w:eastAsia="宋体"/>
                <w:b w:val="0"/>
                <w:sz w:val="22"/>
              </w:rPr>
              <w:t>≥76.5%</w:t>
            </w:r>
          </w:p>
        </w:tc>
        <w:tc>
          <w:tcPr>
            <w:tcW w:type="dxa" w:w="1729"/>
          </w:tcPr>
          <w:p>
            <w:pPr>
              <w:jc w:val="center"/>
            </w:pPr>
            <w:r/>
            <w:r>
              <w:rPr>
                <w:rFonts w:ascii="宋体" w:hAnsi="宋体" w:eastAsia="宋体"/>
                <w:b w:val="0"/>
                <w:sz w:val="22"/>
              </w:rPr>
              <w:t>83.82%</w:t>
            </w:r>
          </w:p>
        </w:tc>
        <w:tc>
          <w:tcPr>
            <w:tcW w:type="dxa" w:w="1729"/>
          </w:tcPr>
          <w:p>
            <w:pPr>
              <w:jc w:val="center"/>
            </w:pPr>
            <w:r/>
            <w:r>
              <w:rPr>
                <w:rFonts w:ascii="宋体" w:hAnsi="宋体" w:eastAsia="宋体"/>
                <w:b w:val="0"/>
                <w:sz w:val="22"/>
              </w:rPr>
              <w:t>85.90%</w:t>
            </w:r>
          </w:p>
        </w:tc>
        <w:tc>
          <w:tcPr>
            <w:tcW w:type="dxa" w:w="1729"/>
          </w:tcPr>
          <w:p>
            <w:pPr>
              <w:jc w:val="center"/>
            </w:pPr>
            <w:r/>
            <w:r>
              <w:rPr>
                <w:rFonts w:ascii="宋体" w:hAnsi="宋体" w:eastAsia="宋体"/>
                <w:b w:val="0"/>
                <w:sz w:val="22"/>
              </w:rPr>
              <w:t>超额达成</w:t>
            </w:r>
          </w:p>
        </w:tc>
      </w:tr>
      <w:tr>
        <w:tc>
          <w:tcPr>
            <w:tcW w:type="dxa" w:w="1729"/>
          </w:tcPr>
          <w:p>
            <w:pPr>
              <w:jc w:val="center"/>
            </w:pPr>
            <w:r/>
            <w:r>
              <w:rPr>
                <w:rFonts w:ascii="宋体" w:hAnsi="宋体" w:eastAsia="宋体"/>
                <w:b w:val="0"/>
                <w:sz w:val="22"/>
              </w:rPr>
              <w:t>AUROC</w:t>
            </w:r>
          </w:p>
        </w:tc>
        <w:tc>
          <w:tcPr>
            <w:tcW w:type="dxa" w:w="1729"/>
          </w:tcPr>
          <w:p>
            <w:pPr>
              <w:jc w:val="center"/>
            </w:pPr>
            <w:r/>
            <w:r>
              <w:rPr>
                <w:rFonts w:ascii="宋体" w:hAnsi="宋体" w:eastAsia="宋体"/>
                <w:b w:val="0"/>
                <w:sz w:val="22"/>
              </w:rPr>
              <w:t>≥75%</w:t>
            </w:r>
          </w:p>
        </w:tc>
        <w:tc>
          <w:tcPr>
            <w:tcW w:type="dxa" w:w="1729"/>
          </w:tcPr>
          <w:p>
            <w:pPr>
              <w:jc w:val="center"/>
            </w:pPr>
            <w:r/>
            <w:r>
              <w:rPr>
                <w:rFonts w:ascii="宋体" w:hAnsi="宋体" w:eastAsia="宋体"/>
                <w:b w:val="0"/>
                <w:sz w:val="22"/>
              </w:rPr>
              <w:t>86.19%</w:t>
            </w:r>
          </w:p>
        </w:tc>
        <w:tc>
          <w:tcPr>
            <w:tcW w:type="dxa" w:w="1729"/>
          </w:tcPr>
          <w:p>
            <w:pPr>
              <w:jc w:val="center"/>
            </w:pPr>
            <w:r/>
            <w:r>
              <w:rPr>
                <w:rFonts w:ascii="宋体" w:hAnsi="宋体" w:eastAsia="宋体"/>
                <w:b w:val="0"/>
                <w:sz w:val="22"/>
              </w:rPr>
              <w:t>96.37%</w:t>
            </w:r>
          </w:p>
        </w:tc>
        <w:tc>
          <w:tcPr>
            <w:tcW w:type="dxa" w:w="1729"/>
          </w:tcPr>
          <w:p>
            <w:pPr>
              <w:jc w:val="center"/>
            </w:pPr>
            <w:r/>
            <w:r>
              <w:rPr>
                <w:rFonts w:ascii="宋体" w:hAnsi="宋体" w:eastAsia="宋体"/>
                <w:b w:val="0"/>
                <w:sz w:val="22"/>
              </w:rPr>
              <w:t>超额达成</w:t>
            </w:r>
          </w:p>
        </w:tc>
      </w:tr>
      <w:tr>
        <w:tc>
          <w:tcPr>
            <w:tcW w:type="dxa" w:w="1729"/>
          </w:tcPr>
          <w:p>
            <w:pPr>
              <w:jc w:val="center"/>
            </w:pPr>
            <w:r/>
            <w:r>
              <w:rPr>
                <w:rFonts w:ascii="宋体" w:hAnsi="宋体" w:eastAsia="宋体"/>
                <w:b w:val="0"/>
                <w:sz w:val="22"/>
              </w:rPr>
              <w:t>H-score</w:t>
            </w:r>
          </w:p>
        </w:tc>
        <w:tc>
          <w:tcPr>
            <w:tcW w:type="dxa" w:w="1729"/>
          </w:tcPr>
          <w:p>
            <w:pPr>
              <w:jc w:val="center"/>
            </w:pPr>
            <w:r/>
            <w:r>
              <w:rPr>
                <w:rFonts w:ascii="宋体" w:hAnsi="宋体" w:eastAsia="宋体"/>
                <w:b w:val="0"/>
                <w:sz w:val="22"/>
              </w:rPr>
              <w:t>≥65%</w:t>
            </w:r>
          </w:p>
        </w:tc>
        <w:tc>
          <w:tcPr>
            <w:tcW w:type="dxa" w:w="1729"/>
          </w:tcPr>
          <w:p>
            <w:pPr>
              <w:jc w:val="center"/>
            </w:pPr>
            <w:r/>
            <w:r>
              <w:rPr>
                <w:rFonts w:ascii="宋体" w:hAnsi="宋体" w:eastAsia="宋体"/>
                <w:b w:val="0"/>
                <w:sz w:val="22"/>
              </w:rPr>
              <w:t>80.72%</w:t>
            </w:r>
          </w:p>
        </w:tc>
        <w:tc>
          <w:tcPr>
            <w:tcW w:type="dxa" w:w="1729"/>
          </w:tcPr>
          <w:p>
            <w:pPr>
              <w:jc w:val="center"/>
            </w:pPr>
            <w:r/>
            <w:r>
              <w:rPr>
                <w:rFonts w:ascii="宋体" w:hAnsi="宋体" w:eastAsia="宋体"/>
                <w:b w:val="0"/>
                <w:sz w:val="22"/>
              </w:rPr>
              <w:t>91.90%</w:t>
            </w:r>
          </w:p>
        </w:tc>
        <w:tc>
          <w:tcPr>
            <w:tcW w:type="dxa" w:w="1729"/>
          </w:tcPr>
          <w:p>
            <w:pPr>
              <w:jc w:val="center"/>
            </w:pPr>
            <w:r/>
            <w:r>
              <w:rPr>
                <w:rFonts w:ascii="宋体" w:hAnsi="宋体" w:eastAsia="宋体"/>
                <w:b w:val="0"/>
                <w:sz w:val="22"/>
              </w:rPr>
              <w:t>超额达成</w:t>
            </w:r>
          </w:p>
        </w:tc>
      </w:tr>
      <w:tr>
        <w:tc>
          <w:tcPr>
            <w:tcW w:type="dxa" w:w="1729"/>
          </w:tcPr>
          <w:p>
            <w:pPr>
              <w:jc w:val="center"/>
            </w:pPr>
            <w:r/>
            <w:r>
              <w:rPr>
                <w:rFonts w:ascii="宋体" w:hAnsi="宋体" w:eastAsia="宋体"/>
                <w:b w:val="0"/>
                <w:sz w:val="22"/>
              </w:rPr>
              <w:t>正交性得分</w:t>
            </w:r>
          </w:p>
        </w:tc>
        <w:tc>
          <w:tcPr>
            <w:tcW w:type="dxa" w:w="1729"/>
          </w:tcPr>
          <w:p>
            <w:pPr>
              <w:jc w:val="center"/>
            </w:pPr>
            <w:r/>
            <w:r>
              <w:rPr>
                <w:rFonts w:ascii="宋体" w:hAnsi="宋体" w:eastAsia="宋体"/>
                <w:b w:val="0"/>
                <w:sz w:val="22"/>
              </w:rPr>
              <w:t>≤0.3</w:t>
            </w:r>
          </w:p>
        </w:tc>
        <w:tc>
          <w:tcPr>
            <w:tcW w:type="dxa" w:w="1729"/>
          </w:tcPr>
          <w:p>
            <w:pPr>
              <w:jc w:val="center"/>
            </w:pPr>
            <w:r/>
            <w:r>
              <w:rPr>
                <w:rFonts w:ascii="宋体" w:hAnsi="宋体" w:eastAsia="宋体"/>
                <w:b w:val="0"/>
                <w:sz w:val="22"/>
              </w:rPr>
              <w:t>0.0913</w:t>
            </w:r>
          </w:p>
        </w:tc>
        <w:tc>
          <w:tcPr>
            <w:tcW w:type="dxa" w:w="1729"/>
          </w:tcPr>
          <w:p>
            <w:pPr>
              <w:jc w:val="center"/>
            </w:pPr>
            <w:r/>
            <w:r>
              <w:rPr>
                <w:rFonts w:ascii="宋体" w:hAnsi="宋体" w:eastAsia="宋体"/>
                <w:b w:val="0"/>
                <w:sz w:val="22"/>
              </w:rPr>
              <w:t>-</w:t>
            </w:r>
          </w:p>
        </w:tc>
        <w:tc>
          <w:tcPr>
            <w:tcW w:type="dxa" w:w="1729"/>
          </w:tcPr>
          <w:p>
            <w:pPr>
              <w:jc w:val="center"/>
            </w:pPr>
            <w:r/>
            <w:r>
              <w:rPr>
                <w:rFonts w:ascii="宋体" w:hAnsi="宋体" w:eastAsia="宋体"/>
                <w:b w:val="0"/>
                <w:sz w:val="22"/>
              </w:rPr>
              <w:t>远超目标</w:t>
            </w:r>
          </w:p>
        </w:tc>
      </w:tr>
    </w:tbl>
    <w:p>
      <w:pPr>
        <w:spacing w:line="360" w:lineRule="auto" w:after="120"/>
      </w:pPr>
      <w:r>
        <w:rPr>
          <w:rFonts w:ascii="宋体" w:hAnsi="宋体" w:eastAsia="宋体"/>
          <w:b/>
          <w:sz w:val="24"/>
        </w:rPr>
        <w:t>2. 知识产权</w:t>
      </w:r>
    </w:p>
    <w:p>
      <w:pPr>
        <w:spacing w:line="360" w:lineRule="auto" w:after="120"/>
        <w:ind w:firstLine="420"/>
      </w:pPr>
      <w:r>
        <w:rPr>
          <w:rFonts w:ascii="宋体" w:hAnsi="宋体" w:eastAsia="宋体"/>
          <w:b w:val="0"/>
          <w:sz w:val="24"/>
        </w:rPr>
        <w:t>国家发明专利已受理：申请号202610279677.6，名称：基于特征解耦与重构辅助的开放集域适应方法及系统。</w:t>
      </w:r>
    </w:p>
    <w:p>
      <w:pPr>
        <w:spacing w:line="360" w:lineRule="auto" w:after="120"/>
      </w:pPr>
      <w:r>
        <w:rPr>
          <w:rFonts w:ascii="宋体" w:hAnsi="宋体" w:eastAsia="宋体"/>
          <w:b/>
          <w:sz w:val="24"/>
        </w:rPr>
        <w:t>3. 主要方法贡献</w:t>
      </w:r>
    </w:p>
    <w:p>
      <w:pPr>
        <w:spacing w:line="360" w:lineRule="auto" w:after="120"/>
        <w:ind w:firstLine="420"/>
      </w:pPr>
      <w:r>
        <w:rPr>
          <w:rFonts w:ascii="宋体" w:hAnsi="宋体" w:eastAsia="宋体"/>
          <w:b w:val="0"/>
          <w:sz w:val="24"/>
        </w:rPr>
        <w:t>（1）提出了动态梯度反转层（DGRL），实现训练过程中自适应域对齐；（2）设计了双分支特征解耦架构，正交约束有效分离类别和域信息；（3）引入VAE重构模块作为独立异常检测信号源；（4）构建了四源融合检测策略，多维度协同判定未知类。</w:t>
      </w:r>
    </w:p>
    <w:p>
      <w:pPr>
        <w:spacing w:line="360" w:lineRule="auto" w:after="120"/>
      </w:pPr>
      <w:r>
        <w:rPr>
          <w:rFonts w:ascii="宋体" w:hAnsi="宋体" w:eastAsia="宋体"/>
          <w:b/>
          <w:sz w:val="24"/>
        </w:rPr>
        <w:t>4. 实验成果</w:t>
      </w:r>
    </w:p>
    <w:p>
      <w:pPr>
        <w:spacing w:line="360" w:lineRule="auto" w:after="120"/>
        <w:ind w:firstLine="420"/>
      </w:pPr>
      <w:r>
        <w:rPr>
          <w:rFonts w:ascii="宋体" w:hAnsi="宋体" w:eastAsia="宋体"/>
          <w:b w:val="0"/>
          <w:sz w:val="24"/>
        </w:rPr>
        <w:t>在DomainNet（Real→Clipart，200已知类+41未知类）上验证了方法在大规模类别空间下的有效性；在VisDA（Synthetic→Real，8已知类+2未知类）上验证了合成到真实场景的跨域迁移能力；在Office-Home四域泛化验证中证明了方法的跨数据集泛化能力（AUROC均值0.71）。</w:t>
      </w:r>
    </w:p>
    <w:p>
      <w:pPr>
        <w:spacing w:line="360" w:lineRule="auto" w:after="120"/>
        <w:ind w:firstLine="420"/>
      </w:pPr>
      <w:r>
        <w:rPr>
          <w:rFonts w:ascii="宋体" w:hAnsi="宋体" w:eastAsia="宋体"/>
          <w:b/>
          <w:sz w:val="24"/>
        </w:rPr>
        <w:t>【插入图片：图2-基线方法对比柱状图（07_fig7_baseline_comparison）】</w:t>
      </w:r>
    </w:p>
    <w:p>
      <w:r>
        <w:br w:type="page"/>
      </w:r>
    </w:p>
    <w:p>
      <w:pPr>
        <w:spacing w:before="360" w:after="240"/>
      </w:pPr>
      <w:r>
        <w:rPr>
          <w:rFonts w:ascii="黑体" w:hAnsi="黑体" w:eastAsia="黑体"/>
          <w:b/>
          <w:sz w:val="32"/>
        </w:rPr>
        <w:t>二、研究总结报告</w:t>
      </w:r>
    </w:p>
    <w:p>
      <w:pPr>
        <w:spacing w:before="240" w:after="160"/>
      </w:pPr>
      <w:r>
        <w:rPr>
          <w:rFonts w:ascii="黑体" w:hAnsi="黑体" w:eastAsia="黑体"/>
          <w:b/>
          <w:sz w:val="28"/>
        </w:rPr>
        <w:t>（一）预定计划执行情况，项目研究和实践情况</w:t>
      </w:r>
    </w:p>
    <w:p>
      <w:pPr>
        <w:spacing w:line="360" w:lineRule="auto" w:after="120"/>
      </w:pPr>
      <w:r>
        <w:rPr>
          <w:rFonts w:ascii="宋体" w:hAnsi="宋体" w:eastAsia="宋体"/>
          <w:b/>
          <w:sz w:val="24"/>
        </w:rPr>
        <w:t>1. 进度安排与完成情况</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pPr>
              <w:jc w:val="center"/>
            </w:pPr>
            <w:r/>
            <w:r>
              <w:rPr>
                <w:rFonts w:ascii="黑体" w:hAnsi="黑体" w:eastAsia="黑体"/>
                <w:b/>
                <w:sz w:val="22"/>
              </w:rPr>
              <w:t>阶段</w:t>
            </w:r>
          </w:p>
        </w:tc>
        <w:tc>
          <w:tcPr>
            <w:tcW w:type="dxa" w:w="2161"/>
          </w:tcPr>
          <w:p>
            <w:pPr>
              <w:jc w:val="center"/>
            </w:pPr>
            <w:r/>
            <w:r>
              <w:rPr>
                <w:rFonts w:ascii="黑体" w:hAnsi="黑体" w:eastAsia="黑体"/>
                <w:b/>
                <w:sz w:val="22"/>
              </w:rPr>
              <w:t>时间</w:t>
            </w:r>
          </w:p>
        </w:tc>
        <w:tc>
          <w:tcPr>
            <w:tcW w:type="dxa" w:w="2161"/>
          </w:tcPr>
          <w:p>
            <w:pPr>
              <w:jc w:val="center"/>
            </w:pPr>
            <w:r/>
            <w:r>
              <w:rPr>
                <w:rFonts w:ascii="黑体" w:hAnsi="黑体" w:eastAsia="黑体"/>
                <w:b/>
                <w:sz w:val="22"/>
              </w:rPr>
              <w:t>计划内容</w:t>
            </w:r>
          </w:p>
        </w:tc>
        <w:tc>
          <w:tcPr>
            <w:tcW w:type="dxa" w:w="2161"/>
          </w:tcPr>
          <w:p>
            <w:pPr>
              <w:jc w:val="center"/>
            </w:pPr>
            <w:r/>
            <w:r>
              <w:rPr>
                <w:rFonts w:ascii="黑体" w:hAnsi="黑体" w:eastAsia="黑体"/>
                <w:b/>
                <w:sz w:val="22"/>
              </w:rPr>
              <w:t>完成状态</w:t>
            </w:r>
          </w:p>
        </w:tc>
      </w:tr>
      <w:tr>
        <w:tc>
          <w:tcPr>
            <w:tcW w:type="dxa" w:w="2161"/>
          </w:tcPr>
          <w:p>
            <w:pPr>
              <w:jc w:val="center"/>
            </w:pPr>
            <w:r/>
            <w:r>
              <w:rPr>
                <w:rFonts w:ascii="宋体" w:hAnsi="宋体" w:eastAsia="宋体"/>
                <w:b w:val="0"/>
                <w:sz w:val="22"/>
              </w:rPr>
              <w:t>第一阶段</w:t>
            </w:r>
          </w:p>
        </w:tc>
        <w:tc>
          <w:tcPr>
            <w:tcW w:type="dxa" w:w="2161"/>
          </w:tcPr>
          <w:p>
            <w:pPr>
              <w:jc w:val="center"/>
            </w:pPr>
            <w:r/>
            <w:r>
              <w:rPr>
                <w:rFonts w:ascii="宋体" w:hAnsi="宋体" w:eastAsia="宋体"/>
                <w:b w:val="0"/>
                <w:sz w:val="22"/>
              </w:rPr>
              <w:t>2025.05-07</w:t>
            </w:r>
          </w:p>
        </w:tc>
        <w:tc>
          <w:tcPr>
            <w:tcW w:type="dxa" w:w="2161"/>
          </w:tcPr>
          <w:p>
            <w:pPr>
              <w:jc w:val="center"/>
            </w:pPr>
            <w:r/>
            <w:r>
              <w:rPr>
                <w:rFonts w:ascii="宋体" w:hAnsi="宋体" w:eastAsia="宋体"/>
                <w:b w:val="0"/>
                <w:sz w:val="22"/>
              </w:rPr>
              <w:t>文献调研、数据集准备、基线方法复现</w:t>
            </w:r>
          </w:p>
        </w:tc>
        <w:tc>
          <w:tcPr>
            <w:tcW w:type="dxa" w:w="2161"/>
          </w:tcPr>
          <w:p>
            <w:pPr>
              <w:jc w:val="center"/>
            </w:pPr>
            <w:r/>
            <w:r>
              <w:rPr>
                <w:rFonts w:ascii="宋体" w:hAnsi="宋体" w:eastAsia="宋体"/>
                <w:b w:val="0"/>
                <w:sz w:val="22"/>
              </w:rPr>
              <w:t>完成</w:t>
            </w:r>
          </w:p>
        </w:tc>
      </w:tr>
      <w:tr>
        <w:tc>
          <w:tcPr>
            <w:tcW w:type="dxa" w:w="2161"/>
          </w:tcPr>
          <w:p>
            <w:pPr>
              <w:jc w:val="center"/>
            </w:pPr>
            <w:r/>
            <w:r>
              <w:rPr>
                <w:rFonts w:ascii="宋体" w:hAnsi="宋体" w:eastAsia="宋体"/>
                <w:b w:val="0"/>
                <w:sz w:val="22"/>
              </w:rPr>
              <w:t>第二阶段</w:t>
            </w:r>
          </w:p>
        </w:tc>
        <w:tc>
          <w:tcPr>
            <w:tcW w:type="dxa" w:w="2161"/>
          </w:tcPr>
          <w:p>
            <w:pPr>
              <w:jc w:val="center"/>
            </w:pPr>
            <w:r/>
            <w:r>
              <w:rPr>
                <w:rFonts w:ascii="宋体" w:hAnsi="宋体" w:eastAsia="宋体"/>
                <w:b w:val="0"/>
                <w:sz w:val="22"/>
              </w:rPr>
              <w:t>2025.08-10</w:t>
            </w:r>
          </w:p>
        </w:tc>
        <w:tc>
          <w:tcPr>
            <w:tcW w:type="dxa" w:w="2161"/>
          </w:tcPr>
          <w:p>
            <w:pPr>
              <w:jc w:val="center"/>
            </w:pPr>
            <w:r/>
            <w:r>
              <w:rPr>
                <w:rFonts w:ascii="宋体" w:hAnsi="宋体" w:eastAsia="宋体"/>
                <w:b w:val="0"/>
                <w:sz w:val="22"/>
              </w:rPr>
              <w:t>特征解耦模块开发、域对抗训练实现</w:t>
            </w:r>
          </w:p>
        </w:tc>
        <w:tc>
          <w:tcPr>
            <w:tcW w:type="dxa" w:w="2161"/>
          </w:tcPr>
          <w:p>
            <w:pPr>
              <w:jc w:val="center"/>
            </w:pPr>
            <w:r/>
            <w:r>
              <w:rPr>
                <w:rFonts w:ascii="宋体" w:hAnsi="宋体" w:eastAsia="宋体"/>
                <w:b w:val="0"/>
                <w:sz w:val="22"/>
              </w:rPr>
              <w:t>完成</w:t>
            </w:r>
          </w:p>
        </w:tc>
      </w:tr>
      <w:tr>
        <w:tc>
          <w:tcPr>
            <w:tcW w:type="dxa" w:w="2161"/>
          </w:tcPr>
          <w:p>
            <w:pPr>
              <w:jc w:val="center"/>
            </w:pPr>
            <w:r/>
            <w:r>
              <w:rPr>
                <w:rFonts w:ascii="宋体" w:hAnsi="宋体" w:eastAsia="宋体"/>
                <w:b w:val="0"/>
                <w:sz w:val="22"/>
              </w:rPr>
              <w:t>第三阶段</w:t>
            </w:r>
          </w:p>
        </w:tc>
        <w:tc>
          <w:tcPr>
            <w:tcW w:type="dxa" w:w="2161"/>
          </w:tcPr>
          <w:p>
            <w:pPr>
              <w:jc w:val="center"/>
            </w:pPr>
            <w:r/>
            <w:r>
              <w:rPr>
                <w:rFonts w:ascii="宋体" w:hAnsi="宋体" w:eastAsia="宋体"/>
                <w:b w:val="0"/>
                <w:sz w:val="22"/>
              </w:rPr>
              <w:t>2025.11-2026.01</w:t>
            </w:r>
          </w:p>
        </w:tc>
        <w:tc>
          <w:tcPr>
            <w:tcW w:type="dxa" w:w="2161"/>
          </w:tcPr>
          <w:p>
            <w:pPr>
              <w:jc w:val="center"/>
            </w:pPr>
            <w:r/>
            <w:r>
              <w:rPr>
                <w:rFonts w:ascii="宋体" w:hAnsi="宋体" w:eastAsia="宋体"/>
                <w:b w:val="0"/>
                <w:sz w:val="22"/>
              </w:rPr>
              <w:t>VAE重构模块开发、四源融合策略实现</w:t>
            </w:r>
          </w:p>
        </w:tc>
        <w:tc>
          <w:tcPr>
            <w:tcW w:type="dxa" w:w="2161"/>
          </w:tcPr>
          <w:p>
            <w:pPr>
              <w:jc w:val="center"/>
            </w:pPr>
            <w:r/>
            <w:r>
              <w:rPr>
                <w:rFonts w:ascii="宋体" w:hAnsi="宋体" w:eastAsia="宋体"/>
                <w:b w:val="0"/>
                <w:sz w:val="22"/>
              </w:rPr>
              <w:t>完成</w:t>
            </w:r>
          </w:p>
        </w:tc>
      </w:tr>
      <w:tr>
        <w:tc>
          <w:tcPr>
            <w:tcW w:type="dxa" w:w="2161"/>
          </w:tcPr>
          <w:p>
            <w:pPr>
              <w:jc w:val="center"/>
            </w:pPr>
            <w:r/>
            <w:r>
              <w:rPr>
                <w:rFonts w:ascii="宋体" w:hAnsi="宋体" w:eastAsia="宋体"/>
                <w:b w:val="0"/>
                <w:sz w:val="22"/>
              </w:rPr>
              <w:t>第四阶段</w:t>
            </w:r>
          </w:p>
        </w:tc>
        <w:tc>
          <w:tcPr>
            <w:tcW w:type="dxa" w:w="2161"/>
          </w:tcPr>
          <w:p>
            <w:pPr>
              <w:jc w:val="center"/>
            </w:pPr>
            <w:r/>
            <w:r>
              <w:rPr>
                <w:rFonts w:ascii="宋体" w:hAnsi="宋体" w:eastAsia="宋体"/>
                <w:b w:val="0"/>
                <w:sz w:val="22"/>
              </w:rPr>
              <w:t>2026.02-04</w:t>
            </w:r>
          </w:p>
        </w:tc>
        <w:tc>
          <w:tcPr>
            <w:tcW w:type="dxa" w:w="2161"/>
          </w:tcPr>
          <w:p>
            <w:pPr>
              <w:jc w:val="center"/>
            </w:pPr>
            <w:r/>
            <w:r>
              <w:rPr>
                <w:rFonts w:ascii="宋体" w:hAnsi="宋体" w:eastAsia="宋体"/>
                <w:b w:val="0"/>
                <w:sz w:val="22"/>
              </w:rPr>
              <w:t>系统集成训练、消融实验、泛化验证</w:t>
            </w:r>
          </w:p>
        </w:tc>
        <w:tc>
          <w:tcPr>
            <w:tcW w:type="dxa" w:w="2161"/>
          </w:tcPr>
          <w:p>
            <w:pPr>
              <w:jc w:val="center"/>
            </w:pPr>
            <w:r/>
            <w:r>
              <w:rPr>
                <w:rFonts w:ascii="宋体" w:hAnsi="宋体" w:eastAsia="宋体"/>
                <w:b w:val="0"/>
                <w:sz w:val="22"/>
              </w:rPr>
              <w:t>完成</w:t>
            </w:r>
          </w:p>
        </w:tc>
      </w:tr>
      <w:tr>
        <w:tc>
          <w:tcPr>
            <w:tcW w:type="dxa" w:w="2161"/>
          </w:tcPr>
          <w:p>
            <w:pPr>
              <w:jc w:val="center"/>
            </w:pPr>
            <w:r/>
            <w:r>
              <w:rPr>
                <w:rFonts w:ascii="宋体" w:hAnsi="宋体" w:eastAsia="宋体"/>
                <w:b w:val="0"/>
                <w:sz w:val="22"/>
              </w:rPr>
              <w:t>第五阶段</w:t>
            </w:r>
          </w:p>
        </w:tc>
        <w:tc>
          <w:tcPr>
            <w:tcW w:type="dxa" w:w="2161"/>
          </w:tcPr>
          <w:p>
            <w:pPr>
              <w:jc w:val="center"/>
            </w:pPr>
            <w:r/>
            <w:r>
              <w:rPr>
                <w:rFonts w:ascii="宋体" w:hAnsi="宋体" w:eastAsia="宋体"/>
                <w:b w:val="0"/>
                <w:sz w:val="22"/>
              </w:rPr>
              <w:t>2026.04-05</w:t>
            </w:r>
          </w:p>
        </w:tc>
        <w:tc>
          <w:tcPr>
            <w:tcW w:type="dxa" w:w="2161"/>
          </w:tcPr>
          <w:p>
            <w:pPr>
              <w:jc w:val="center"/>
            </w:pPr>
            <w:r/>
            <w:r>
              <w:rPr>
                <w:rFonts w:ascii="宋体" w:hAnsi="宋体" w:eastAsia="宋体"/>
                <w:b w:val="0"/>
                <w:sz w:val="22"/>
              </w:rPr>
              <w:t>结果分析、论文撰写、专利申请、结题答辩</w:t>
            </w:r>
          </w:p>
        </w:tc>
        <w:tc>
          <w:tcPr>
            <w:tcW w:type="dxa" w:w="2161"/>
          </w:tcPr>
          <w:p>
            <w:pPr>
              <w:jc w:val="center"/>
            </w:pPr>
            <w:r/>
            <w:r>
              <w:rPr>
                <w:rFonts w:ascii="宋体" w:hAnsi="宋体" w:eastAsia="宋体"/>
                <w:b w:val="0"/>
                <w:sz w:val="22"/>
              </w:rPr>
              <w:t>完成</w:t>
            </w:r>
          </w:p>
        </w:tc>
      </w:tr>
    </w:tbl>
    <w:p>
      <w:pPr>
        <w:spacing w:line="360" w:lineRule="auto" w:after="120"/>
        <w:ind w:firstLine="420"/>
      </w:pPr>
      <w:r>
        <w:rPr>
          <w:rFonts w:ascii="宋体" w:hAnsi="宋体" w:eastAsia="宋体"/>
          <w:b/>
          <w:sz w:val="24"/>
        </w:rPr>
        <w:t>所有24项子任务全部按期完成，完成率100%。</w:t>
      </w:r>
    </w:p>
    <w:p>
      <w:pPr>
        <w:spacing w:line="360" w:lineRule="auto" w:after="120"/>
      </w:pPr>
      <w:r>
        <w:rPr>
          <w:rFonts w:ascii="宋体" w:hAnsi="宋体" w:eastAsia="宋体"/>
          <w:b/>
          <w:sz w:val="24"/>
        </w:rPr>
        <w:t>2. 完成内容</w:t>
      </w:r>
    </w:p>
    <w:p>
      <w:pPr>
        <w:spacing w:line="360" w:lineRule="auto" w:after="120"/>
        <w:ind w:firstLine="420"/>
      </w:pPr>
      <w:r>
        <w:rPr>
          <w:rFonts w:ascii="宋体" w:hAnsi="宋体" w:eastAsia="宋体"/>
          <w:b w:val="0"/>
          <w:sz w:val="24"/>
        </w:rPr>
        <w:t>（1）数据准备与基线复现：处理了三个标准OSDA基准数据集（DomainNet、VisDA、Office-Home）。复现了三个经典基线方法（Source Only、OSBP、UAN），建立了公平对比的评估框架。</w:t>
      </w:r>
    </w:p>
    <w:p>
      <w:pPr>
        <w:spacing w:line="360" w:lineRule="auto" w:after="120"/>
        <w:ind w:firstLine="420"/>
      </w:pPr>
      <w:r>
        <w:rPr>
          <w:rFonts w:ascii="宋体" w:hAnsi="宋体" w:eastAsia="宋体"/>
          <w:b w:val="0"/>
          <w:sz w:val="24"/>
        </w:rPr>
        <w:t>（2）核心方法开发：基于ConvNeXt-V2-Tiny主干网络（768维输出），构建了完整的OSDA框架。特征投影层：FC(768→1024) + BatchNorm + ReLU + Dropout(0.3)；双分支特征解耦：类别分支(1024→512→C) + 域分支(1024→512→1)，Gram矩阵正交约束；动态梯度反转层：α(t) = 1.0 × 0.95^(epoch/2)，每2轮衰减一次；VAE重构模块：编码器(2048→1536→latent×2) + 重参数化 + 解码器(latent→1536→2048)，β=0.0005；四源融合检测：置信度30%+距离40%+重构误差20%+方差10%。</w:t>
      </w:r>
    </w:p>
    <w:p>
      <w:pPr>
        <w:spacing w:line="360" w:lineRule="auto" w:after="120"/>
        <w:ind w:firstLine="420"/>
      </w:pPr>
      <w:r>
        <w:rPr>
          <w:rFonts w:ascii="宋体" w:hAnsi="宋体" w:eastAsia="宋体"/>
          <w:b w:val="0"/>
          <w:sz w:val="24"/>
        </w:rPr>
        <w:t>（3）三阶段动态训练：第一阶段（Epoch 0-4）平衡期，侧重分类和重构基础学习；第二阶段（Epoch 5-19）域对抗期，增强域对抗对齐分布；第三阶段（Epoch 20-34）开放集优化期，保护类别信息，优化检测能力。</w:t>
      </w:r>
    </w:p>
    <w:p>
      <w:pPr>
        <w:spacing w:line="360" w:lineRule="auto" w:after="120"/>
        <w:ind w:firstLine="420"/>
      </w:pPr>
      <w:r>
        <w:rPr>
          <w:rFonts w:ascii="宋体" w:hAnsi="宋体" w:eastAsia="宋体"/>
          <w:b/>
          <w:sz w:val="24"/>
        </w:rPr>
        <w:t>【插入图片：图3-特征解耦模块结构（02_fig2_disentanglement）】</w:t>
      </w:r>
    </w:p>
    <w:p>
      <w:pPr>
        <w:spacing w:line="360" w:lineRule="auto" w:after="120"/>
        <w:ind w:firstLine="420"/>
      </w:pPr>
      <w:r>
        <w:rPr>
          <w:rFonts w:ascii="宋体" w:hAnsi="宋体" w:eastAsia="宋体"/>
          <w:b/>
          <w:sz w:val="24"/>
        </w:rPr>
        <w:t>【插入图片：图4-三阶段训练Gantt图（05_fig5_three_stage_gantt）】</w:t>
      </w:r>
    </w:p>
    <w:p>
      <w:pPr>
        <w:spacing w:line="360" w:lineRule="auto" w:after="120"/>
        <w:ind w:firstLine="420"/>
      </w:pPr>
      <w:r>
        <w:rPr>
          <w:rFonts w:ascii="宋体" w:hAnsi="宋体" w:eastAsia="宋体"/>
          <w:b w:val="0"/>
          <w:sz w:val="24"/>
        </w:rPr>
        <w:t>（4）实验验证：基线对比显示VisDA上已知类准确率83.82%，超越所有基线方法（最高71.42%）；消融实验验证了四源融合是性能跃升的关键（AUROC +48.4%）；泛化验证在Office-Home四个未见域上AUROC均值0.71。</w:t>
      </w:r>
    </w:p>
    <w:p>
      <w:pPr>
        <w:spacing w:line="360" w:lineRule="auto" w:after="120"/>
        <w:ind w:firstLine="420"/>
      </w:pPr>
      <w:r>
        <w:rPr>
          <w:rFonts w:ascii="宋体" w:hAnsi="宋体" w:eastAsia="宋体"/>
          <w:b/>
          <w:sz w:val="24"/>
        </w:rPr>
        <w:t>【插入图片：图5-消融实验柱状图（08_fig8_ablation_study）】</w:t>
      </w:r>
    </w:p>
    <w:p>
      <w:pPr>
        <w:spacing w:line="360" w:lineRule="auto" w:after="120"/>
      </w:pPr>
      <w:r>
        <w:rPr>
          <w:rFonts w:ascii="宋体" w:hAnsi="宋体" w:eastAsia="宋体"/>
          <w:b/>
          <w:sz w:val="24"/>
        </w:rPr>
        <w:t>3. 关键技术及效果</w:t>
      </w:r>
    </w:p>
    <w:tbl>
      <w:tblPr>
        <w:tblStyle w:val="TableGrid"/>
        <w:tblW w:type="auto" w:w="0"/>
        <w:tblLook w:firstColumn="1" w:firstRow="1" w:lastColumn="0" w:lastRow="0" w:noHBand="0" w:noVBand="1" w:val="04A0"/>
      </w:tblPr>
      <w:tblGrid>
        <w:gridCol w:w="2882"/>
        <w:gridCol w:w="2882"/>
        <w:gridCol w:w="2882"/>
      </w:tblGrid>
      <w:tr>
        <w:tc>
          <w:tcPr>
            <w:tcW w:type="dxa" w:w="2882"/>
          </w:tcPr>
          <w:p>
            <w:pPr>
              <w:jc w:val="center"/>
            </w:pPr>
            <w:r/>
            <w:r>
              <w:rPr>
                <w:rFonts w:ascii="黑体" w:hAnsi="黑体" w:eastAsia="黑体"/>
                <w:b/>
                <w:sz w:val="22"/>
              </w:rPr>
              <w:t>关键技术</w:t>
            </w:r>
          </w:p>
        </w:tc>
        <w:tc>
          <w:tcPr>
            <w:tcW w:type="dxa" w:w="2882"/>
          </w:tcPr>
          <w:p>
            <w:pPr>
              <w:jc w:val="center"/>
            </w:pPr>
            <w:r/>
            <w:r>
              <w:rPr>
                <w:rFonts w:ascii="黑体" w:hAnsi="黑体" w:eastAsia="黑体"/>
                <w:b/>
                <w:sz w:val="22"/>
              </w:rPr>
              <w:t>技术要点</w:t>
            </w:r>
          </w:p>
        </w:tc>
        <w:tc>
          <w:tcPr>
            <w:tcW w:type="dxa" w:w="2882"/>
          </w:tcPr>
          <w:p>
            <w:pPr>
              <w:jc w:val="center"/>
            </w:pPr>
            <w:r/>
            <w:r>
              <w:rPr>
                <w:rFonts w:ascii="黑体" w:hAnsi="黑体" w:eastAsia="黑体"/>
                <w:b/>
                <w:sz w:val="22"/>
              </w:rPr>
              <w:t>效果</w:t>
            </w:r>
          </w:p>
        </w:tc>
      </w:tr>
      <w:tr>
        <w:tc>
          <w:tcPr>
            <w:tcW w:type="dxa" w:w="2882"/>
          </w:tcPr>
          <w:p>
            <w:pPr>
              <w:jc w:val="center"/>
            </w:pPr>
            <w:r/>
            <w:r>
              <w:rPr>
                <w:rFonts w:ascii="宋体" w:hAnsi="宋体" w:eastAsia="宋体"/>
                <w:b w:val="0"/>
                <w:sz w:val="22"/>
              </w:rPr>
              <w:t>动态GRL</w:t>
            </w:r>
          </w:p>
        </w:tc>
        <w:tc>
          <w:tcPr>
            <w:tcW w:type="dxa" w:w="2882"/>
          </w:tcPr>
          <w:p>
            <w:pPr>
              <w:jc w:val="center"/>
            </w:pPr>
            <w:r/>
            <w:r>
              <w:rPr>
                <w:rFonts w:ascii="宋体" w:hAnsi="宋体" w:eastAsia="宋体"/>
                <w:b w:val="0"/>
                <w:sz w:val="22"/>
              </w:rPr>
              <w:t>α从1.0指数衰减至0.1-0.3</w:t>
            </w:r>
          </w:p>
        </w:tc>
        <w:tc>
          <w:tcPr>
            <w:tcW w:type="dxa" w:w="2882"/>
          </w:tcPr>
          <w:p>
            <w:pPr>
              <w:jc w:val="center"/>
            </w:pPr>
            <w:r/>
            <w:r>
              <w:rPr>
                <w:rFonts w:ascii="宋体" w:hAnsi="宋体" w:eastAsia="宋体"/>
                <w:b w:val="0"/>
                <w:sz w:val="22"/>
              </w:rPr>
              <w:t>已知类准确率+5.32%</w:t>
            </w:r>
          </w:p>
        </w:tc>
      </w:tr>
      <w:tr>
        <w:tc>
          <w:tcPr>
            <w:tcW w:type="dxa" w:w="2882"/>
          </w:tcPr>
          <w:p>
            <w:pPr>
              <w:jc w:val="center"/>
            </w:pPr>
            <w:r/>
            <w:r>
              <w:rPr>
                <w:rFonts w:ascii="宋体" w:hAnsi="宋体" w:eastAsia="宋体"/>
                <w:b w:val="0"/>
                <w:sz w:val="22"/>
              </w:rPr>
              <w:t>双分支特征解耦</w:t>
            </w:r>
          </w:p>
        </w:tc>
        <w:tc>
          <w:tcPr>
            <w:tcW w:type="dxa" w:w="2882"/>
          </w:tcPr>
          <w:p>
            <w:pPr>
              <w:jc w:val="center"/>
            </w:pPr>
            <w:r/>
            <w:r>
              <w:rPr>
                <w:rFonts w:ascii="宋体" w:hAnsi="宋体" w:eastAsia="宋体"/>
                <w:b w:val="0"/>
                <w:sz w:val="22"/>
              </w:rPr>
              <w:t>Gram矩阵正交约束(得分0.0913)</w:t>
            </w:r>
          </w:p>
        </w:tc>
        <w:tc>
          <w:tcPr>
            <w:tcW w:type="dxa" w:w="2882"/>
          </w:tcPr>
          <w:p>
            <w:pPr>
              <w:jc w:val="center"/>
            </w:pPr>
            <w:r/>
            <w:r>
              <w:rPr>
                <w:rFonts w:ascii="宋体" w:hAnsi="宋体" w:eastAsia="宋体"/>
                <w:b w:val="0"/>
                <w:sz w:val="22"/>
              </w:rPr>
              <w:t>类别和域信息有效分离</w:t>
            </w:r>
          </w:p>
        </w:tc>
      </w:tr>
      <w:tr>
        <w:tc>
          <w:tcPr>
            <w:tcW w:type="dxa" w:w="2882"/>
          </w:tcPr>
          <w:p>
            <w:pPr>
              <w:jc w:val="center"/>
            </w:pPr>
            <w:r/>
            <w:r>
              <w:rPr>
                <w:rFonts w:ascii="宋体" w:hAnsi="宋体" w:eastAsia="宋体"/>
                <w:b w:val="0"/>
                <w:sz w:val="22"/>
              </w:rPr>
              <w:t>VAE重构辅助</w:t>
            </w:r>
          </w:p>
        </w:tc>
        <w:tc>
          <w:tcPr>
            <w:tcW w:type="dxa" w:w="2882"/>
          </w:tcPr>
          <w:p>
            <w:pPr>
              <w:jc w:val="center"/>
            </w:pPr>
            <w:r/>
            <w:r>
              <w:rPr>
                <w:rFonts w:ascii="宋体" w:hAnsi="宋体" w:eastAsia="宋体"/>
                <w:b w:val="0"/>
                <w:sz w:val="22"/>
              </w:rPr>
              <w:t>β=0.0005，拼接2048维输入</w:t>
            </w:r>
          </w:p>
        </w:tc>
        <w:tc>
          <w:tcPr>
            <w:tcW w:type="dxa" w:w="2882"/>
          </w:tcPr>
          <w:p>
            <w:pPr>
              <w:jc w:val="center"/>
            </w:pPr>
            <w:r/>
            <w:r>
              <w:rPr>
                <w:rFonts w:ascii="宋体" w:hAnsi="宋体" w:eastAsia="宋体"/>
                <w:b w:val="0"/>
                <w:sz w:val="22"/>
              </w:rPr>
              <w:t>提供独立异常信号</w:t>
            </w:r>
          </w:p>
        </w:tc>
      </w:tr>
      <w:tr>
        <w:tc>
          <w:tcPr>
            <w:tcW w:type="dxa" w:w="2882"/>
          </w:tcPr>
          <w:p>
            <w:pPr>
              <w:jc w:val="center"/>
            </w:pPr>
            <w:r/>
            <w:r>
              <w:rPr>
                <w:rFonts w:ascii="宋体" w:hAnsi="宋体" w:eastAsia="宋体"/>
                <w:b w:val="0"/>
                <w:sz w:val="22"/>
              </w:rPr>
              <w:t>四源融合检测</w:t>
            </w:r>
          </w:p>
        </w:tc>
        <w:tc>
          <w:tcPr>
            <w:tcW w:type="dxa" w:w="2882"/>
          </w:tcPr>
          <w:p>
            <w:pPr>
              <w:jc w:val="center"/>
            </w:pPr>
            <w:r/>
            <w:r>
              <w:rPr>
                <w:rFonts w:ascii="宋体" w:hAnsi="宋体" w:eastAsia="宋体"/>
                <w:b w:val="0"/>
                <w:sz w:val="22"/>
              </w:rPr>
              <w:t>网格搜索确定最优权重</w:t>
            </w:r>
          </w:p>
        </w:tc>
        <w:tc>
          <w:tcPr>
            <w:tcW w:type="dxa" w:w="2882"/>
          </w:tcPr>
          <w:p>
            <w:pPr>
              <w:jc w:val="center"/>
            </w:pPr>
            <w:r/>
            <w:r>
              <w:rPr>
                <w:rFonts w:ascii="宋体" w:hAnsi="宋体" w:eastAsia="宋体"/>
                <w:b w:val="0"/>
                <w:sz w:val="22"/>
              </w:rPr>
              <w:t>AUROC +48.4%</w:t>
            </w:r>
          </w:p>
        </w:tc>
      </w:tr>
      <w:tr>
        <w:tc>
          <w:tcPr>
            <w:tcW w:type="dxa" w:w="2882"/>
          </w:tcPr>
          <w:p>
            <w:pPr>
              <w:jc w:val="center"/>
            </w:pPr>
            <w:r/>
            <w:r>
              <w:rPr>
                <w:rFonts w:ascii="宋体" w:hAnsi="宋体" w:eastAsia="宋体"/>
                <w:b w:val="0"/>
                <w:sz w:val="22"/>
              </w:rPr>
              <w:t>三阶段训练</w:t>
            </w:r>
          </w:p>
        </w:tc>
        <w:tc>
          <w:tcPr>
            <w:tcW w:type="dxa" w:w="2882"/>
          </w:tcPr>
          <w:p>
            <w:pPr>
              <w:jc w:val="center"/>
            </w:pPr>
            <w:r/>
            <w:r>
              <w:rPr>
                <w:rFonts w:ascii="宋体" w:hAnsi="宋体" w:eastAsia="宋体"/>
                <w:b w:val="0"/>
                <w:sz w:val="22"/>
              </w:rPr>
              <w:t>平衡→对抗→优化</w:t>
            </w:r>
          </w:p>
        </w:tc>
        <w:tc>
          <w:tcPr>
            <w:tcW w:type="dxa" w:w="2882"/>
          </w:tcPr>
          <w:p>
            <w:pPr>
              <w:jc w:val="center"/>
            </w:pPr>
            <w:r/>
            <w:r>
              <w:rPr>
                <w:rFonts w:ascii="宋体" w:hAnsi="宋体" w:eastAsia="宋体"/>
                <w:b w:val="0"/>
                <w:sz w:val="22"/>
              </w:rPr>
              <w:t>协调多任务冲突</w:t>
            </w:r>
          </w:p>
        </w:tc>
      </w:tr>
    </w:tbl>
    <w:p>
      <w:pPr>
        <w:spacing w:before="240" w:after="160"/>
      </w:pPr>
      <w:r>
        <w:rPr>
          <w:rFonts w:ascii="黑体" w:hAnsi="黑体" w:eastAsia="黑体"/>
          <w:b/>
          <w:sz w:val="28"/>
        </w:rPr>
        <w:t>（二）项目实施的收获与体会</w:t>
      </w:r>
    </w:p>
    <w:p>
      <w:pPr>
        <w:spacing w:line="360" w:lineRule="auto" w:after="120"/>
      </w:pPr>
      <w:r>
        <w:rPr>
          <w:rFonts w:ascii="宋体" w:hAnsi="宋体" w:eastAsia="宋体"/>
          <w:b/>
          <w:sz w:val="24"/>
        </w:rPr>
        <w:t>1. 学术收获</w:t>
      </w:r>
    </w:p>
    <w:p>
      <w:pPr>
        <w:spacing w:line="360" w:lineRule="auto" w:after="120"/>
        <w:ind w:firstLine="420"/>
      </w:pPr>
      <w:r>
        <w:rPr>
          <w:rFonts w:ascii="宋体" w:hAnsi="宋体" w:eastAsia="宋体"/>
          <w:b w:val="0"/>
          <w:sz w:val="24"/>
        </w:rPr>
        <w:t>（1）对域适应理论的深入理解：通过本项目，我们系统地研究了域适应和开放集识别两个领域的核心文献，理解了域偏移的本质是特征分布的差异，而开放集检测的核心在于建立可靠的"已知-未知"判别边界。</w:t>
      </w:r>
    </w:p>
    <w:p>
      <w:pPr>
        <w:spacing w:line="360" w:lineRule="auto" w:after="120"/>
        <w:ind w:firstLine="420"/>
      </w:pPr>
      <w:r>
        <w:rPr>
          <w:rFonts w:ascii="宋体" w:hAnsi="宋体" w:eastAsia="宋体"/>
          <w:b w:val="0"/>
          <w:sz w:val="24"/>
        </w:rPr>
        <w:t>（2）对多任务学习挑战的认识：OSDA本质上是一个多任务学习问题。我们深刻体会到不同任务之间存在内在冲突，简单的联合训练无法取得最优效果。三阶段动态训练策略的实验成功让我们理解了"分而治之"的重要性。</w:t>
      </w:r>
    </w:p>
    <w:p>
      <w:pPr>
        <w:spacing w:line="360" w:lineRule="auto" w:after="120"/>
        <w:ind w:firstLine="420"/>
      </w:pPr>
      <w:r>
        <w:rPr>
          <w:rFonts w:ascii="宋体" w:hAnsi="宋体" w:eastAsia="宋体"/>
          <w:b w:val="0"/>
          <w:sz w:val="24"/>
        </w:rPr>
        <w:t>（3）对实验设计方法论的掌握：通过消融实验、网格搜索、多数据集验证等系统化实验设计，我们学会了如何严谨地证明每个模块的独立贡献。</w:t>
      </w:r>
    </w:p>
    <w:p>
      <w:pPr>
        <w:spacing w:line="360" w:lineRule="auto" w:after="120"/>
      </w:pPr>
      <w:r>
        <w:rPr>
          <w:rFonts w:ascii="宋体" w:hAnsi="宋体" w:eastAsia="宋体"/>
          <w:b/>
          <w:sz w:val="24"/>
        </w:rPr>
        <w:t>2. 工程能力提升</w:t>
      </w:r>
    </w:p>
    <w:p>
      <w:pPr>
        <w:spacing w:line="360" w:lineRule="auto" w:after="120"/>
        <w:ind w:firstLine="420"/>
      </w:pPr>
      <w:r>
        <w:rPr>
          <w:rFonts w:ascii="宋体" w:hAnsi="宋体" w:eastAsia="宋体"/>
          <w:b w:val="0"/>
          <w:sz w:val="24"/>
        </w:rPr>
        <w:t>掌握了PyTorch深度学习框架的模型定义、训练循环；学会了ConvNeXt-V2等现代CNN架构的使用和微调；积累了大量模型调参经验；熟悉了科研实验的完整流程。</w:t>
      </w:r>
    </w:p>
    <w:p>
      <w:pPr>
        <w:spacing w:line="360" w:lineRule="auto" w:after="120"/>
      </w:pPr>
      <w:r>
        <w:rPr>
          <w:rFonts w:ascii="宋体" w:hAnsi="宋体" w:eastAsia="宋体"/>
          <w:b/>
          <w:sz w:val="24"/>
        </w:rPr>
        <w:t>3. 团队协作体会</w:t>
      </w:r>
    </w:p>
    <w:p>
      <w:pPr>
        <w:spacing w:line="360" w:lineRule="auto" w:after="120"/>
        <w:ind w:firstLine="420"/>
      </w:pPr>
      <w:r>
        <w:rPr>
          <w:rFonts w:ascii="宋体" w:hAnsi="宋体" w:eastAsia="宋体"/>
          <w:b w:val="0"/>
          <w:sz w:val="24"/>
        </w:rPr>
        <w:t>定期交流和代码审查是保证项目质量的关键；模块化开发策略有效降低了集成难度；"写文档比写代码更重要"——清晰的接口定义减少了沟通成本。</w:t>
      </w:r>
    </w:p>
    <w:p>
      <w:pPr>
        <w:spacing w:before="240" w:after="160"/>
      </w:pPr>
      <w:r>
        <w:rPr>
          <w:rFonts w:ascii="黑体" w:hAnsi="黑体" w:eastAsia="黑体"/>
          <w:b/>
          <w:sz w:val="28"/>
        </w:rPr>
        <w:t>（三）项目工作有哪些不足</w:t>
      </w:r>
    </w:p>
    <w:p>
      <w:pPr>
        <w:spacing w:line="360" w:lineRule="auto" w:after="120"/>
        <w:ind w:firstLine="420"/>
      </w:pPr>
      <w:r>
        <w:rPr>
          <w:rFonts w:ascii="宋体" w:hAnsi="宋体" w:eastAsia="宋体"/>
          <w:b w:val="0"/>
          <w:sz w:val="24"/>
        </w:rPr>
        <w:t>1. 理论分析深度不足：方法中各模块的设计主要依赖实验驱动，缺乏对收敛性、泛化界等理论的严格数学证明。</w:t>
      </w:r>
    </w:p>
    <w:p>
      <w:pPr>
        <w:spacing w:line="360" w:lineRule="auto" w:after="120"/>
        <w:ind w:firstLine="420"/>
      </w:pPr>
      <w:r>
        <w:rPr>
          <w:rFonts w:ascii="宋体" w:hAnsi="宋体" w:eastAsia="宋体"/>
          <w:b w:val="0"/>
          <w:sz w:val="24"/>
        </w:rPr>
        <w:t>2. 大规模数据集验证缺失：受硬件资源限制（RTX 3090/RTX 4060 Ti 16GB），未在DomainNet全量345类上验证。</w:t>
      </w:r>
    </w:p>
    <w:p>
      <w:pPr>
        <w:spacing w:line="360" w:lineRule="auto" w:after="120"/>
        <w:ind w:firstLine="420"/>
      </w:pPr>
      <w:r>
        <w:rPr>
          <w:rFonts w:ascii="宋体" w:hAnsi="宋体" w:eastAsia="宋体"/>
          <w:b w:val="0"/>
          <w:sz w:val="24"/>
        </w:rPr>
        <w:t>3. 实际场景部署验证缺失：仅在标准基准数据集上测试，未在自动驾驶或医疗影像等真实应用场景中进行部署测试。</w:t>
      </w:r>
    </w:p>
    <w:p>
      <w:pPr>
        <w:spacing w:line="360" w:lineRule="auto" w:after="120"/>
        <w:ind w:firstLine="420"/>
      </w:pPr>
      <w:r>
        <w:rPr>
          <w:rFonts w:ascii="宋体" w:hAnsi="宋体" w:eastAsia="宋体"/>
          <w:b w:val="0"/>
          <w:sz w:val="24"/>
        </w:rPr>
        <w:t>4. 四源融合权重依赖验证集：当前权重通过目标域验证集网格搜索确定，在完全无监督场景下的自动权重选择仍需研究。</w:t>
      </w:r>
    </w:p>
    <w:p>
      <w:pPr>
        <w:spacing w:before="240" w:after="160"/>
      </w:pPr>
      <w:r>
        <w:rPr>
          <w:rFonts w:ascii="黑体" w:hAnsi="黑体" w:eastAsia="黑体"/>
          <w:b/>
          <w:sz w:val="28"/>
        </w:rPr>
        <w:t>（四）项目工作中困难与解决方法</w:t>
      </w:r>
    </w:p>
    <w:tbl>
      <w:tblPr>
        <w:tblStyle w:val="TableGrid"/>
        <w:tblW w:type="auto" w:w="0"/>
        <w:tblLook w:firstColumn="1" w:firstRow="1" w:lastColumn="0" w:lastRow="0" w:noHBand="0" w:noVBand="1" w:val="04A0"/>
      </w:tblPr>
      <w:tblGrid>
        <w:gridCol w:w="4323"/>
        <w:gridCol w:w="4323"/>
      </w:tblGrid>
      <w:tr>
        <w:tc>
          <w:tcPr>
            <w:tcW w:type="dxa" w:w="4323"/>
          </w:tcPr>
          <w:p>
            <w:pPr>
              <w:jc w:val="center"/>
            </w:pPr>
            <w:r/>
            <w:r>
              <w:rPr>
                <w:rFonts w:ascii="黑体" w:hAnsi="黑体" w:eastAsia="黑体"/>
                <w:b/>
                <w:sz w:val="22"/>
              </w:rPr>
              <w:t>困难</w:t>
            </w:r>
          </w:p>
        </w:tc>
        <w:tc>
          <w:tcPr>
            <w:tcW w:type="dxa" w:w="4323"/>
          </w:tcPr>
          <w:p>
            <w:pPr>
              <w:jc w:val="center"/>
            </w:pPr>
            <w:r/>
            <w:r>
              <w:rPr>
                <w:rFonts w:ascii="黑体" w:hAnsi="黑体" w:eastAsia="黑体"/>
                <w:b/>
                <w:sz w:val="22"/>
              </w:rPr>
              <w:t>解决方法</w:t>
            </w:r>
          </w:p>
        </w:tc>
      </w:tr>
      <w:tr>
        <w:tc>
          <w:tcPr>
            <w:tcW w:type="dxa" w:w="4323"/>
          </w:tcPr>
          <w:p>
            <w:r/>
            <w:r>
              <w:rPr>
                <w:rFonts w:ascii="宋体" w:hAnsi="宋体" w:eastAsia="宋体"/>
                <w:b w:val="0"/>
                <w:sz w:val="22"/>
              </w:rPr>
              <w:t>域对齐和分类的冲突：固定强度的对抗训练导致分类准确率下降</w:t>
            </w:r>
          </w:p>
        </w:tc>
        <w:tc>
          <w:tcPr>
            <w:tcW w:type="dxa" w:w="4323"/>
          </w:tcPr>
          <w:p>
            <w:r/>
            <w:r>
              <w:rPr>
                <w:rFonts w:ascii="宋体" w:hAnsi="宋体" w:eastAsia="宋体"/>
                <w:b w:val="0"/>
                <w:sz w:val="22"/>
              </w:rPr>
              <w:t>提出动态梯度反转层，让α随训练衰减，前期强对抗对齐域，后期降低强度保护类别信息</w:t>
            </w:r>
          </w:p>
        </w:tc>
      </w:tr>
      <w:tr>
        <w:tc>
          <w:tcPr>
            <w:tcW w:type="dxa" w:w="4323"/>
          </w:tcPr>
          <w:p>
            <w:r/>
            <w:r>
              <w:rPr>
                <w:rFonts w:ascii="宋体" w:hAnsi="宋体" w:eastAsia="宋体"/>
                <w:b w:val="0"/>
                <w:sz w:val="22"/>
              </w:rPr>
              <w:t>特征信息混淆：类别和域信息在特征中纠缠，难以分离</w:t>
            </w:r>
          </w:p>
        </w:tc>
        <w:tc>
          <w:tcPr>
            <w:tcW w:type="dxa" w:w="4323"/>
          </w:tcPr>
          <w:p>
            <w:r/>
            <w:r>
              <w:rPr>
                <w:rFonts w:ascii="宋体" w:hAnsi="宋体" w:eastAsia="宋体"/>
                <w:b w:val="0"/>
                <w:sz w:val="22"/>
              </w:rPr>
              <w:t>设计双分支解耦架构，用Gram矩阵正交约束迫使两分支学习互补信息</w:t>
            </w:r>
          </w:p>
        </w:tc>
      </w:tr>
      <w:tr>
        <w:tc>
          <w:tcPr>
            <w:tcW w:type="dxa" w:w="4323"/>
          </w:tcPr>
          <w:p>
            <w:r/>
            <w:r>
              <w:rPr>
                <w:rFonts w:ascii="宋体" w:hAnsi="宋体" w:eastAsia="宋体"/>
                <w:b w:val="0"/>
                <w:sz w:val="22"/>
              </w:rPr>
              <w:t>单一信号不够鲁棒：仅用置信度阈值检测未知类效果差（AUROC=58.07%）</w:t>
            </w:r>
          </w:p>
        </w:tc>
        <w:tc>
          <w:tcPr>
            <w:tcW w:type="dxa" w:w="4323"/>
          </w:tcPr>
          <w:p>
            <w:r/>
            <w:r>
              <w:rPr>
                <w:rFonts w:ascii="宋体" w:hAnsi="宋体" w:eastAsia="宋体"/>
                <w:b w:val="0"/>
                <w:sz w:val="22"/>
              </w:rPr>
              <w:t>引入四源融合策略，从置信度、距离、重构误差、方差四个维度综合判断</w:t>
            </w:r>
          </w:p>
        </w:tc>
      </w:tr>
      <w:tr>
        <w:tc>
          <w:tcPr>
            <w:tcW w:type="dxa" w:w="4323"/>
          </w:tcPr>
          <w:p>
            <w:r/>
            <w:r>
              <w:rPr>
                <w:rFonts w:ascii="宋体" w:hAnsi="宋体" w:eastAsia="宋体"/>
                <w:b w:val="0"/>
                <w:sz w:val="22"/>
              </w:rPr>
              <w:t>多任务损失调参困难：四个损失项的权重难以平衡</w:t>
            </w:r>
          </w:p>
        </w:tc>
        <w:tc>
          <w:tcPr>
            <w:tcW w:type="dxa" w:w="4323"/>
          </w:tcPr>
          <w:p>
            <w:r/>
            <w:r>
              <w:rPr>
                <w:rFonts w:ascii="宋体" w:hAnsi="宋体" w:eastAsia="宋体"/>
                <w:b w:val="0"/>
                <w:sz w:val="22"/>
              </w:rPr>
              <w:t>设计三阶段动态训练策略，分阶段调整各损失权重</w:t>
            </w:r>
          </w:p>
        </w:tc>
      </w:tr>
      <w:tr>
        <w:tc>
          <w:tcPr>
            <w:tcW w:type="dxa" w:w="4323"/>
          </w:tcPr>
          <w:p>
            <w:r/>
            <w:r>
              <w:rPr>
                <w:rFonts w:ascii="宋体" w:hAnsi="宋体" w:eastAsia="宋体"/>
                <w:b w:val="0"/>
                <w:sz w:val="22"/>
              </w:rPr>
              <w:t>硬件资源有限：GPU显存16GB，无法使用更大batch</w:t>
            </w:r>
          </w:p>
        </w:tc>
        <w:tc>
          <w:tcPr>
            <w:tcW w:type="dxa" w:w="4323"/>
          </w:tcPr>
          <w:p>
            <w:r/>
            <w:r>
              <w:rPr>
                <w:rFonts w:ascii="宋体" w:hAnsi="宋体" w:eastAsia="宋体"/>
                <w:b w:val="0"/>
                <w:sz w:val="22"/>
              </w:rPr>
              <w:t>采用梯度累积（累积2步）、混合精度训练和大模型冻结策略</w:t>
            </w:r>
          </w:p>
        </w:tc>
      </w:tr>
      <w:tr>
        <w:tc>
          <w:tcPr>
            <w:tcW w:type="dxa" w:w="4323"/>
          </w:tcPr>
          <w:p>
            <w:r/>
            <w:r>
              <w:rPr>
                <w:rFonts w:ascii="宋体" w:hAnsi="宋体" w:eastAsia="宋体"/>
                <w:b w:val="0"/>
                <w:sz w:val="22"/>
              </w:rPr>
              <w:t>OSBP基线复现困难：原始论文代码不兼容当前PyTorch版本</w:t>
            </w:r>
          </w:p>
        </w:tc>
        <w:tc>
          <w:tcPr>
            <w:tcW w:type="dxa" w:w="4323"/>
          </w:tcPr>
          <w:p>
            <w:r/>
            <w:r>
              <w:rPr>
                <w:rFonts w:ascii="宋体" w:hAnsi="宋体" w:eastAsia="宋体"/>
                <w:b w:val="0"/>
                <w:sz w:val="22"/>
              </w:rPr>
              <w:t>基于论文原理自行实现，用ConvNeXt-V2-Tiny替代原文的VGGNet</w:t>
            </w:r>
          </w:p>
        </w:tc>
      </w:tr>
    </w:tbl>
    <w:p/>
    <w:p>
      <w:pPr>
        <w:spacing w:line="360" w:lineRule="auto" w:after="120"/>
      </w:pPr>
      <w:r>
        <w:rPr>
          <w:rFonts w:ascii="宋体" w:hAnsi="宋体" w:eastAsia="宋体"/>
          <w:b/>
          <w:sz w:val="24"/>
        </w:rPr>
        <w:t>【插入图片：图6-跨域t-SNE特征分布（cross_domain_tsne）】</w:t>
      </w:r>
    </w:p>
    <w:p>
      <w:pPr>
        <w:spacing w:line="360" w:lineRule="auto" w:after="120"/>
      </w:pPr>
      <w:r>
        <w:rPr>
          <w:rFonts w:ascii="宋体" w:hAnsi="宋体" w:eastAsia="宋体"/>
          <w:b/>
          <w:sz w:val="24"/>
        </w:rPr>
        <w:t>【插入图片：图7-目标域分类结果示例（top_classes_classification）】</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