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line="240"/>
        <w:jc w:val="center"/>
      </w:pPr>
      <w:r>
        <w:rPr>
          <w:rFonts w:ascii="Calibri" w:cs="Calibri" w:eastAsia="宋体" w:hAnsi="Calibri"/>
          <w:b/>
          <w:bCs/>
          <w:color w:val="000000"/>
          <w:sz w:val="36"/>
          <w:szCs w:val="36"/>
        </w:rPr>
        <w:t xml:space="preserve">论文科研数据筛查系统建设蓝图</w:t>
      </w:r>
    </w:p>
    <w:p>
      <w:pPr>
        <w:spacing w:after="0" w:line="240"/>
        <w:jc w:val="center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V2.4｜本地交付版｜2026 年 10 月 11 日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一、项目定位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建设目标：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检查论文公开或已授权的科研数据，标出需要核对的位置，并提供原始数据明细。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主要用户：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研究人员、课题组负责人、科研管理人员、期刊编辑和数据审查人员。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处理材料：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CSV、TSV、XLSX、XLS、XLSM、XLSB、文字版 PDF 和 DOCX；扫描图片暂不支持。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核心原则：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只说明数据、位置和关系，不判断作者意图，不直接作违规认定。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二、需求依据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任务书要求发现跨组重复、固定加减、固定比例、线性关系、尾数规律、统计量不自洽和跨载体矛盾等问题。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PaperConan 推文强调由程序完成确定性计算，由 Agent 理解字段与研究语义，并由人工完成最终裁定。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共享对照、重新绘图、单位换算、归一化、公式派生、检测下限和固定分母均可能产生良性信号，必须主动排查。</w:t>
      </w:r>
    </w:p>
    <w:p>
      <w:pPr>
        <w:pStyle w:val="ListParagraph"/>
        <w:numPr>
          <w:ilvl w:val="0"/>
          <w:numId w:val="2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扫描结果必须说明已解析范围、规则覆盖和未覆盖原因；“没有报告”不能解释为“论文没有问题”。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三、核心业务流程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提交材料：上传同一论文的多份材料、输入 DOI/公开链接，或载入内置合成样例。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开始检查：系统校验文件格式、大小和检查范围。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查看结果：先查看材料读取情况，再按文件、数据表、行列核对原始数值；跨文件结果并列展示。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回原表核对：确认单位、公式和原始记录；可选逐条 AI 解释，也可提交参考版本并明确匹配方式核对数值差异。</w:t>
      </w:r>
    </w:p>
    <w:p>
      <w:pPr>
        <w:pStyle w:val="ListParagraph"/>
        <w:numPr>
          <w:ilvl w:val="0"/>
          <w:numId w:val="3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保存结果：用户记录复核意见，下载初筛 JSON/HTML 或冻结的 Word、PDF、Excel、HTML 报告。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四、产品页面</w:t>
      </w:r>
    </w:p>
    <w:p>
      <w:pPr>
        <w:keepNext/>
        <w:spacing w:after="0" w:before="80" w:line="240"/>
        <w:jc w:val="left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1. 开始筛查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主页面包含材料上传、检查范围、处理状态、待核对内容和原始数据；只使用研究人员日常用语。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材料区：多选或拖拽追加，逐份移除、清空；最多 20 份，每份 20 MB，合计 100 MB，重名拒绝。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范围区：快速、标准和全面三个选项，并用括号说明适用范围。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状态区：显示等待中、检查中、已完成或未完成。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结果区：显示文件、数据表、数值和待核对数量，并说明每份材料的读取情况及未完成范围。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明细区：按关键词和优先级筛选，点击后查看位置、数据关系和原始数值。</w:t>
      </w:r>
    </w:p>
    <w:p>
      <w:pPr>
        <w:pStyle w:val="ListParagraph"/>
        <w:numPr>
          <w:ilvl w:val="0"/>
          <w:numId w:val="4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报告区：初筛 HTML、JSON 和原始记录可下载；人工复核、已保存 AI 解释及参考版本核对随新冻结的四格式报告保存，旧报告不改写。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>版本核对区：原表和参考表明确选择工作表、列对应及唯一编号；无编号时须确认相同数据顺序。列出双方位置和完整原值，不自动判断哪一版正确。</w:t>
      </w:r>
    </w:p>
    <w:p>
      <w:pPr>
        <w:keepNext/>
        <w:spacing w:after="0" w:before="80" w:line="240"/>
        <w:jc w:val="left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2. 筛查记录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本机保存材料、范围、状态、时间和复核意见；重启后可重新打开结果；中断记录说明原因。</w:t>
      </w:r>
    </w:p>
    <w:p>
      <w:pPr>
        <w:keepNext/>
        <w:spacing w:after="0" w:before="80" w:line="240"/>
        <w:jc w:val="left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3. 使用说明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只保留操作步骤、支持范围和结果边界，不展示模型话术或重复解释。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五、检测规则与输出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完全相同：跨列、跨表或跨文件出现相同数据或连续片段。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固定平移：两组数据逐项保持同一差值，例如 B = A + 0.300。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固定比例：两组数据逐项保持恒定倍数，需排查单位换算和归一化。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精确线性：数据满足固定斜率和截距关系，需核对是否为公式派生列。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重复向量与机械序列：多行结构、差分或时间轨迹过度一致。</w:t>
      </w:r>
    </w:p>
    <w:p>
      <w:pPr>
        <w:pStyle w:val="ListParagraph"/>
        <w:numPr>
          <w:ilvl w:val="0"/>
          <w:numId w:val="5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数字与统计信号：尾数分布、舍入聚集及检测器支持的统计一致性线索。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>参考版本差异：独立于统计扫描进行确定性比较，可定位孤立录入差异。重复或空白编号拒绝，未匹配行和截断范围标明；参考表也可能有误。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每项结果至少输出：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优先级、问题类型、文件、数据表、真实行列、关系式、命中数量及完整原始数值。编号等机械序列不冒充测量异常，原引擎记录保留。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六、系统实现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前端：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三入口单页工作台；用户界面用中文白话，不显示内部编号、英文状态或运行日志。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服务端：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Python 本地服务将同批材料放入同一目录联合检查，负责校验、状态查询、结果与报告。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检测引擎：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PaperConan 0.8.5，作为数值事实来源；界面不得修改或伪造检测结果。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任务机制：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双工作线程执行；SQLite 保存记录，输入和结果留在本地；重启时恢复历史并标记中断任务。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模型职责：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DeepSeek V4.1 Flash（API 标识 deepseek-flash）只解释已发现的线索；每次最多发送单条线索的少量证据，模型不能代替数值检测或人工决定。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费用与安全：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环境变量或本机加密配置读取密钥；逐条报价、确认后调用；超时或失败仍保留确定性结果；原文件不发送给模型。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运行产物：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SQLite、上传材料和报告留在本地 runtime；冻结报告生成 Word、PDF、Excel、HTML。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>版本核对范围：CSV、TSV、XLSX、XLSM；单份20 MB，每轮20份/100 MB，最多20万单元格。页面和文字报告每组前100处，JSON及Excel最多保留5000处；公式无缓存不比较，不执行宏。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b/>
          <w:bCs/>
          <w:color w:val="000000"/>
          <w:sz w:val="21"/>
          <w:szCs w:val="21"/>
        </w:rPr>
        <w:t xml:space="preserve">接口：</w:t>
      </w:r>
      <w:r>
        <w:rPr>
          <w:rFonts w:ascii="Calibri" w:cs="Calibri" w:eastAsia="宋体" w:hAnsi="Calibri"/>
          <w:color w:val="000000"/>
          <w:sz w:val="21"/>
          <w:szCs w:val="21"/>
        </w:rPr>
        <w:t xml:space="preserve">健康检查、任务扫描、公开材料候选、复核与报告、逐条解释报价和执行、参考表预览和比较、JSON及原始记录下载。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七、当前交付边界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本版范围：本地上传、真实数值扫描、读取范围、人工复核、逐条 AI 解释、参考版本核对、历史记录及四格式报告。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后续由平台方完成：佰茵云登录、账号权限、对象存储、任务调度、部署配置和联调；本版不冒充平台已接入。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PDF、Word 的实际读取程度取决于源文件结构。分别说明文字可读但数值表未读、扫描图片或加密限制；不做 OCR 或解密，不把置信区间等复合文字误作单个原始观测。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公开材料入口只获取可直连的公开文件，不绕过登录或付费；无 OCR、图像鉴伪和多用户隔离。</w:t>
      </w:r>
    </w:p>
    <w:p>
      <w:pPr>
        <w:pStyle w:val="ListParagraph"/>
        <w:numPr>
          <w:ilvl w:val="0"/>
          <w:numId w:val="6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异常是待复核统计信号，不能据此认定科研不端或作者意图；未读取范围不得宣称无异常。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>上传上限不等于已验证处理能力；引擎内存和时限为1 GiB及180秒，密集100 MB材料未验收。模型领域准确性、实际账单、Docker及平台运行仍待验收。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/>
      </w:r>
    </w:p>
    <w:p>
      <w:pPr>
        <w:keepNext/>
        <w:spacing w:after="0" w:before="120" w:line="240"/>
        <w:jc w:val="left"/>
      </w:pPr>
      <w:r>
        <w:rPr>
          <w:rFonts w:ascii="Calibri" w:cs="Calibri" w:eastAsia="宋体" w:hAnsi="Calibri"/>
          <w:b/>
          <w:bCs/>
          <w:color w:val="000000"/>
          <w:sz w:val="28"/>
          <w:szCs w:val="28"/>
        </w:rPr>
        <w:t xml:space="preserve">八、验收标准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页面显示筛查服务正常，不出现内部组件名称和版本。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用户可以追加、移除多份材料，开始联合检查；输入边界和重名文件均有明确提示。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检查完成后显示固定差值及跨文件结果，能定位左右来源和原始值，不虚构对应关系。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筛选有效；重启独立进程后可以重新打开历史，中断记录不会显示为检查成功。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逐条解释先显示最高费用并确认，模型失败时仍可看扫描和人工证据；解释与线索及证据版本绑定。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查看报告和下载报告均来自本次真实检查结果，JSON 与原始 PaperConan 记录可核对。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部分或全部材料读取失败时，页面和报告明确说明；结果用于辅助核对，不作违规认定。</w:t>
      </w:r>
    </w:p>
    <w:p>
      <w:pPr>
        <w:pStyle w:val="ListParagraph"/>
        <w:numPr>
          <w:ilvl w:val="0"/>
          <w:numId w:val="7"/>
        </w:num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 xml:space="preserve">后端自动测试、真实 HTTP 扫描和浏览器交互测试全部通过后，才能进入人工验收。</w:t>
      </w:r>
    </w:p>
    <w:p>
      <w:pPr>
        <w:spacing w:after="0" w:line="240"/>
        <w:jc w:val="both"/>
      </w:pPr>
      <w:r>
        <w:rPr>
          <w:rFonts w:ascii="Calibri" w:cs="Calibri" w:eastAsia="宋体" w:hAnsi="Calibri"/>
          <w:color w:val="000000"/>
          <w:sz w:val="21"/>
          <w:szCs w:val="21"/>
        </w:rPr>
        <w:t>当前修复验收记录：210项自动回归，12案页面流程及12案原值核对，8案Mock解释及1次失败隔离，2案公开勘误参考核对，10条旧真实回复当前导出，共255项通过。Mock不算模型效果，旧回复不算新增调用；最终仍需用户及领域人员人工验收。</w:t>
      </w:r>
    </w:p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宋体" w:hAnsi="Calibri"/>
        <w:color w:val="000000"/>
        <w:sz w:val="21"/>
        <w:szCs w:val="21"/>
      </w:rPr>
    </w:rPrDefault>
    <w:pPrDefault>
      <w:pPr>
        <w:spacing w:after="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论文科研数据筛查系统建设蓝图 V2.3</dc:title>
  <dc:subject>精简交付版建设蓝图</dc:subject>
  <dc:creator>Codex</dc:creator>
  <dc:description>版式对齐《利德云建设蓝图》：宋体、黑色、标题 18 磅、正文 10.5 磅。</dc:description>
  <cp:lastModifiedBy>Un-named</cp:lastModifiedBy>
  <cp:revision>1</cp:revision>
  <dcterms:created xsi:type="dcterms:W3CDTF">2026-10-12T02:11:14.479Z</dcterms:created>
  <dcterms:modified xsi:type="dcterms:W3CDTF">2026-10-12T02:11:14.489Z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