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line="240"/>
        <w:jc w:val="center"/>
      </w:pPr>
      <w:r>
        <w:rPr>
          <w:rFonts w:ascii="Calibri" w:cs="Calibri" w:eastAsia="宋体" w:hAnsi="Calibri"/>
          <w:b/>
          <w:bCs/>
          <w:color w:val="000000"/>
          <w:sz w:val="36"/>
          <w:szCs w:val="36"/>
        </w:rPr>
        <w:t>论文科研数据异常筛查使用教程</w:t>
      </w:r>
    </w:p>
    <w:p>
      <w:pPr>
        <w:spacing w:after="0" w:line="240"/>
        <w:jc w:val="both"/>
        <w:keepLines/>
      </w:pPr>
      <w:r>
        <w:rPr>
          <w:rFonts w:ascii="Calibri" w:cs="Calibri" w:eastAsia="宋体" w:hAnsi="Calibri"/>
          <w:color w:val="000000"/>
          <w:sz w:val="21"/>
          <w:szCs w:val="21"/>
        </w:rPr>
        <w:t>1. 在 PowerShell 进入 mvp-demo，首次运行 .\setup.ps1，随后运行 .\start.ps1。浏览器访问 http://127.0.0.1:8765/。不要单独双击 HTML 文件；扫描需要本机服务。</w:t>
      </w:r>
    </w:p>
    <w:p>
      <w:pPr>
        <w:spacing w:after="0" w:line="240"/>
        <w:jc w:val="both"/>
        <w:keepLines/>
      </w:pPr>
      <w:r>
        <w:rPr>
          <w:rFonts w:ascii="Calibri" w:cs="Calibri" w:eastAsia="宋体" w:hAnsi="Calibri"/>
          <w:color w:val="000000"/>
          <w:sz w:val="21"/>
          <w:szCs w:val="21"/>
        </w:rPr>
        <w:t>2. 在“开始筛查”选择同一篇论文的 CSV、TSV、Excel、文字版 PDF、DOCX；也可输入 DOI/公开链接查找候选，核对归属后加入。初次体验可点“载入示例文件”。扫描版 PDF 和图片暂不支持。</w:t>
      </w:r>
    </w:p>
    <w:p>
      <w:pPr>
        <w:spacing w:after="0" w:line="240"/>
        <w:jc w:val="both"/>
        <w:keepLines/>
      </w:pPr>
      <w:r>
        <w:rPr>
          <w:rFonts w:ascii="Calibri" w:cs="Calibri" w:eastAsia="宋体" w:hAnsi="Calibri"/>
          <w:color w:val="000000"/>
          <w:sz w:val="21"/>
          <w:szCs w:val="21"/>
        </w:rPr>
        <w:t>3. 选择快速、标准或全面检查。若需要人数百分比、标准差与标准误等额外核对，在“统计信息核对”里先确认口径再勾选；默认不启用。点击“开始筛查”，等待后台任务完成。</w:t>
      </w:r>
    </w:p>
    <w:p>
      <w:pPr>
        <w:spacing w:after="0" w:line="240"/>
        <w:jc w:val="both"/>
        <w:keepLines/>
      </w:pPr>
      <w:r>
        <w:rPr>
          <w:rFonts w:ascii="Calibri" w:cs="Calibri" w:eastAsia="宋体" w:hAnsi="Calibri"/>
          <w:color w:val="000000"/>
          <w:sz w:val="21"/>
          <w:szCs w:val="21"/>
        </w:rPr>
        <w:t>4. 先看“材料读取情况”和“统计核对范围”。“部分读取”“未读取”表示检查不完整，不能把未报告线索理解为没有问题。用搜索框和优先级筛选线索，点开查看文件、表、行列、关系式、命中数量和原始数值。固定差值与倍数等结果必须回原始文件核对单位、公式和记录。</w:t>
      </w:r>
    </w:p>
    <w:p>
      <w:pPr>
        <w:spacing w:after="0" w:line="240"/>
        <w:jc w:val="both"/>
        <w:keepLines/>
      </w:pPr>
      <w:r>
        <w:rPr>
          <w:rFonts w:ascii="Calibri" w:cs="Calibri" w:eastAsia="宋体" w:hAnsi="Calibri"/>
          <w:color w:val="000000"/>
          <w:sz w:val="21"/>
          <w:szCs w:val="21"/>
        </w:rPr>
        <w:t>5. 如需 AI 辅助，在线索下点“查看预计费用”。页面显示本条费用上限，只有再点“确认并生成解释”才调用 DeepSeek。解释列出发现、理由、可能的合理原因和核对建议；失败时扫描与原始数值仍可看。无密钥可直接跳过。</w:t>
      </w:r>
    </w:p>
    <w:p>
      <w:pPr>
        <w:spacing w:after="0" w:line="240"/>
        <w:jc w:val="both"/>
        <w:keepLines/>
      </w:pPr>
      <w:r>
        <w:rPr>
          <w:rFonts w:ascii="Calibri" w:cs="Calibri" w:eastAsia="宋体" w:hAnsi="Calibri"/>
          <w:color w:val="000000"/>
          <w:sz w:val="21"/>
          <w:szCs w:val="21"/>
        </w:rPr>
        <w:t>6. 在“我的复核”填写人工判断及依据，保存。需要正式留档时点“生成复核报告”，从同一冻结版本下载 Word、PDF、Excel 和 HTML。检查区的“下载报告”是初筛 HTML；“下载 JSON”和“原始检查记录”用于核验。</w:t>
      </w:r>
    </w:p>
    <w:p>
      <w:pPr>
        <w:spacing w:after="0" w:line="240"/>
        <w:jc w:val="both"/>
        <w:keepLines/>
      </w:pPr>
      <w:r>
        <w:rPr>
          <w:rFonts w:ascii="Calibri" w:cs="Calibri" w:eastAsia="宋体" w:hAnsi="Calibri"/>
          <w:color w:val="000000"/>
          <w:sz w:val="21"/>
          <w:szCs w:val="21"/>
        </w:rPr>
        <w:t>7. “筛查记录”可重新打开本机已完成检查。备份时应复制完整 mvp-demo/runtime/，不能只复制报告。不要把含论文数据的运行目录发送到公开仓库。</w:t>
      </w:r>
    </w:p>
    <w:p>
      <w:pPr>
        <w:spacing w:after="0" w:line="240"/>
        <w:jc w:val="both"/>
        <w:keepLines/>
      </w:pPr>
      <w:r>
        <w:rPr>
          <w:rFonts w:ascii="Calibri" w:cs="Calibri" w:eastAsia="宋体" w:hAnsi="Calibri"/>
          <w:color w:val="000000"/>
          <w:sz w:val="21"/>
          <w:szCs w:val="21"/>
        </w:rPr>
        <w:t>异常是待复核统计信号，不代表科研不端结论，也不能判断作者意图。模型解释不是复核决定。</w:t>
      </w:r>
    </w:p>
    <w:p>
      <w:pPr>
        <w:keepNext/>
        <w:spacing w:after="0" w:before="120" w:line="240"/>
        <w:jc w:val="left"/>
        <w:pageBreakBefore/>
      </w:pPr>
      <w:r>
        <w:rPr>
          <w:rFonts w:ascii="Calibri" w:cs="Calibri" w:eastAsia="宋体" w:hAnsi="Calibri"/>
          <w:b/>
          <w:bCs/>
          <w:color w:val="000000"/>
          <w:sz w:val="28"/>
          <w:szCs w:val="28"/>
        </w:rPr>
        <w:t>交付包运行</w:t>
      </w:r>
    </w:p>
    <w:p>
      <w:pPr>
        <w:spacing w:after="0" w:line="240"/>
        <w:jc w:val="both"/>
        <w:keepLines/>
      </w:pPr>
      <w:r>
        <w:rPr>
          <w:rFonts w:ascii="Calibri" w:cs="Calibri" w:eastAsia="宋体" w:hAnsi="Calibri"/>
          <w:color w:val="000000"/>
          <w:sz w:val="21"/>
          <w:szCs w:val="21"/>
        </w:rPr>
        <w:t>本教程对应 V2.4，更新日期为2026年10月11日。拿到独立交付包后，先按 PaperAudit_Coding/Data/安装说明.md 安装依赖，再进入 PaperAudit_Agent 运行 python harness/Workbench.py；浏览器打开本机8765端口。工作记录保存在 PaperAudit_Agent/Result/WorkbenchState/，停止服务后备份整个目录。管理员可用 PAPER_AUDIT_PORT 调整端口。批处理进入 PaperAudit_Coding 运行 python Code/PaperAudit.py，读取 TempData 的材料与参数，不调用付费模型。</w:t>
      </w:r>
    </w:p>
    <w:p>
      <w:pPr>
        <w:spacing w:after="0" w:line="240"/>
        <w:jc w:val="both"/>
        <w:keepLines/>
      </w:pPr>
      <w:r>
        <w:rPr>
          <w:rFonts w:ascii="Calibri" w:cs="Calibri" w:eastAsia="宋体" w:hAnsi="Calibri"/>
          <w:color w:val="000000"/>
          <w:sz w:val="21"/>
          <w:szCs w:val="21"/>
        </w:rPr>
        <w:t>交付包不携带密钥、真实测试论文或已有用户结果；内置材料是合成样例。模型配置按接入说明由使用者本机完成。不需要智能解释时无需配置密钥。</w:t>
      </w:r>
    </w:p>
    <w:p>
      <w:pPr>
        <w:keepNext/>
        <w:spacing w:after="0" w:before="120" w:line="240"/>
        <w:jc w:val="left"/>
      </w:pPr>
      <w:r>
        <w:rPr>
          <w:rFonts w:ascii="Calibri" w:cs="Calibri" w:eastAsia="宋体" w:hAnsi="Calibri"/>
          <w:b/>
          <w:bCs/>
          <w:color w:val="000000"/>
          <w:sz w:val="28"/>
          <w:szCs w:val="28"/>
        </w:rPr>
        <w:t>与参考版本核对</w:t>
      </w:r>
    </w:p>
    <w:p>
      <w:pPr>
        <w:spacing w:after="0" w:line="240"/>
        <w:jc w:val="both"/>
        <w:keepLines/>
      </w:pPr>
      <w:r>
        <w:rPr>
          <w:rFonts w:ascii="Calibri" w:cs="Calibri" w:eastAsia="宋体" w:hAnsi="Calibri"/>
          <w:color w:val="000000"/>
          <w:sz w:val="21"/>
          <w:szCs w:val="21"/>
        </w:rPr>
        <w:t>检查完成后展开“与参考版本核对”，选本次原表，读取你提供的 CSV、TSV、XLSX 或 XLSM 参考文件。选双方工作表，核对列对应关系；将唯一编号勾为“匹配编号”，将其他待核对列勾为“核对数值”。可用多列共同匹配。没有唯一编号时，只有确认两个版本的数据顺序一致后才能按顺序核对。</w:t>
      </w:r>
    </w:p>
    <w:p>
      <w:pPr>
        <w:spacing w:after="0" w:line="240"/>
        <w:jc w:val="both"/>
        <w:keepLines/>
      </w:pPr>
      <w:r>
        <w:rPr>
          <w:rFonts w:ascii="Calibri" w:cs="Calibri" w:eastAsia="宋体" w:hAnsi="Calibri"/>
          <w:color w:val="000000"/>
          <w:sz w:val="21"/>
          <w:szCs w:val="21"/>
        </w:rPr>
        <w:t>结果显示双方文件、工作表、行列和完整原值。重复/空白编号会拒绝比较；未匹配行和超出明细上限的部分明确列出，不能当作一致。按编号匹配时不要求两版行序相同。页面前100处、JSON最多5000处；新冻结报告收录结果，Excel完整列出已保存差异，Word/PDF/HTML每组前100处。参考版本也可能有误，不能自动认定哪版正确。</w:t>
      </w:r>
    </w:p>
    <w:p>
      <w:pPr>
        <w:spacing w:after="0" w:line="240"/>
        <w:jc w:val="both"/>
        <w:keepLines/>
      </w:pPr>
      <w:r>
        <w:rPr>
          <w:rFonts w:ascii="Calibri" w:cs="Calibri" w:eastAsia="宋体" w:hAnsi="Calibri"/>
          <w:color w:val="000000"/>
          <w:sz w:val="21"/>
          <w:szCs w:val="21"/>
        </w:rPr>
        <w:t>示例：E01 Iris 原表对照 B03 的 iris_corrected.csv，明确确认顺序，查看文件行36/39的3处差异；E02 运动实验对照 B04 的 corrected.xlsx，两边选 Experiment 2、以 Subject（列2）匹配，查看 K6 的 65.95549826312603 与 68.88。</w:t>
      </w:r>
    </w:p>
    <w:p>
      <w:pPr>
        <w:spacing w:after="0" w:line="240"/>
        <w:jc w:val="both"/>
        <w:keepLines/>
      </w:pPr>
      <w:r>
        <w:rPr>
          <w:rFonts w:ascii="Calibri" w:cs="Calibri" w:eastAsia="宋体" w:hAnsi="Calibri"/>
          <w:color w:val="000000"/>
          <w:sz w:val="21"/>
          <w:szCs w:val="21"/>
        </w:rPr>
        <w:t>已保存的逐条 AI 解释会随新生成的 Word/PDF/Excel/HTML 复核报告一起保存，不产生新调用。旧冻结报告不会自动更新，需重新生成新版本。PDF 的“文字已读，数值表未读”不代表数值已检查；加密文件、图片/扫描页及复合区间文本请使用配套分列数据。</w:t>
      </w:r>
    </w:p>
    <w:p>
      <w:pPr>
        <w:spacing w:after="0" w:line="240"/>
        <w:jc w:val="both"/>
        <w:keepLines/>
      </w:pPr>
      <w:r>
        <w:rPr>
          <w:rFonts w:ascii="Calibri" w:cs="Calibri" w:eastAsia="宋体" w:hAnsi="Calibri"/>
          <w:color w:val="000000"/>
          <w:sz w:val="21"/>
          <w:szCs w:val="21"/>
        </w:rPr>
        <w:t>常见问题：页面提示无法连接时确认服务终端仍在运行、端口与浏览器地址一致；AI 提示未配置时按 接入说明配置。公开链接导入失败时手动下载授权文件后上传。高密度大表触及 1 GiB/180 秒边界时拆分材料，不应将其状态记为“已完整检查”。</w:t>
      </w:r>
    </w:p>
    <w:sectPr>
      <w:pgSz w:w="11906" w:h="16838" w:orient="portrait"/>
      <w:pgMar w:top="1440" w:right="1800" w:bottom="1440" w:left="1800" w:header="851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宋体" w:hAnsi="Calibri"/>
        <w:color w:val="000000"/>
        <w:sz w:val="21"/>
        <w:szCs w:val="21"/>
      </w:rPr>
    </w:rPrDefault>
    <w:pPrDefault>
      <w:pPr>
        <w:spacing w:after="0" w:line="24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论文科研数据筛查系统建设蓝图 V2.3</dc:title>
  <dc:subject>精简交付版建设蓝图</dc:subject>
  <dc:creator>Codex</dc:creator>
  <dc:description>版式对齐《利德云建设蓝图》：宋体、黑色、标题 18 磅、正文 10.5 磅。</dc:description>
  <cp:lastModifiedBy>Un-named</cp:lastModifiedBy>
  <cp:revision>1</cp:revision>
  <dcterms:created xsi:type="dcterms:W3CDTF">2026-10-12T02:11:14.479Z</dcterms:created>
  <dcterms:modified xsi:type="dcterms:W3CDTF">2026-10-12T02:11:14.489Z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