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line="240"/>
        <w:jc w:val="center"/>
      </w:pPr>
      <w:r>
        <w:rPr>
          <w:rFonts w:ascii="Calibri" w:cs="Calibri" w:eastAsia="宋体" w:hAnsi="Calibri"/>
          <w:b/>
          <w:bCs/>
          <w:color w:val="000000"/>
          <w:sz w:val="36"/>
          <w:szCs w:val="36"/>
        </w:rPr>
        <w:t xml:space="preserve">论文科研数据筛查系统建设蓝图</w:t>
      </w:r>
    </w:p>
    <w:p>
      <w:pPr>
        <w:spacing w:after="0" w:line="240"/>
        <w:jc w:val="center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V2.3｜本地完整验证版｜2026 年 10 月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一、项目定位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建设目标：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检查论文公开或已授权的科研数据，标出需要核对的位置，并提供原始数据明细。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主要用户：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研究人员、课题组负责人、科研管理人员、期刊编辑和数据审查人员。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处理材料：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CSV、TSV、XLSX、XLS、XLSM、XLSB、文字版 PDF 和 DOCX；扫描图片暂不支持。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核心原则：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只说明数据、位置和关系，不判断作者意图，不直接作违规认定。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二、需求依据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任务书要求发现跨组重复、固定加减、固定比例、线性关系、尾数规律、统计量不自洽和跨载体矛盾等问题。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PaperConan 推文强调由程序完成确定性计算，由 Agent 理解字段与研究语义，并由人工完成最终裁定。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共享对照、重新绘图、单位换算、归一化、公式派生、检测下限和固定分母均可能产生良性信号，必须主动排查。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扫描结果必须说明已解析范围、规则覆盖和未覆盖原因；“没有报告”不能解释为“论文没有问题”。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三、核心业务流程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提交材料：上传同一论文的多份材料、输入 DOI/公开链接，或载入内置合成样例。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开始检查：系统校验文件格式、大小和检查范围。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查看结果：先查看材料读取情况，再按文件、数据表、行列核对原始数值；跨文件结果并列展示。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回原表核对：用户确认单位、公式、图注和原始记录；可选择逐条 AI 解释，先报价再确认。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保存结果：用户记录复核意见，下载初筛 JSON/HTML 或冻结的 Word、PDF、Excel、HTML 报告。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四、产品页面</w:t>
      </w:r>
    </w:p>
    <w:p>
      <w:pPr>
        <w:keepNext/>
        <w:spacing w:after="0" w:before="80" w:line="240"/>
        <w:jc w:val="left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1. 开始筛查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主页面包含材料上传、检查范围、处理状态、待核对内容和原始数据；只使用研究人员日常用语。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材料区：多选或拖拽追加，逐份移除、清空；最多 20 份，每份 20 MB，合计 100 MB，重名拒绝。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范围区：快速、标准和全面三个选项，并用括号说明适用范围。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状态区：显示等待中、检查中、已完成或未完成。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结果区：显示文件、数据表、数值和待核对数量，并说明每份材料的读取情况及未完成范围。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明细区：按关键词和优先级筛选，点击后查看位置、数据关系和原始数值。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报告区：查看、下载中文报告与 JSON，并可查看 PaperConan 原始记录；逐条解释绑定线索。</w:t>
      </w:r>
    </w:p>
    <w:p>
      <w:pPr>
        <w:keepNext/>
        <w:spacing w:after="0" w:before="80" w:line="240"/>
        <w:jc w:val="left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2. 筛查记录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本机保存材料、范围、状态、时间和复核意见；重启后可重新打开结果；中断记录说明原因。</w:t>
      </w:r>
    </w:p>
    <w:p>
      <w:pPr>
        <w:keepNext/>
        <w:spacing w:after="0" w:before="80" w:line="240"/>
        <w:jc w:val="left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3. 使用说明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只保留操作步骤、支持范围和结果边界，不展示模型话术或重复解释。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五、检测规则与输出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完全相同：跨列、跨表或跨文件出现相同数据或连续片段。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固定平移：两组数据逐项保持同一差值，例如 B = A + 0.300。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固定比例：两组数据逐项保持恒定倍数，需排查单位换算和归一化。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精确线性：数据满足固定斜率和截距关系，需核对是否为公式派生列。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重复向量与机械序列：多行结构、差分或时间轨迹过度一致。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数字与统计信号：尾数分布、舍入聚集及检测器支持的统计一致性线索。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每项结果至少输出：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优先级、问题类型、文件、数据表、行号、相关列、数量和原始数据。内部编号不对用户显示。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六、系统实现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前端：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三入口单页工作台；用户界面用中文白话，不显示内部编号、英文状态或运行日志。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服务端：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Python 本地服务将同批材料放入同一目录联合检查，负责校验、状态查询、结果与报告。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检测引擎：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PaperConan 0.8.5，作为数值事实来源；界面不得修改或伪造检测结果。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任务机制：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双工作线程执行；SQLite 保存记录，输入和结果留在本地；重启时恢复历史并标记中断任务。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模型职责：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DeepSeek V4.1 Flash（API 标识 deepseek-flash）只解释已发现的线索；每次最多发送单条线索的少量证据，模型不能代替数值检测或人工决定。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费用与安全：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环境变量或本机加密配置读取密钥；逐条报价、确认后调用；超时或失败仍保留确定性结果；原文件不发送给模型。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运行产物：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SQLite、上传材料和报告留在本地 runtime；冻结报告生成 Word、PDF、Excel、HTML。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接口：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健康检查、任务扫描、材料发现、复核报告、逐条解释报价/执行及 JSON/原始记录下载。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七、当前交付边界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本版范围：本地上传、真实数值扫描、覆盖说明、人工复核、逐条 AI 解释与四格式报告。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后续由平台方完成：佰茵云登录、账号权限、对象存储、任务调度、部署配置和联调；本版不冒充平台已接入。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PDF、Word 的实际可解析程度由源文件结构和 PaperConan 解析器决定；解析失败必须明确报告。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公开材料入口只获取可直连的公开文件，不绕过登录或付费；无 OCR、图像鉴伪和多用户隔离。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异常是待复核统计信号，不能据此认定科研不端或作者意图；未读取范围不得宣称无异常。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八、验收标准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页面显示筛查服务正常，不出现内部组件名称和版本。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用户可以追加、移除多份材料，开始联合检查；输入边界和重名文件均有明确提示。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检查完成后显示固定差值及跨文件结果，能定位左右来源和原始值，不虚构对应关系。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筛选有效；重启独立进程后可以重新打开历史，中断记录不会显示为检查成功。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逐条解释先显示最高费用并确认，模型失败时仍可看扫描和人工证据；解释与线索及证据版本绑定。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查看报告和下载报告均来自本次真实检查结果，JSON 与原始 PaperConan 记录可核对。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部分或全部材料读取失败时，页面和报告明确说明；结果用于辅助核对，不作违规认定。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后端自动测试、真实 HTTP 扫描和浏览器交互测试全部通过后，才能进入人工验收。</w:t>
      </w:r>
    </w:p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宋体" w:hAnsi="Calibri"/>
        <w:color w:val="000000"/>
        <w:sz w:val="21"/>
        <w:szCs w:val="21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论文科研数据筛查系统建设蓝图 V2.3</dc:title>
  <dc:subject>精简交付版建设蓝图</dc:subject>
  <dc:creator>Codex</dc:creator>
  <dc:description>版式对齐《利德云建设蓝图》：宋体、黑色、标题 18 磅、正文 10.5 磅。</dc:description>
  <cp:lastModifiedBy>Un-named</cp:lastModifiedBy>
  <cp:revision>1</cp:revision>
  <dcterms:created xsi:type="dcterms:W3CDTF">2026-10-12T02:11:14.479Z</dcterms:created>
  <dcterms:modified xsi:type="dcterms:W3CDTF">2026-10-12T02:11:14.489Z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