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本地使用教程v2.3"/>
    <w:p>
      <w:pPr>
        <w:pStyle w:val="Heading1"/>
      </w:pPr>
      <w:r>
        <w:rPr>
          <w:rFonts w:hint="eastAsia"/>
        </w:rPr>
        <w:t xml:space="preserve">本地使用教程（V2.3）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</w:t>
      </w:r>
      <w:r>
        <w:t xml:space="preserve"> PowerShell </w:t>
      </w: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</w:rPr>
        <w:t xml:space="preserve">mvp-demo</w:t>
      </w:r>
      <w:r>
        <w:rPr>
          <w:rFonts w:hint="eastAsia"/>
        </w:rPr>
        <w:t xml:space="preserve">，首次运行</w:t>
      </w:r>
      <w:r>
        <w:t xml:space="preserve"> </w:t>
      </w:r>
      <w:r>
        <w:rPr>
          <w:rStyle w:val="VerbatimChar"/>
        </w:rPr>
        <w:t xml:space="preserve">.\setup.ps1</w:t>
      </w:r>
      <w:r>
        <w:rPr>
          <w:rFonts w:hint="eastAsia"/>
        </w:rPr>
        <w:t xml:space="preserve">，随后运行</w:t>
      </w:r>
      <w:r>
        <w:t xml:space="preserve"> </w:t>
      </w:r>
      <w:r>
        <w:rPr>
          <w:rStyle w:val="VerbatimChar"/>
        </w:rPr>
        <w:t xml:space="preserve">.\start.ps1</w:t>
      </w:r>
      <w:r>
        <w:rPr>
          <w:rFonts w:hint="eastAsia"/>
        </w:rPr>
        <w:t xml:space="preserve">。浏览器访问</w:t>
      </w:r>
      <w:r>
        <w:t xml:space="preserve"> </w:t>
      </w:r>
      <w:r>
        <w:rPr>
          <w:rStyle w:val="VerbatimChar"/>
        </w:rPr>
        <w:t xml:space="preserve">http://127.0.0.1:8765/</w:t>
      </w:r>
      <w:r>
        <w:rPr>
          <w:rFonts w:hint="eastAsia"/>
        </w:rPr>
        <w:t xml:space="preserve">。不要单独双击</w:t>
      </w:r>
      <w:r>
        <w:t xml:space="preserve"> HTML </w:t>
      </w:r>
      <w:r>
        <w:rPr>
          <w:rFonts w:hint="eastAsia"/>
        </w:rPr>
        <w:t xml:space="preserve">文件；扫描需要本机服务。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在“开始筛查”选择同一篇论文的</w:t>
      </w:r>
      <w:r>
        <w:t xml:space="preserve"> </w:t>
      </w:r>
      <w:r>
        <w:rPr>
          <w:rFonts w:hint="eastAsia"/>
        </w:rPr>
        <w:t xml:space="preserve">CSV、TSV、Excel、文字版</w:t>
      </w:r>
      <w:r>
        <w:t xml:space="preserve"> </w:t>
      </w:r>
      <w:r>
        <w:rPr>
          <w:rFonts w:hint="eastAsia"/>
        </w:rPr>
        <w:t xml:space="preserve">PDF、DOCX；也可输入</w:t>
      </w:r>
      <w:r>
        <w:t xml:space="preserve"> </w:t>
      </w:r>
      <w:r>
        <w:rPr>
          <w:rFonts w:hint="eastAsia"/>
        </w:rPr>
        <w:t xml:space="preserve">DOI/公开链接查找候选，核对归属后加入。初次体验可点“载入示例文件”。扫描版</w:t>
      </w:r>
      <w:r>
        <w:t xml:space="preserve"> PDF </w:t>
      </w:r>
      <w:r>
        <w:rPr>
          <w:rFonts w:hint="eastAsia"/>
        </w:rPr>
        <w:t xml:space="preserve">和图片暂不支持。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选择快速、标准或全面检查。若需要人数百分比、标准差与标准误等额外核对，在“统计信息核对”里先确认口径再勾选；默认不启用。点击“开始筛查”，等待后台任务完成。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先看“材料读取情况”和“统计核对范围”。“部分读取”“未读取”表示检查不完整，不能把未报告线索理解为没有问题。用搜索框和优先级筛选线索，点开查看文件、表、行列、关系式、命中数量和原始数值。固定差值与倍数等结果必须回原始文件核对单位、公式和记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如需</w:t>
      </w:r>
      <w:r>
        <w:t xml:space="preserve"> AI </w:t>
      </w:r>
      <w:r>
        <w:rPr>
          <w:rFonts w:hint="eastAsia"/>
        </w:rPr>
        <w:t xml:space="preserve">辅助，在线索下点“查看预计费用”。页面显示本条费用上限，只有再点“确认并生成解释”才调用</w:t>
      </w:r>
      <w:r>
        <w:t xml:space="preserve"> </w:t>
      </w:r>
      <w:r>
        <w:rPr>
          <w:rFonts w:hint="eastAsia"/>
        </w:rPr>
        <w:t xml:space="preserve">DeepSeek。解释列出发现、理由、可能的合理原因和核对建议；失败时扫描与原始数值仍可看。无密钥可直接跳过。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在“我的复核”填写人工判断及依据，保存。需要正式留档时点“生成复核报告”，从同一冻结版本下载</w:t>
      </w:r>
      <w:r>
        <w:t xml:space="preserve"> Word、PDF、Excel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HTML。检查区的“下载报告”是初筛</w:t>
      </w:r>
      <w:r>
        <w:t xml:space="preserve"> </w:t>
      </w:r>
      <w:r>
        <w:rPr>
          <w:rFonts w:hint="eastAsia"/>
        </w:rPr>
        <w:t xml:space="preserve">HTML；“下载</w:t>
      </w:r>
      <w:r>
        <w:t xml:space="preserve"> </w:t>
      </w:r>
      <w:r>
        <w:rPr>
          <w:rFonts w:hint="eastAsia"/>
        </w:rPr>
        <w:t xml:space="preserve">JSON”和“原始检查记录”用于核验。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“筛查记录”可重新打开本机已完成检查。备份时应复制完整</w:t>
      </w:r>
      <w:r>
        <w:t xml:space="preserve"> </w:t>
      </w:r>
      <w:r>
        <w:rPr>
          <w:rStyle w:val="VerbatimChar"/>
        </w:rPr>
        <w:t xml:space="preserve">mvp-demo/runtime/</w:t>
      </w:r>
      <w:r>
        <w:rPr>
          <w:rFonts w:hint="eastAsia"/>
        </w:rPr>
        <w:t xml:space="preserve">，不能只复制报告。不要把含论文数据的运行目录发送到公开仓库。</w:t>
      </w:r>
    </w:p>
    <w:p>
      <w:pPr>
        <w:pStyle w:val="FirstParagraph"/>
      </w:pPr>
      <w:r>
        <w:rPr>
          <w:rFonts w:hint="eastAsia"/>
        </w:rPr>
        <w:t xml:space="preserve">异常是待复核统计信号，不代表科研不端结论，也不能判断作者意图。模型解释不是复核决定。</w:t>
      </w:r>
    </w:p>
    <w:p>
      <w:pPr>
        <w:pStyle w:val="BodyText"/>
      </w:pPr>
      <w:r>
        <w:rPr>
          <w:rFonts w:hint="eastAsia"/>
        </w:rPr>
        <w:t xml:space="preserve">常见问题：页面提示无法连接时确认服务终端仍在运行、端口与浏览器地址一致；AI</w:t>
      </w:r>
      <w:r>
        <w:t xml:space="preserve"> </w:t>
      </w:r>
      <w:r>
        <w:rPr>
          <w:rFonts w:hint="eastAsia"/>
        </w:rPr>
        <w:t xml:space="preserve">提示未配置时按</w:t>
      </w:r>
      <w:r>
        <w:t xml:space="preserve"> </w:t>
      </w:r>
      <w:hyperlink r:id="rId9">
        <w:r>
          <w:rPr>
            <w:rStyle w:val="Hyperlink"/>
            <w:rFonts w:hint="eastAsia"/>
          </w:rPr>
          <w:t xml:space="preserve">接入说明</w:t>
        </w:r>
      </w:hyperlink>
      <w:r>
        <w:rPr>
          <w:rFonts w:hint="eastAsia"/>
        </w:rPr>
        <w:t xml:space="preserve">配置。公开链接导入失败时手动下载授权文件后上传。高密度大表触及</w:t>
      </w:r>
      <w:r>
        <w:t xml:space="preserve"> 1 GiB/180 </w:t>
      </w:r>
      <w:r>
        <w:rPr>
          <w:rFonts w:hint="eastAsia"/>
        </w:rPr>
        <w:t xml:space="preserve">秒边界时拆分材料，不应将其状态记为“已完整检查”。</w:t>
      </w:r>
    </w:p>
    <w:bookmarkEnd w:id="10"/>
    <w:sectPr>
      <w:pgSz w:h="16838" w:orient="portrait" w:w="11906"/>
      <w:pgMar w:bottom="1440" w:footer="992" w:gutter="0" w:header="851" w:left="1800" w:right="180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decimal"/>
      <w:lvlText w:val="%1."/>
      <w:lvlJc w:val="left"/>
      <w:pPr>
        <w:ind w:hanging="360" w:left="420"/>
      </w:pPr>
    </w:lvl>
  </w:abstractNum>
  <w:abstractNum w15:restartNumberingAfterBreak="0" w:abstractNumId="3">
    <w:multiLevelType w:val="hybridMultilevel"/>
    <w:lvl w15:tentative="1" w:ilvl="0">
      <w:start w:val="1"/>
      <w:numFmt w:val="decimal"/>
      <w:lvlText w:val="%1."/>
      <w:lvlJc w:val="left"/>
      <w:pPr>
        <w:ind w:hanging="360" w:left="420"/>
      </w:pPr>
    </w:lvl>
  </w:abstractNum>
  <w:abstractNum w15:restartNumberingAfterBreak="0" w:abstractNumId="4">
    <w:multiLevelType w:val="hybridMultilevel"/>
    <w:lvl w15:tentative="1" w:ilvl="0">
      <w:start w:val="1"/>
      <w:numFmt w:val="decimal"/>
      <w:lvlText w:val="%1."/>
      <w:lvlJc w:val="left"/>
      <w:pPr>
        <w:ind w:hanging="360" w:left="420"/>
      </w:pPr>
    </w:lvl>
  </w:abstractNum>
  <w:abstractNum w15:restartNumberingAfterBreak="0" w:abstractNumId="5">
    <w:multiLevelType w:val="hybridMultilevel"/>
    <w:lvl w15:tentative="1" w:ilvl="0">
      <w:start w:val="1"/>
      <w:numFmt w:val="decimal"/>
      <w:lvlText w:val="%1."/>
      <w:lvlJc w:val="left"/>
      <w:pPr>
        <w:ind w:hanging="360" w:left="420"/>
      </w:pPr>
    </w:lvl>
  </w:abstractNum>
  <w:abstractNum w15:restartNumberingAfterBreak="0" w:abstractNumId="6">
    <w:multiLevelType w:val="hybridMultilevel"/>
    <w:lvl w15:tentative="1" w:ilvl="0">
      <w:start w:val="1"/>
      <w:numFmt w:val="decimal"/>
      <w:lvlText w:val="%1."/>
      <w:lvlJc w:val="left"/>
      <w:pPr>
        <w:ind w:hanging="360" w:left="420"/>
      </w:pPr>
    </w:lvl>
  </w:abstractNum>
  <w:abstractNum w15:restartNumberingAfterBreak="0" w:abstractNumId="7">
    <w:multiLevelType w:val="hybridMultilevel"/>
    <w:lvl w15:tentative="1" w:ilvl="0">
      <w:start w:val="1"/>
      <w:numFmt w:val="decimal"/>
      <w:lvlText w:val="%1."/>
      <w:lvlJc w:val="left"/>
      <w:pPr>
        <w:ind w:hanging="360" w:left="420"/>
      </w:pPr>
    </w:lvl>
  </w:abstractNum>
  <w:abstractNum w15:restartNumberingAfterBreak="0" w:abstractNumId="8">
    <w:multiLevelType w:val="hybridMultilevel"/>
    <w:lvl w15:tentative="1" w:ilvl="0">
      <w:start w:val="1"/>
      <w:numFmt w:val="decimal"/>
      <w:lvlText w:val="%1."/>
      <w:lvlJc w:val="left"/>
      <w:pPr>
        <w:ind w:hanging="360" w:left="4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宋体" w:hAnsi="Calibri"/>
        <w:color w:val="000000"/>
        <w:sz w:val="21"/>
        <w:szCs w:val="21"/>
      </w:rPr>
    </w:rPrDefault>
    <w:pPrDefault>
      <w:pPr>
        <w:spacing w:after="0" w:line="240"/>
        <w:jc w:val="both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7_DeepSeek&#25509;&#20837;&#35828;&#26126;.md" TargetMode="Externa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7_DeepSeek&#25509;&#20837;&#35828;&#26126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2026-10-12T02:19:08Z</dcterms:created>
  <dcterms:modified xsi:type="dcterms:W3CDTF">2026-10-12T02:19:08Z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