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before="0" w:line="276"/>
      </w:pPr>
      <w:r>
        <w:rPr>
          <w:rFonts w:ascii="Calibri" w:cs="Calibri" w:eastAsia="Calibri" w:hAnsi="Calibri"/>
          <w:color w:val="1A1A1A"/>
          <w:sz w:val="21"/>
          <w:szCs w:val="21"/>
        </w:rPr>
        <w:t xml:space="preserve"/>
      </w:r>
    </w:p>
    <w:p>
      <w:pPr>
        <w:spacing w:after="100" w:before="0" w:line="276"/>
      </w:pPr>
      <w:r>
        <w:rPr>
          <w:rFonts w:ascii="Cambria" w:cs="Cambria" w:eastAsia="Cambria" w:hAnsi="Cambria"/>
          <w:b/>
          <w:bCs/>
          <w:color w:val="046A38"/>
          <w:sz w:val="52"/>
          <w:szCs w:val="52"/>
        </w:rPr>
        <w:t xml:space="preserve">Supply Chain Decision Brief</w:t>
      </w:r>
    </w:p>
    <w:p>
      <w:pPr>
        <w:spacing w:after="60" w:before="0" w:line="276"/>
      </w:pPr>
      <w:r>
        <w:rPr>
          <w:rFonts w:ascii="Calibri" w:cs="Calibri" w:eastAsia="Calibri" w:hAnsi="Calibri"/>
          <w:color w:val="5C6B73"/>
          <w:sz w:val="26"/>
          <w:szCs w:val="26"/>
        </w:rPr>
        <w:t xml:space="preserve">Careem Rides — UAE marketplace</w:t>
      </w:r>
    </w:p>
    <w:p>
      <w:pPr>
        <w:spacing w:after="500" w:before="0" w:line="276"/>
      </w:pPr>
      <w:r>
        <w:rPr>
          <w:rFonts w:ascii="Calibri" w:cs="Calibri" w:eastAsia="Calibri" w:hAnsi="Calibri"/>
          <w:color w:val="5C6B73"/>
          <w:sz w:val="20"/>
          <w:szCs w:val="20"/>
        </w:rPr>
        <w:t xml:space="preserve">2025-07-01 to 2026-06-30  ·  365 days  ·  AED</w:t>
      </w:r>
    </w:p>
    <w:tbl>
      <w:tblPr>
        <w:tblW w:type="dxa" w:w="9360"/>
        <w:tblBorders>
          <w:top w:val="single" w:color="E8A33D" w:sz="6"/>
          <w:left w:val="single" w:color="E8A33D" w:sz="6"/>
          <w:bottom w:val="single" w:color="E8A33D" w:sz="6"/>
          <w:right w:val="single" w:color="E8A33D" w:sz="6"/>
          <w:insideH w:val="none"/>
          <w:insideV w:val="none"/>
        </w:tblBorders>
      </w:tblPr>
      <w:tblGrid>
        <w:gridCol w:w="9360"/>
      </w:tblGrid>
      <w:tr>
        <w:tc>
          <w:tcPr>
            <w:tcW w:type="dxa" w:w="9360"/>
            <w:shd w:fill="FEF7E8" w:color="auto" w:val="clear"/>
            <w:tcMar>
              <w:top w:type="dxa" w:w="90"/>
              <w:left w:type="dxa" w:w="110"/>
              <w:bottom w:type="dxa" w:w="90"/>
              <w:right w:type="dxa" w:w="110"/>
            </w:tcMar>
          </w:tcPr>
          <w:p>
            <w:pPr>
              <w:spacing w:after="60" w:before="0" w:line="276"/>
            </w:pPr>
            <w:r>
              <w:rPr>
                <w:rFonts w:ascii="Calibri" w:cs="Calibri" w:eastAsia="Calibri" w:hAnsi="Calibri"/>
                <w:b/>
                <w:bCs/>
                <w:color w:val="1A1A1A"/>
                <w:sz w:val="20"/>
                <w:szCs w:val="20"/>
              </w:rPr>
              <w:t xml:space="preserve">ILLUSTRATIVE — SYNTHETIC DATA</w:t>
            </w:r>
          </w:p>
          <w:p>
            <w:pPr>
              <w:spacing w:after="0" w:before="0" w:line="276"/>
            </w:pPr>
            <w:r>
              <w:rPr>
                <w:rFonts w:ascii="Calibri" w:cs="Calibri" w:eastAsia="Calibri" w:hAnsi="Calibri"/>
                <w:color w:val="5C6B73"/>
                <w:sz w:val="19"/>
                <w:szCs w:val="19"/>
              </w:rPr>
              <w:t xml:space="preserve">This brief demonstrates an analytical method. The underlying data is generated, not observed. No Careem data of any kind has been used and no figure in this document describes a real business.</w:t>
            </w:r>
          </w:p>
        </w:tc>
      </w:tr>
    </w:tbl>
    <w:p>
      <w:pPr>
        <w:spacing w:after="600" w:before="0" w:line="276"/>
      </w:pPr>
      <w:r>
        <w:rPr>
          <w:rFonts w:ascii="Calibri" w:cs="Calibri" w:eastAsia="Calibri" w:hAnsi="Calibri"/>
          <w:color w:val="1A1A1A"/>
          <w:sz w:val="21"/>
          <w:szCs w:val="21"/>
        </w:rPr>
        <w:t xml:space="preserve"/>
      </w:r>
    </w:p>
    <w:p>
      <w:pPr>
        <w:spacing w:after="40" w:before="0" w:line="276"/>
      </w:pPr>
      <w:r>
        <w:rPr>
          <w:rFonts w:ascii="Calibri" w:cs="Calibri" w:eastAsia="Calibri" w:hAnsi="Calibri"/>
          <w:color w:val="5C6B73"/>
          <w:sz w:val="20"/>
          <w:szCs w:val="20"/>
        </w:rPr>
        <w:t xml:space="preserve">Prepared for the City Operations Director</w:t>
      </w:r>
    </w:p>
    <w:p>
      <w:pPr>
        <w:spacing w:after="0" w:before="0" w:line="276"/>
      </w:pPr>
      <w:r>
        <w:rPr>
          <w:rFonts w:ascii="Calibri" w:cs="Calibri" w:eastAsia="Calibri" w:hAnsi="Calibri"/>
          <w:color w:val="5C6B73"/>
          <w:sz w:val="20"/>
          <w:szCs w:val="20"/>
        </w:rPr>
        <w:t xml:space="preserve">Data-quality gate: WARN</w:t>
      </w:r>
    </w:p>
    <w:p>
      <w:r>
        <w:br w:type="page"/>
      </w:r>
    </w:p>
    <w:p>
      <w:pPr>
        <w:pStyle w:val="Heading1"/>
        <w:spacing w:after="150" w:before="340"/>
      </w:pPr>
      <w:r>
        <w:rPr>
          <w:rFonts w:ascii="Cambria" w:cs="Cambria" w:eastAsia="Cambria" w:hAnsi="Cambria"/>
          <w:b/>
          <w:bCs/>
          <w:color w:val="046A38"/>
          <w:sz w:val="30"/>
          <w:szCs w:val="30"/>
        </w:rPr>
        <w:t xml:space="preserve">The decision</w:t>
      </w:r>
    </w:p>
    <w:p>
      <w:pPr>
        <w:spacing w:after="120" w:before="0" w:line="276"/>
      </w:pPr>
      <w:r>
        <w:rPr>
          <w:rFonts w:ascii="Calibri" w:cs="Calibri" w:eastAsia="Calibri" w:hAnsi="Calibri"/>
          <w:color w:val="1A1A1A"/>
          <w:sz w:val="21"/>
          <w:szCs w:val="21"/>
        </w:rPr>
        <w:t xml:space="preserve">The network converts </w:t>
      </w:r>
      <w:r>
        <w:rPr>
          <w:rFonts w:ascii="Calibri" w:cs="Calibri" w:eastAsia="Calibri" w:hAnsi="Calibri"/>
          <w:b/>
          <w:bCs/>
          <w:color w:val="1A1A1A"/>
          <w:sz w:val="21"/>
          <w:szCs w:val="21"/>
        </w:rPr>
        <w:t xml:space="preserve">AED 2.67m</w:t>
      </w:r>
      <w:r>
        <w:rPr>
          <w:rFonts w:ascii="Calibri" w:cs="Calibri" w:eastAsia="Calibri" w:hAnsi="Calibri"/>
          <w:color w:val="1A1A1A"/>
          <w:sz w:val="21"/>
          <w:szCs w:val="21"/>
        </w:rPr>
        <w:t xml:space="preserve"> of gross margin a year and gives back </w:t>
      </w:r>
      <w:r>
        <w:rPr>
          <w:rFonts w:ascii="Calibri" w:cs="Calibri" w:eastAsia="Calibri" w:hAnsi="Calibri"/>
          <w:b/>
          <w:bCs/>
          <w:color w:val="D64545"/>
          <w:sz w:val="21"/>
          <w:szCs w:val="21"/>
        </w:rPr>
        <w:t xml:space="preserve">AED 214k</w:t>
      </w:r>
      <w:r>
        <w:rPr>
          <w:rFonts w:ascii="Calibri" w:cs="Calibri" w:eastAsia="Calibri" w:hAnsi="Calibri"/>
          <w:color w:val="1A1A1A"/>
          <w:sz w:val="21"/>
          <w:szCs w:val="21"/>
        </w:rPr>
        <w:t xml:space="preserve"> of it through availability failures, write-off and supplier shortfalls. This brief identifies where that goes and what recovers it.</w:t>
      </w:r>
    </w:p>
    <w:p>
      <w:pPr>
        <w:spacing w:after="120" w:before="0" w:line="276"/>
      </w:pPr>
      <w:r>
        <w:rPr>
          <w:rFonts w:ascii="Calibri" w:cs="Calibri" w:eastAsia="Calibri" w:hAnsi="Calibri"/>
          <w:color w:val="1A1A1A"/>
          <w:sz w:val="21"/>
          <w:szCs w:val="21"/>
        </w:rPr>
        <w:t xml:space="preserve">Six actions are recommended. Together they are worth </w:t>
      </w:r>
      <w:r>
        <w:rPr>
          <w:rFonts w:ascii="Calibri" w:cs="Calibri" w:eastAsia="Calibri" w:hAnsi="Calibri"/>
          <w:b/>
          <w:bCs/>
          <w:color w:val="046A38"/>
          <w:sz w:val="21"/>
          <w:szCs w:val="21"/>
        </w:rPr>
        <w:t xml:space="preserve">AED 49k a year</w:t>
      </w:r>
      <w:r>
        <w:rPr>
          <w:rFonts w:ascii="Calibri" w:cs="Calibri" w:eastAsia="Calibri" w:hAnsi="Calibri"/>
          <w:color w:val="1A1A1A"/>
          <w:sz w:val="21"/>
          <w:szCs w:val="21"/>
        </w:rPr>
        <w:t xml:space="preserve"> net of the cost of doing them, against </w:t>
      </w:r>
      <w:r>
        <w:rPr>
          <w:rFonts w:ascii="Calibri" w:cs="Calibri" w:eastAsia="Calibri" w:hAnsi="Calibri"/>
          <w:b/>
          <w:bCs/>
          <w:color w:val="1A1A1A"/>
          <w:sz w:val="21"/>
          <w:szCs w:val="21"/>
        </w:rPr>
        <w:t xml:space="preserve">AED 30k</w:t>
      </w:r>
      <w:r>
        <w:rPr>
          <w:rFonts w:ascii="Calibri" w:cs="Calibri" w:eastAsia="Calibri" w:hAnsi="Calibri"/>
          <w:color w:val="1A1A1A"/>
          <w:sz w:val="21"/>
          <w:szCs w:val="21"/>
        </w:rPr>
        <w:t xml:space="preserve"> of one-off investment. A seventh — the intuitive fix for the network's worst-performing store — is analysed and </w:t>
      </w:r>
      <w:r>
        <w:rPr>
          <w:rFonts w:ascii="Calibri" w:cs="Calibri" w:eastAsia="Calibri" w:hAnsi="Calibri"/>
          <w:b/>
          <w:bCs/>
          <w:color w:val="1A1A1A"/>
          <w:sz w:val="21"/>
          <w:szCs w:val="21"/>
        </w:rPr>
        <w:t xml:space="preserve">not recommended</w:t>
      </w:r>
      <w:r>
        <w:rPr>
          <w:rFonts w:ascii="Calibri" w:cs="Calibri" w:eastAsia="Calibri" w:hAnsi="Calibri"/>
          <w:color w:val="1A1A1A"/>
          <w:sz w:val="21"/>
          <w:szCs w:val="21"/>
        </w:rPr>
        <w:t xml:space="preserve">, because it costs more than it saves.</w:t>
      </w:r>
    </w:p>
    <w:p>
      <w:pPr>
        <w:spacing w:after="120" w:before="0" w:line="276"/>
      </w:pPr>
      <w:r>
        <w:rPr>
          <w:rFonts w:ascii="Calibri" w:cs="Calibri" w:eastAsia="Calibri" w:hAnsi="Calibri"/>
          <w:b/>
          <w:bCs/>
          <w:color w:val="1A1A1A"/>
          <w:sz w:val="21"/>
          <w:szCs w:val="21"/>
        </w:rPr>
        <w:t xml:space="preserve">What is being asked: </w:t>
      </w:r>
      <w:r>
        <w:rPr>
          <w:rFonts w:ascii="Calibri" w:cs="Calibri" w:eastAsia="Calibri" w:hAnsi="Calibri"/>
          <w:color w:val="1A1A1A"/>
          <w:sz w:val="21"/>
          <w:szCs w:val="21"/>
        </w:rPr>
        <w:t xml:space="preserve">approval to proceed with R1 and R5a immediately — both are scheduling changes with no incremental headcount — and a mandate to open supplier negotiations behind R2 and R3.</w:t>
      </w:r>
    </w:p>
    <w:tbl>
      <w:tblPr>
        <w:tblW w:type="dxa" w:w="9360"/>
        <w:tblBorders>
          <w:top w:val="single" w:color="DCE2E0" w:sz="1"/>
          <w:left w:val="none"/>
          <w:bottom w:val="single" w:color="DCE2E0" w:sz="1"/>
          <w:right w:val="none"/>
          <w:insideH w:val="single" w:color="DCE2E0" w:sz="1"/>
          <w:insideV w:val="none"/>
        </w:tblBorders>
      </w:tblPr>
      <w:tblGrid>
        <w:gridCol w:w="2340"/>
        <w:gridCol w:w="2340"/>
        <w:gridCol w:w="2340"/>
        <w:gridCol w:w="2340"/>
      </w:tblGrid>
      <w:tr>
        <w:tc>
          <w:tcPr>
            <w:tcW w:type="dxa" w:w="2340"/>
            <w:shd w:fill="F4F6F5" w:color="auto" w:val="clear"/>
            <w:tcMar>
              <w:top w:type="dxa" w:w="90"/>
              <w:left w:type="dxa" w:w="110"/>
              <w:bottom w:type="dxa" w:w="90"/>
              <w:right w:type="dxa" w:w="110"/>
            </w:tcMar>
          </w:tcPr>
          <w:p>
            <w:pPr>
              <w:spacing w:after="40" w:before="0" w:line="276"/>
            </w:pPr>
            <w:r>
              <w:rPr>
                <w:rFonts w:ascii="Calibri" w:cs="Calibri" w:eastAsia="Calibri" w:hAnsi="Calibri"/>
                <w:b/>
                <w:bCs/>
                <w:color w:val="5C6B73"/>
                <w:sz w:val="17"/>
                <w:szCs w:val="17"/>
              </w:rPr>
              <w:t xml:space="preserve">Actions recommended</w:t>
            </w:r>
          </w:p>
        </w:tc>
        <w:tc>
          <w:tcPr>
            <w:tcW w:type="dxa" w:w="2340"/>
            <w:shd w:fill="F4F6F5" w:color="auto" w:val="clear"/>
            <w:tcMar>
              <w:top w:type="dxa" w:w="90"/>
              <w:left w:type="dxa" w:w="110"/>
              <w:bottom w:type="dxa" w:w="90"/>
              <w:right w:type="dxa" w:w="110"/>
            </w:tcMar>
          </w:tcPr>
          <w:p>
            <w:pPr>
              <w:spacing w:after="40" w:before="0" w:line="276"/>
            </w:pPr>
            <w:r>
              <w:rPr>
                <w:rFonts w:ascii="Calibri" w:cs="Calibri" w:eastAsia="Calibri" w:hAnsi="Calibri"/>
                <w:b/>
                <w:bCs/>
                <w:color w:val="5C6B73"/>
                <w:sz w:val="17"/>
                <w:szCs w:val="17"/>
              </w:rPr>
              <w:t xml:space="preserve">Net annual value</w:t>
            </w:r>
          </w:p>
        </w:tc>
        <w:tc>
          <w:tcPr>
            <w:tcW w:type="dxa" w:w="2340"/>
            <w:shd w:fill="F4F6F5" w:color="auto" w:val="clear"/>
            <w:tcMar>
              <w:top w:type="dxa" w:w="90"/>
              <w:left w:type="dxa" w:w="110"/>
              <w:bottom w:type="dxa" w:w="90"/>
              <w:right w:type="dxa" w:w="110"/>
            </w:tcMar>
          </w:tcPr>
          <w:p>
            <w:pPr>
              <w:spacing w:after="40" w:before="0" w:line="276"/>
            </w:pPr>
            <w:r>
              <w:rPr>
                <w:rFonts w:ascii="Calibri" w:cs="Calibri" w:eastAsia="Calibri" w:hAnsi="Calibri"/>
                <w:b/>
                <w:bCs/>
                <w:color w:val="5C6B73"/>
                <w:sz w:val="17"/>
                <w:szCs w:val="17"/>
              </w:rPr>
              <w:t xml:space="preserve">One-off investment</w:t>
            </w:r>
          </w:p>
        </w:tc>
        <w:tc>
          <w:tcPr>
            <w:tcW w:type="dxa" w:w="2340"/>
            <w:shd w:fill="F4F6F5" w:color="auto" w:val="clear"/>
            <w:tcMar>
              <w:top w:type="dxa" w:w="90"/>
              <w:left w:type="dxa" w:w="110"/>
              <w:bottom w:type="dxa" w:w="90"/>
              <w:right w:type="dxa" w:w="110"/>
            </w:tcMar>
          </w:tcPr>
          <w:p>
            <w:pPr>
              <w:spacing w:after="40" w:before="0" w:line="276"/>
            </w:pPr>
            <w:r>
              <w:rPr>
                <w:rFonts w:ascii="Calibri" w:cs="Calibri" w:eastAsia="Calibri" w:hAnsi="Calibri"/>
                <w:b/>
                <w:bCs/>
                <w:color w:val="5C6B73"/>
                <w:sz w:val="17"/>
                <w:szCs w:val="17"/>
              </w:rPr>
              <w:t xml:space="preserve">Identified leakage</w:t>
            </w:r>
          </w:p>
        </w:tc>
      </w:tr>
      <w:tr>
        <w:tc>
          <w:tcPr>
            <w:tcW w:type="dxa" w:w="2340"/>
            <w:tcMar>
              <w:top w:type="dxa" w:w="90"/>
              <w:left w:type="dxa" w:w="110"/>
              <w:bottom w:type="dxa" w:w="90"/>
              <w:right w:type="dxa" w:w="110"/>
            </w:tcMar>
          </w:tcPr>
          <w:p>
            <w:pPr>
              <w:spacing w:after="0" w:before="0" w:line="276"/>
            </w:pPr>
            <w:r>
              <w:rPr>
                <w:rFonts w:ascii="Calibri" w:cs="Calibri" w:eastAsia="Calibri" w:hAnsi="Calibri"/>
                <w:b/>
                <w:bCs/>
                <w:color w:val="046A38"/>
                <w:sz w:val="32"/>
                <w:szCs w:val="32"/>
              </w:rPr>
              <w:t xml:space="preserve">2</w:t>
            </w:r>
          </w:p>
        </w:tc>
        <w:tc>
          <w:tcPr>
            <w:tcW w:type="dxa" w:w="2340"/>
            <w:tcMar>
              <w:top w:type="dxa" w:w="90"/>
              <w:left w:type="dxa" w:w="110"/>
              <w:bottom w:type="dxa" w:w="90"/>
              <w:right w:type="dxa" w:w="110"/>
            </w:tcMar>
          </w:tcPr>
          <w:p>
            <w:pPr>
              <w:spacing w:after="0" w:before="0" w:line="276"/>
            </w:pPr>
            <w:r>
              <w:rPr>
                <w:rFonts w:ascii="Calibri" w:cs="Calibri" w:eastAsia="Calibri" w:hAnsi="Calibri"/>
                <w:b/>
                <w:bCs/>
                <w:color w:val="046A38"/>
                <w:sz w:val="32"/>
                <w:szCs w:val="32"/>
              </w:rPr>
              <w:t xml:space="preserve">AED 49k</w:t>
            </w:r>
          </w:p>
        </w:tc>
        <w:tc>
          <w:tcPr>
            <w:tcW w:type="dxa" w:w="2340"/>
            <w:tcMar>
              <w:top w:type="dxa" w:w="90"/>
              <w:left w:type="dxa" w:w="110"/>
              <w:bottom w:type="dxa" w:w="90"/>
              <w:right w:type="dxa" w:w="110"/>
            </w:tcMar>
          </w:tcPr>
          <w:p>
            <w:pPr>
              <w:spacing w:after="0" w:before="0" w:line="276"/>
            </w:pPr>
            <w:r>
              <w:rPr>
                <w:rFonts w:ascii="Calibri" w:cs="Calibri" w:eastAsia="Calibri" w:hAnsi="Calibri"/>
                <w:b/>
                <w:bCs/>
                <w:color w:val="1A1A1A"/>
                <w:sz w:val="32"/>
                <w:szCs w:val="32"/>
              </w:rPr>
              <w:t xml:space="preserve">AED 30k</w:t>
            </w:r>
          </w:p>
        </w:tc>
        <w:tc>
          <w:tcPr>
            <w:tcW w:type="dxa" w:w="2340"/>
            <w:tcMar>
              <w:top w:type="dxa" w:w="90"/>
              <w:left w:type="dxa" w:w="110"/>
              <w:bottom w:type="dxa" w:w="90"/>
              <w:right w:type="dxa" w:w="110"/>
            </w:tcMar>
          </w:tcPr>
          <w:p>
            <w:pPr>
              <w:spacing w:after="0" w:before="0" w:line="276"/>
            </w:pPr>
            <w:r>
              <w:rPr>
                <w:rFonts w:ascii="Calibri" w:cs="Calibri" w:eastAsia="Calibri" w:hAnsi="Calibri"/>
                <w:b/>
                <w:bCs/>
                <w:color w:val="D64545"/>
                <w:sz w:val="32"/>
                <w:szCs w:val="32"/>
              </w:rPr>
              <w:t xml:space="preserve">AED 214k</w:t>
            </w:r>
          </w:p>
        </w:tc>
      </w:tr>
    </w:tbl>
    <w:p>
      <w:pPr>
        <w:pStyle w:val="Heading1"/>
        <w:spacing w:after="150" w:before="340"/>
      </w:pPr>
      <w:r>
        <w:rPr>
          <w:rFonts w:ascii="Cambria" w:cs="Cambria" w:eastAsia="Cambria" w:hAnsi="Cambria"/>
          <w:b/>
          <w:bCs/>
          <w:color w:val="046A38"/>
          <w:sz w:val="30"/>
          <w:szCs w:val="30"/>
        </w:rPr>
        <w:t xml:space="preserve">Executive summary</w:t>
      </w:r>
    </w:p>
    <w:p>
      <w:pPr>
        <w:spacing w:after="120" w:before="0" w:line="276"/>
      </w:pPr>
      <w:r>
        <w:rPr>
          <w:rFonts w:ascii="Calibri" w:cs="Calibri" w:eastAsia="Calibri" w:hAnsi="Calibri"/>
          <w:color w:val="1A1A1A"/>
          <w:sz w:val="21"/>
          <w:szCs w:val="21"/>
        </w:rPr>
        <w:t xml:space="preserve">Findings are ordered by materiality weighted by confidence. Root causes are reported rather than the symptoms they produce, so the same money is not counted twice.</w:t>
      </w:r>
    </w:p>
    <w:p>
      <w:pPr>
        <w:pStyle w:val="ListParagraph"/>
        <w:numPr>
          <w:ilvl w:val="0"/>
          <w:numId w:val="2"/>
        </w:numPr>
        <w:spacing w:after="70" w:line="276"/>
      </w:pPr>
      <w:r>
        <w:rPr>
          <w:rFonts w:ascii="Calibri" w:cs="Calibri" w:eastAsia="Calibri" w:hAnsi="Calibri"/>
          <w:b w:val="false"/>
          <w:bCs w:val="false"/>
          <w:color w:val="1A1A1A"/>
          <w:sz w:val="21"/>
          <w:szCs w:val="21"/>
        </w:rPr>
        <w:t xml:space="preserve">The network fulfils 89.3% of requests against a 95% target — the shortfall is worth AED 0.22m a year. </w:t>
      </w:r>
      <w:r>
        <w:rPr>
          <w:rFonts w:ascii="Calibri" w:cs="Calibri" w:eastAsia="Calibri" w:hAnsi="Calibri"/>
          <w:b/>
          <w:bCs/>
          <w:color w:val="046A38"/>
          <w:sz w:val="21"/>
          <w:szCs w:val="21"/>
        </w:rPr>
        <w:t xml:space="preserve">AED 223k/yr</w:t>
      </w:r>
      <w:r>
        <w:rPr>
          <w:rFonts w:ascii="Calibri" w:cs="Calibri" w:eastAsia="Calibri" w:hAnsi="Calibri"/>
          <w:color w:val="5C6B73"/>
          <w:sz w:val="18"/>
          <w:szCs w:val="18"/>
        </w:rPr>
        <w:t xml:space="preserve">  ·  98% confidence  ·  symptom of SPL-01</w:t>
      </w:r>
    </w:p>
    <w:p>
      <w:pPr>
        <w:pStyle w:val="ListParagraph"/>
        <w:numPr>
          <w:ilvl w:val="0"/>
          <w:numId w:val="2"/>
        </w:numPr>
        <w:spacing w:after="70" w:line="276"/>
      </w:pPr>
      <w:r>
        <w:rPr>
          <w:rFonts w:ascii="Calibri" w:cs="Calibri" w:eastAsia="Calibri" w:hAnsi="Calibri"/>
          <w:b w:val="false"/>
          <w:bCs w:val="false"/>
          <w:color w:val="1A1A1A"/>
          <w:sz w:val="21"/>
          <w:szCs w:val="21"/>
        </w:rPr>
        <w:t xml:space="preserve">Captains who do not clear 20 trips in their first week churn at 26% against 8% for those who do — 3.3× the rate, and 55% of joiners fall in that group. </w:t>
      </w:r>
      <w:r>
        <w:rPr>
          <w:rFonts w:ascii="Calibri" w:cs="Calibri" w:eastAsia="Calibri" w:hAnsi="Calibri"/>
          <w:b/>
          <w:bCs/>
          <w:color w:val="046A38"/>
          <w:sz w:val="21"/>
          <w:szCs w:val="21"/>
        </w:rPr>
        <w:t xml:space="preserve">AED 110k/yr</w:t>
      </w:r>
      <w:r>
        <w:rPr>
          <w:rFonts w:ascii="Calibri" w:cs="Calibri" w:eastAsia="Calibri" w:hAnsi="Calibri"/>
          <w:color w:val="5C6B73"/>
          <w:sz w:val="18"/>
          <w:szCs w:val="18"/>
        </w:rPr>
        <w:t xml:space="preserve">  ·  98% confidence  ·  root cause</w:t>
      </w:r>
    </w:p>
    <w:p>
      <w:pPr>
        <w:pStyle w:val="ListParagraph"/>
        <w:numPr>
          <w:ilvl w:val="0"/>
          <w:numId w:val="2"/>
        </w:numPr>
        <w:spacing w:after="70" w:line="276"/>
      </w:pPr>
      <w:r>
        <w:rPr>
          <w:rFonts w:ascii="Calibri" w:cs="Calibri" w:eastAsia="Calibri" w:hAnsi="Calibri"/>
          <w:b w:val="false"/>
          <w:bCs w:val="false"/>
          <w:color w:val="1A1A1A"/>
          <w:sz w:val="21"/>
          <w:szCs w:val="21"/>
        </w:rPr>
        <w:t xml:space="preserve">Dubai Airport loses 50% of demand between 06:00–09:00 while surge sits at 1.76× — supply is not responding to price. </w:t>
      </w:r>
      <w:r>
        <w:rPr>
          <w:rFonts w:ascii="Calibri" w:cs="Calibri" w:eastAsia="Calibri" w:hAnsi="Calibri"/>
          <w:b/>
          <w:bCs/>
          <w:color w:val="046A38"/>
          <w:sz w:val="21"/>
          <w:szCs w:val="21"/>
        </w:rPr>
        <w:t xml:space="preserve">AED 59k/yr</w:t>
      </w:r>
      <w:r>
        <w:rPr>
          <w:rFonts w:ascii="Calibri" w:cs="Calibri" w:eastAsia="Calibri" w:hAnsi="Calibri"/>
          <w:color w:val="5C6B73"/>
          <w:sz w:val="18"/>
          <w:szCs w:val="18"/>
        </w:rPr>
        <w:t xml:space="preserve">  ·  94% confidence  ·  root cause</w:t>
      </w:r>
    </w:p>
    <w:p>
      <w:pPr>
        <w:pStyle w:val="ListParagraph"/>
        <w:numPr>
          <w:ilvl w:val="0"/>
          <w:numId w:val="2"/>
        </w:numPr>
        <w:spacing w:after="70" w:line="276"/>
      </w:pPr>
      <w:r>
        <w:rPr>
          <w:rFonts w:ascii="Calibri" w:cs="Calibri" w:eastAsia="Calibri" w:hAnsi="Calibri"/>
          <w:b w:val="false"/>
          <w:bCs w:val="false"/>
          <w:color w:val="1A1A1A"/>
          <w:sz w:val="21"/>
          <w:szCs w:val="21"/>
        </w:rPr>
        <w:t xml:space="preserve">Business Bay, Yas Island promise arrival 4.3 min sooner than they deliver, and cancel 11% of trips against 4% elsewhere — the estimate causes the cancellation, not the wait. </w:t>
      </w:r>
      <w:r>
        <w:rPr>
          <w:rFonts w:ascii="Calibri" w:cs="Calibri" w:eastAsia="Calibri" w:hAnsi="Calibri"/>
          <w:b/>
          <w:bCs/>
          <w:color w:val="046A38"/>
          <w:sz w:val="21"/>
          <w:szCs w:val="21"/>
        </w:rPr>
        <w:t xml:space="preserve">AED 45k/yr</w:t>
      </w:r>
      <w:r>
        <w:rPr>
          <w:rFonts w:ascii="Calibri" w:cs="Calibri" w:eastAsia="Calibri" w:hAnsi="Calibri"/>
          <w:color w:val="5C6B73"/>
          <w:sz w:val="18"/>
          <w:szCs w:val="18"/>
        </w:rPr>
        <w:t xml:space="preserve">  ·  95% confidence  ·  root cause</w:t>
      </w:r>
    </w:p>
    <w:p>
      <w:pPr>
        <w:pStyle w:val="Heading1"/>
        <w:spacing w:after="150" w:before="340"/>
      </w:pPr>
      <w:r>
        <w:rPr>
          <w:rFonts w:ascii="Cambria" w:cs="Cambria" w:eastAsia="Cambria" w:hAnsi="Cambria"/>
          <w:b/>
          <w:bCs/>
          <w:color w:val="046A38"/>
          <w:sz w:val="30"/>
          <w:szCs w:val="30"/>
        </w:rPr>
        <w:t xml:space="preserve">Where the margin goes</w:t>
      </w:r>
    </w:p>
    <w:p>
      <w:pPr>
        <w:spacing w:after="140" w:before="120"/>
        <w:jc w:val="center"/>
      </w:pPr>
      <w:r>
        <w:drawing>
          <wp:inline distT="0" distB="0" distL="0" distR="0">
            <wp:extent cx="584835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3038475"/>
                    </a:xfrm>
                    <a:prstGeom prst="rect">
                      <a:avLst/>
                    </a:prstGeom>
                  </pic:spPr>
                </pic:pic>
              </a:graphicData>
            </a:graphic>
          </wp:inline>
        </w:drawing>
      </w:r>
    </w:p>
    <w:p>
      <w:pPr>
        <w:spacing w:after="200" w:before="0" w:line="276"/>
      </w:pPr>
      <w:r>
        <w:rPr>
          <w:rFonts w:ascii="Calibri" w:cs="Calibri" w:eastAsia="Calibri" w:hAnsi="Calibri"/>
          <w:i/>
          <w:iCs/>
          <w:color w:val="5C6B73"/>
          <w:sz w:val="17"/>
          <w:szCs w:val="17"/>
        </w:rPr>
        <w:t xml:space="preserve">Annualised. Fleet cost is shown as a cost of doing business rather than a leak — it is the price of the service, not a failure of it.</w:t>
      </w:r>
    </w:p>
    <w:tbl>
      <w:tblPr>
        <w:tblW w:type="dxa" w:w="9360"/>
        <w:tblBorders>
          <w:top w:val="single" w:color="DCE2E0" w:sz="1"/>
          <w:left w:val="none"/>
          <w:bottom w:val="single" w:color="DCE2E0" w:sz="1"/>
          <w:right w:val="none"/>
          <w:insideH w:val="single" w:color="DCE2E0" w:sz="1"/>
          <w:insideV w:val="none"/>
        </w:tblBorders>
      </w:tblPr>
      <w:tblGrid>
        <w:gridCol w:w="5160"/>
        <w:gridCol w:w="2400"/>
        <w:gridCol w:w="1800"/>
      </w:tblGrid>
      <w:tr>
        <w:tc>
          <w:tcPr>
            <w:tcW w:type="dxa" w:w="5160"/>
            <w:shd w:fill="F4F6F5" w:color="auto" w:val="clear"/>
            <w:tcMar>
              <w:top w:type="dxa" w:w="90"/>
              <w:left w:type="dxa" w:w="110"/>
              <w:bottom w:type="dxa" w:w="90"/>
              <w:right w:type="dxa" w:w="110"/>
            </w:tcMar>
          </w:tcPr>
          <w:p>
            <w:pPr>
              <w:spacing w:after="0" w:before="0" w:line="276"/>
            </w:pPr>
            <w:r>
              <w:rPr>
                <w:rFonts w:ascii="Calibri" w:cs="Calibri" w:eastAsia="Calibri" w:hAnsi="Calibri"/>
                <w:b/>
                <w:bCs/>
                <w:color w:val="5C6B73"/>
                <w:sz w:val="17"/>
                <w:szCs w:val="17"/>
              </w:rPr>
              <w:t xml:space="preserve">Item</w:t>
            </w:r>
          </w:p>
        </w:tc>
        <w:tc>
          <w:tcPr>
            <w:tcW w:type="dxa" w:w="2400"/>
            <w:shd w:fill="F4F6F5" w:color="auto" w:val="clear"/>
            <w:tcMar>
              <w:top w:type="dxa" w:w="90"/>
              <w:left w:type="dxa" w:w="110"/>
              <w:bottom w:type="dxa" w:w="90"/>
              <w:right w:type="dxa" w:w="110"/>
            </w:tcMar>
          </w:tcPr>
          <w:p>
            <w:pPr>
              <w:spacing w:after="0" w:before="0" w:line="276"/>
            </w:pPr>
            <w:r>
              <w:rPr>
                <w:rFonts w:ascii="Calibri" w:cs="Calibri" w:eastAsia="Calibri" w:hAnsi="Calibri"/>
                <w:b/>
                <w:bCs/>
                <w:color w:val="5C6B73"/>
                <w:sz w:val="17"/>
                <w:szCs w:val="17"/>
              </w:rPr>
              <w:t xml:space="preserve">Annualised</w:t>
            </w:r>
          </w:p>
        </w:tc>
        <w:tc>
          <w:tcPr>
            <w:tcW w:type="dxa" w:w="1800"/>
            <w:shd w:fill="F4F6F5" w:color="auto" w:val="clear"/>
            <w:tcMar>
              <w:top w:type="dxa" w:w="90"/>
              <w:left w:type="dxa" w:w="110"/>
              <w:bottom w:type="dxa" w:w="90"/>
              <w:right w:type="dxa" w:w="110"/>
            </w:tcMar>
          </w:tcPr>
          <w:p>
            <w:pPr>
              <w:spacing w:after="0" w:before="0" w:line="276"/>
            </w:pPr>
            <w:r>
              <w:rPr>
                <w:rFonts w:ascii="Calibri" w:cs="Calibri" w:eastAsia="Calibri" w:hAnsi="Calibri"/>
                <w:b/>
                <w:bCs/>
                <w:color w:val="5C6B73"/>
                <w:sz w:val="17"/>
                <w:szCs w:val="17"/>
              </w:rPr>
              <w:t xml:space="preserve">Type</w:t>
            </w:r>
          </w:p>
        </w:tc>
      </w:tr>
      <w:tr>
        <w:tc>
          <w:tcPr>
            <w:tcW w:type="dxa" w:w="5160"/>
            <w:tcMar>
              <w:top w:type="dxa" w:w="90"/>
              <w:left w:type="dxa" w:w="110"/>
              <w:bottom w:type="dxa" w:w="90"/>
              <w:right w:type="dxa" w:w="110"/>
            </w:tcMar>
          </w:tcPr>
          <w:p>
            <w:pPr>
              <w:spacing w:after="0" w:before="0" w:line="276"/>
            </w:pPr>
            <w:r>
              <w:rPr>
                <w:rFonts w:ascii="Calibri" w:cs="Calibri" w:eastAsia="Calibri" w:hAnsi="Calibri"/>
                <w:color w:val="1A1A1A"/>
                <w:sz w:val="19"/>
                <w:szCs w:val="19"/>
              </w:rPr>
              <w:t xml:space="preserve">Net revenue</w:t>
            </w:r>
          </w:p>
        </w:tc>
        <w:tc>
          <w:tcPr>
            <w:tcW w:type="dxa" w:w="2400"/>
            <w:tcMar>
              <w:top w:type="dxa" w:w="90"/>
              <w:left w:type="dxa" w:w="110"/>
              <w:bottom w:type="dxa" w:w="90"/>
              <w:right w:type="dxa" w:w="110"/>
            </w:tcMar>
          </w:tcPr>
          <w:p>
            <w:pPr>
              <w:spacing w:after="0" w:before="0" w:line="276"/>
            </w:pPr>
            <w:r>
              <w:rPr>
                <w:rFonts w:ascii="Calibri" w:cs="Calibri" w:eastAsia="Calibri" w:hAnsi="Calibri"/>
                <w:b w:val="false"/>
                <w:bCs w:val="false"/>
                <w:color w:val="1A1A1A"/>
                <w:sz w:val="19"/>
                <w:szCs w:val="19"/>
              </w:rPr>
              <w:t xml:space="preserve">AED 2.67m</w:t>
            </w:r>
          </w:p>
        </w:tc>
        <w:tc>
          <w:tcPr>
            <w:tcW w:type="dxa" w:w="1800"/>
            <w:tcMar>
              <w:top w:type="dxa" w:w="90"/>
              <w:left w:type="dxa" w:w="110"/>
              <w:bottom w:type="dxa" w:w="90"/>
              <w:right w:type="dxa" w:w="110"/>
            </w:tcMar>
          </w:tcPr>
          <w:p>
            <w:pPr>
              <w:spacing w:after="0" w:before="0" w:line="276"/>
            </w:pPr>
            <w:r>
              <w:rPr>
                <w:rFonts w:ascii="Calibri" w:cs="Calibri" w:eastAsia="Calibri" w:hAnsi="Calibri"/>
                <w:color w:val="5C6B73"/>
                <w:sz w:val="18"/>
                <w:szCs w:val="18"/>
              </w:rPr>
              <w:t xml:space="preserve">positive</w:t>
            </w:r>
          </w:p>
        </w:tc>
      </w:tr>
      <w:tr>
        <w:tc>
          <w:tcPr>
            <w:tcW w:type="dxa" w:w="5160"/>
            <w:tcMar>
              <w:top w:type="dxa" w:w="90"/>
              <w:left w:type="dxa" w:w="110"/>
              <w:bottom w:type="dxa" w:w="90"/>
              <w:right w:type="dxa" w:w="110"/>
            </w:tcMar>
          </w:tcPr>
          <w:p>
            <w:pPr>
              <w:spacing w:after="0" w:before="0" w:line="276"/>
            </w:pPr>
            <w:r>
              <w:rPr>
                <w:rFonts w:ascii="Calibri" w:cs="Calibri" w:eastAsia="Calibri" w:hAnsi="Calibri"/>
                <w:color w:val="1A1A1A"/>
                <w:sz w:val="19"/>
                <w:szCs w:val="19"/>
              </w:rPr>
              <w:t xml:space="preserve">Lost revenue — unfulfilled requests</w:t>
            </w:r>
          </w:p>
        </w:tc>
        <w:tc>
          <w:tcPr>
            <w:tcW w:type="dxa" w:w="2400"/>
            <w:tcMar>
              <w:top w:type="dxa" w:w="90"/>
              <w:left w:type="dxa" w:w="110"/>
              <w:bottom w:type="dxa" w:w="90"/>
              <w:right w:type="dxa" w:w="110"/>
            </w:tcMar>
          </w:tcPr>
          <w:p>
            <w:pPr>
              <w:spacing w:after="0" w:before="0" w:line="276"/>
            </w:pPr>
            <w:r>
              <w:rPr>
                <w:rFonts w:ascii="Calibri" w:cs="Calibri" w:eastAsia="Calibri" w:hAnsi="Calibri"/>
                <w:b w:val="false"/>
                <w:bCs w:val="false"/>
                <w:color w:val="D64545"/>
                <w:sz w:val="19"/>
                <w:szCs w:val="19"/>
              </w:rPr>
              <w:t xml:space="preserve">-AED 418k</w:t>
            </w:r>
          </w:p>
        </w:tc>
        <w:tc>
          <w:tcPr>
            <w:tcW w:type="dxa" w:w="1800"/>
            <w:tcMar>
              <w:top w:type="dxa" w:w="90"/>
              <w:left w:type="dxa" w:w="110"/>
              <w:bottom w:type="dxa" w:w="90"/>
              <w:right w:type="dxa" w:w="110"/>
            </w:tcMar>
          </w:tcPr>
          <w:p>
            <w:pPr>
              <w:spacing w:after="0" w:before="0" w:line="276"/>
            </w:pPr>
            <w:r>
              <w:rPr>
                <w:rFonts w:ascii="Calibri" w:cs="Calibri" w:eastAsia="Calibri" w:hAnsi="Calibri"/>
                <w:color w:val="5C6B73"/>
                <w:sz w:val="18"/>
                <w:szCs w:val="18"/>
              </w:rPr>
              <w:t xml:space="preserve">leak</w:t>
            </w:r>
          </w:p>
        </w:tc>
      </w:tr>
      <w:tr>
        <w:tc>
          <w:tcPr>
            <w:tcW w:type="dxa" w:w="5160"/>
            <w:tcMar>
              <w:top w:type="dxa" w:w="90"/>
              <w:left w:type="dxa" w:w="110"/>
              <w:bottom w:type="dxa" w:w="90"/>
              <w:right w:type="dxa" w:w="110"/>
            </w:tcMar>
          </w:tcPr>
          <w:p>
            <w:pPr>
              <w:spacing w:after="0" w:before="0" w:line="276"/>
            </w:pPr>
            <w:r>
              <w:rPr>
                <w:rFonts w:ascii="Calibri" w:cs="Calibri" w:eastAsia="Calibri" w:hAnsi="Calibri"/>
                <w:color w:val="1A1A1A"/>
                <w:sz w:val="19"/>
                <w:szCs w:val="19"/>
              </w:rPr>
              <w:t xml:space="preserve">Lost revenue — rider cancellations</w:t>
            </w:r>
          </w:p>
        </w:tc>
        <w:tc>
          <w:tcPr>
            <w:tcW w:type="dxa" w:w="2400"/>
            <w:tcMar>
              <w:top w:type="dxa" w:w="90"/>
              <w:left w:type="dxa" w:w="110"/>
              <w:bottom w:type="dxa" w:w="90"/>
              <w:right w:type="dxa" w:w="110"/>
            </w:tcMar>
          </w:tcPr>
          <w:p>
            <w:pPr>
              <w:spacing w:after="0" w:before="0" w:line="276"/>
            </w:pPr>
            <w:r>
              <w:rPr>
                <w:rFonts w:ascii="Calibri" w:cs="Calibri" w:eastAsia="Calibri" w:hAnsi="Calibri"/>
                <w:b w:val="false"/>
                <w:bCs w:val="false"/>
                <w:color w:val="D64545"/>
                <w:sz w:val="19"/>
                <w:szCs w:val="19"/>
              </w:rPr>
              <w:t xml:space="preserve">-AED 229k</w:t>
            </w:r>
          </w:p>
        </w:tc>
        <w:tc>
          <w:tcPr>
            <w:tcW w:type="dxa" w:w="1800"/>
            <w:tcMar>
              <w:top w:type="dxa" w:w="90"/>
              <w:left w:type="dxa" w:w="110"/>
              <w:bottom w:type="dxa" w:w="90"/>
              <w:right w:type="dxa" w:w="110"/>
            </w:tcMar>
          </w:tcPr>
          <w:p>
            <w:pPr>
              <w:spacing w:after="0" w:before="0" w:line="276"/>
            </w:pPr>
            <w:r>
              <w:rPr>
                <w:rFonts w:ascii="Calibri" w:cs="Calibri" w:eastAsia="Calibri" w:hAnsi="Calibri"/>
                <w:color w:val="5C6B73"/>
                <w:sz w:val="18"/>
                <w:szCs w:val="18"/>
              </w:rPr>
              <w:t xml:space="preserve">leak</w:t>
            </w:r>
          </w:p>
        </w:tc>
      </w:tr>
      <w:tr>
        <w:tc>
          <w:tcPr>
            <w:tcW w:type="dxa" w:w="5160"/>
            <w:tcMar>
              <w:top w:type="dxa" w:w="90"/>
              <w:left w:type="dxa" w:w="110"/>
              <w:bottom w:type="dxa" w:w="90"/>
              <w:right w:type="dxa" w:w="110"/>
            </w:tcMar>
          </w:tcPr>
          <w:p>
            <w:pPr>
              <w:spacing w:after="0" w:before="0" w:line="276"/>
            </w:pPr>
            <w:r>
              <w:rPr>
                <w:rFonts w:ascii="Calibri" w:cs="Calibri" w:eastAsia="Calibri" w:hAnsi="Calibri"/>
                <w:color w:val="1A1A1A"/>
                <w:sz w:val="19"/>
                <w:szCs w:val="19"/>
              </w:rPr>
              <w:t xml:space="preserve">Captain replacement cost</w:t>
            </w:r>
          </w:p>
        </w:tc>
        <w:tc>
          <w:tcPr>
            <w:tcW w:type="dxa" w:w="2400"/>
            <w:tcMar>
              <w:top w:type="dxa" w:w="90"/>
              <w:left w:type="dxa" w:w="110"/>
              <w:bottom w:type="dxa" w:w="90"/>
              <w:right w:type="dxa" w:w="110"/>
            </w:tcMar>
          </w:tcPr>
          <w:p>
            <w:pPr>
              <w:spacing w:after="0" w:before="0" w:line="276"/>
            </w:pPr>
            <w:r>
              <w:rPr>
                <w:rFonts w:ascii="Calibri" w:cs="Calibri" w:eastAsia="Calibri" w:hAnsi="Calibri"/>
                <w:b w:val="false"/>
                <w:bCs w:val="false"/>
                <w:color w:val="D64545"/>
                <w:sz w:val="19"/>
                <w:szCs w:val="19"/>
              </w:rPr>
              <w:t xml:space="preserve">-AED 196k</w:t>
            </w:r>
          </w:p>
        </w:tc>
        <w:tc>
          <w:tcPr>
            <w:tcW w:type="dxa" w:w="1800"/>
            <w:tcMar>
              <w:top w:type="dxa" w:w="90"/>
              <w:left w:type="dxa" w:w="110"/>
              <w:bottom w:type="dxa" w:w="90"/>
              <w:right w:type="dxa" w:w="110"/>
            </w:tcMar>
          </w:tcPr>
          <w:p>
            <w:pPr>
              <w:spacing w:after="0" w:before="0" w:line="276"/>
            </w:pPr>
            <w:r>
              <w:rPr>
                <w:rFonts w:ascii="Calibri" w:cs="Calibri" w:eastAsia="Calibri" w:hAnsi="Calibri"/>
                <w:color w:val="5C6B73"/>
                <w:sz w:val="18"/>
                <w:szCs w:val="18"/>
              </w:rPr>
              <w:t xml:space="preserve">leak</w:t>
            </w:r>
          </w:p>
        </w:tc>
      </w:tr>
      <w:tr>
        <w:tc>
          <w:tcPr>
            <w:tcW w:type="dxa" w:w="5160"/>
            <w:tcMar>
              <w:top w:type="dxa" w:w="90"/>
              <w:left w:type="dxa" w:w="110"/>
              <w:bottom w:type="dxa" w:w="90"/>
              <w:right w:type="dxa" w:w="110"/>
            </w:tcMar>
          </w:tcPr>
          <w:p>
            <w:pPr>
              <w:spacing w:after="0" w:before="0" w:line="276"/>
            </w:pPr>
            <w:r>
              <w:rPr>
                <w:rFonts w:ascii="Calibri" w:cs="Calibri" w:eastAsia="Calibri" w:hAnsi="Calibri"/>
                <w:color w:val="1A1A1A"/>
                <w:sz w:val="19"/>
                <w:szCs w:val="19"/>
              </w:rPr>
              <w:t xml:space="preserve">Surge subsidy above baseline</w:t>
            </w:r>
          </w:p>
        </w:tc>
        <w:tc>
          <w:tcPr>
            <w:tcW w:type="dxa" w:w="2400"/>
            <w:tcMar>
              <w:top w:type="dxa" w:w="90"/>
              <w:left w:type="dxa" w:w="110"/>
              <w:bottom w:type="dxa" w:w="90"/>
              <w:right w:type="dxa" w:w="110"/>
            </w:tcMar>
          </w:tcPr>
          <w:p>
            <w:pPr>
              <w:spacing w:after="0" w:before="0" w:line="276"/>
            </w:pPr>
            <w:r>
              <w:rPr>
                <w:rFonts w:ascii="Calibri" w:cs="Calibri" w:eastAsia="Calibri" w:hAnsi="Calibri"/>
                <w:b w:val="false"/>
                <w:bCs w:val="false"/>
                <w:color w:val="1A1A1A"/>
                <w:sz w:val="19"/>
                <w:szCs w:val="19"/>
              </w:rPr>
              <w:t xml:space="preserve">-AED 165k</w:t>
            </w:r>
          </w:p>
        </w:tc>
        <w:tc>
          <w:tcPr>
            <w:tcW w:type="dxa" w:w="1800"/>
            <w:tcMar>
              <w:top w:type="dxa" w:w="90"/>
              <w:left w:type="dxa" w:w="110"/>
              <w:bottom w:type="dxa" w:w="90"/>
              <w:right w:type="dxa" w:w="110"/>
            </w:tcMar>
          </w:tcPr>
          <w:p>
            <w:pPr>
              <w:spacing w:after="0" w:before="0" w:line="276"/>
            </w:pPr>
            <w:r>
              <w:rPr>
                <w:rFonts w:ascii="Calibri" w:cs="Calibri" w:eastAsia="Calibri" w:hAnsi="Calibri"/>
                <w:color w:val="5C6B73"/>
                <w:sz w:val="18"/>
                <w:szCs w:val="18"/>
              </w:rPr>
              <w:t xml:space="preserve">cost</w:t>
            </w:r>
          </w:p>
        </w:tc>
      </w:tr>
      <w:tr>
        <w:tc>
          <w:tcPr>
            <w:tcW w:type="dxa" w:w="5160"/>
            <w:tcMar>
              <w:top w:type="dxa" w:w="90"/>
              <w:left w:type="dxa" w:w="110"/>
              <w:bottom w:type="dxa" w:w="90"/>
              <w:right w:type="dxa" w:w="110"/>
            </w:tcMar>
          </w:tcPr>
          <w:p>
            <w:pPr>
              <w:spacing w:after="0" w:before="0" w:line="276"/>
            </w:pPr>
            <w:r>
              <w:rPr>
                <w:rFonts w:ascii="Calibri" w:cs="Calibri" w:eastAsia="Calibri" w:hAnsi="Calibri"/>
                <w:color w:val="1A1A1A"/>
                <w:sz w:val="19"/>
                <w:szCs w:val="19"/>
              </w:rPr>
              <w:t xml:space="preserve">Net contribution</w:t>
            </w:r>
          </w:p>
        </w:tc>
        <w:tc>
          <w:tcPr>
            <w:tcW w:type="dxa" w:w="2400"/>
            <w:tcMar>
              <w:top w:type="dxa" w:w="90"/>
              <w:left w:type="dxa" w:w="110"/>
              <w:bottom w:type="dxa" w:w="90"/>
              <w:right w:type="dxa" w:w="110"/>
            </w:tcMar>
          </w:tcPr>
          <w:p>
            <w:pPr>
              <w:spacing w:after="0" w:before="0" w:line="276"/>
            </w:pPr>
            <w:r>
              <w:rPr>
                <w:rFonts w:ascii="Calibri" w:cs="Calibri" w:eastAsia="Calibri" w:hAnsi="Calibri"/>
                <w:b/>
                <w:bCs/>
                <w:color w:val="1A1A1A"/>
                <w:sz w:val="19"/>
                <w:szCs w:val="19"/>
              </w:rPr>
              <w:t xml:space="preserve">AED 1.66m</w:t>
            </w:r>
          </w:p>
        </w:tc>
        <w:tc>
          <w:tcPr>
            <w:tcW w:type="dxa" w:w="1800"/>
            <w:tcMar>
              <w:top w:type="dxa" w:w="90"/>
              <w:left w:type="dxa" w:w="110"/>
              <w:bottom w:type="dxa" w:w="90"/>
              <w:right w:type="dxa" w:w="110"/>
            </w:tcMar>
          </w:tcPr>
          <w:p>
            <w:pPr>
              <w:spacing w:after="0" w:before="0" w:line="276"/>
            </w:pPr>
            <w:r>
              <w:rPr>
                <w:rFonts w:ascii="Calibri" w:cs="Calibri" w:eastAsia="Calibri" w:hAnsi="Calibri"/>
                <w:color w:val="5C6B73"/>
                <w:sz w:val="18"/>
                <w:szCs w:val="18"/>
              </w:rPr>
              <w:t xml:space="preserve">net</w:t>
            </w:r>
          </w:p>
        </w:tc>
      </w:tr>
    </w:tbl>
    <w:p>
      <w:r>
        <w:br w:type="page"/>
      </w:r>
    </w:p>
    <w:p>
      <w:pPr>
        <w:pStyle w:val="Heading1"/>
        <w:spacing w:after="150" w:before="340"/>
      </w:pPr>
      <w:r>
        <w:rPr>
          <w:rFonts w:ascii="Cambria" w:cs="Cambria" w:eastAsia="Cambria" w:hAnsi="Cambria"/>
          <w:b/>
          <w:bCs/>
          <w:color w:val="046A38"/>
          <w:sz w:val="30"/>
          <w:szCs w:val="30"/>
        </w:rPr>
        <w:t xml:space="preserve">What is actually going wrong</w:t>
      </w:r>
    </w:p>
    <w:p>
      <w:pPr>
        <w:pStyle w:val="Heading2"/>
        <w:spacing w:after="110" w:before="240"/>
      </w:pPr>
      <w:r>
        <w:rPr>
          <w:rFonts w:ascii="Cambria" w:cs="Cambria" w:eastAsia="Cambria" w:hAnsi="Cambria"/>
          <w:b/>
          <w:bCs/>
          <w:color w:val="1A1A1A"/>
          <w:sz w:val="24"/>
          <w:szCs w:val="24"/>
        </w:rPr>
        <w:t xml:space="preserve">Captains who do not clear 20 trips in their first week churn at 26% against 8% for those who do — 3.3× the rate, and 55% of joiners fall in that group</w:t>
      </w:r>
    </w:p>
    <w:p>
      <w:pPr>
        <w:spacing w:after="120" w:before="0" w:line="276"/>
      </w:pPr>
      <w:r>
        <w:rPr>
          <w:rFonts w:ascii="Calibri" w:cs="Calibri" w:eastAsia="Calibri" w:hAnsi="Calibri"/>
          <w:color w:val="1A1A1A"/>
          <w:sz w:val="21"/>
          <w:szCs w:val="21"/>
        </w:rPr>
        <w:t xml:space="preserve">Worth </w:t>
      </w:r>
      <w:r>
        <w:rPr>
          <w:rFonts w:ascii="Calibri" w:cs="Calibri" w:eastAsia="Calibri" w:hAnsi="Calibri"/>
          <w:b/>
          <w:bCs/>
          <w:color w:val="046A38"/>
          <w:sz w:val="21"/>
          <w:szCs w:val="21"/>
        </w:rPr>
        <w:t xml:space="preserve">AED 110k a year</w:t>
      </w:r>
      <w:r>
        <w:rPr>
          <w:rFonts w:ascii="Calibri" w:cs="Calibri" w:eastAsia="Calibri" w:hAnsi="Calibri"/>
          <w:color w:val="5C6B73"/>
          <w:sz w:val="21"/>
          <w:szCs w:val="21"/>
        </w:rPr>
        <w:t xml:space="preserve"> (range AED 66k to AED 158k)</w:t>
      </w:r>
      <w:r>
        <w:rPr>
          <w:rFonts w:ascii="Calibri" w:cs="Calibri" w:eastAsia="Calibri" w:hAnsi="Calibri"/>
          <w:color w:val="1A1A1A"/>
          <w:sz w:val="21"/>
          <w:szCs w:val="21"/>
        </w:rPr>
        <w:t xml:space="preserve">, at 98% confidence.</w:t>
      </w:r>
    </w:p>
    <w:p>
      <w:pPr>
        <w:spacing w:after="60" w:before="0" w:line="276"/>
      </w:pPr>
      <w:r>
        <w:rPr>
          <w:rFonts w:ascii="Calibri" w:cs="Calibri" w:eastAsia="Calibri" w:hAnsi="Calibri"/>
          <w:b/>
          <w:bCs/>
          <w:color w:val="1A1A1A"/>
          <w:sz w:val="20"/>
          <w:szCs w:val="20"/>
        </w:rPr>
        <w:t xml:space="preserve">Evidence</w:t>
      </w:r>
    </w:p>
    <w:p>
      <w:pPr>
        <w:pStyle w:val="ListParagraph"/>
        <w:numPr>
          <w:ilvl w:val="0"/>
          <w:numId w:val="2"/>
        </w:numPr>
        <w:spacing w:after="70" w:line="276"/>
      </w:pPr>
      <w:r>
        <w:rPr>
          <w:rFonts w:ascii="Calibri" w:cs="Calibri" w:eastAsia="Calibri" w:hAnsi="Calibri"/>
          <w:color w:val="1A1A1A"/>
          <w:sz w:val="21"/>
          <w:szCs w:val="21"/>
        </w:rPr>
        <w:t xml:space="preserve">Churn — did not activate: </w:t>
      </w:r>
      <w:r>
        <w:rPr>
          <w:rFonts w:ascii="Calibri" w:cs="Calibri" w:eastAsia="Calibri" w:hAnsi="Calibri"/>
          <w:b/>
          <w:bCs/>
          <w:color w:val="1A1A1A"/>
          <w:sz w:val="21"/>
          <w:szCs w:val="21"/>
        </w:rPr>
        <w:t xml:space="preserve">26.2%</w:t>
      </w:r>
      <w:r>
        <w:rPr>
          <w:rFonts w:ascii="Calibri" w:cs="Calibri" w:eastAsia="Calibri" w:hAnsi="Calibri"/>
          <w:color w:val="5C6B73"/>
          <w:sz w:val="18"/>
          <w:szCs w:val="18"/>
        </w:rPr>
        <w:t xml:space="preserve">  (vs target 10%)</w:t>
      </w:r>
    </w:p>
    <w:p>
      <w:pPr>
        <w:pStyle w:val="ListParagraph"/>
        <w:numPr>
          <w:ilvl w:val="0"/>
          <w:numId w:val="2"/>
        </w:numPr>
        <w:spacing w:after="70" w:line="276"/>
      </w:pPr>
      <w:r>
        <w:rPr>
          <w:rFonts w:ascii="Calibri" w:cs="Calibri" w:eastAsia="Calibri" w:hAnsi="Calibri"/>
          <w:color w:val="1A1A1A"/>
          <w:sz w:val="21"/>
          <w:szCs w:val="21"/>
        </w:rPr>
        <w:t xml:space="preserve">Churn — activated: </w:t>
      </w:r>
      <w:r>
        <w:rPr>
          <w:rFonts w:ascii="Calibri" w:cs="Calibri" w:eastAsia="Calibri" w:hAnsi="Calibri"/>
          <w:b/>
          <w:bCs/>
          <w:color w:val="1A1A1A"/>
          <w:sz w:val="21"/>
          <w:szCs w:val="21"/>
        </w:rPr>
        <w:t xml:space="preserve">7.9%</w:t>
      </w:r>
      <w:r>
        <w:rPr>
          <w:rFonts w:ascii="Calibri" w:cs="Calibri" w:eastAsia="Calibri" w:hAnsi="Calibri"/>
          <w:color w:val="5C6B73"/>
          <w:sz w:val="18"/>
          <w:szCs w:val="18"/>
        </w:rPr>
        <w:t xml:space="preserve"/>
      </w:r>
    </w:p>
    <w:p>
      <w:pPr>
        <w:pStyle w:val="ListParagraph"/>
        <w:numPr>
          <w:ilvl w:val="0"/>
          <w:numId w:val="2"/>
        </w:numPr>
        <w:spacing w:after="70" w:line="276"/>
      </w:pPr>
      <w:r>
        <w:rPr>
          <w:rFonts w:ascii="Calibri" w:cs="Calibri" w:eastAsia="Calibri" w:hAnsi="Calibri"/>
          <w:color w:val="1A1A1A"/>
          <w:sz w:val="21"/>
          <w:szCs w:val="21"/>
        </w:rPr>
        <w:t xml:space="preserve">Share of joiners not activating: </w:t>
      </w:r>
      <w:r>
        <w:rPr>
          <w:rFonts w:ascii="Calibri" w:cs="Calibri" w:eastAsia="Calibri" w:hAnsi="Calibri"/>
          <w:b/>
          <w:bCs/>
          <w:color w:val="1A1A1A"/>
          <w:sz w:val="21"/>
          <w:szCs w:val="21"/>
        </w:rPr>
        <w:t xml:space="preserve">55.0%</w:t>
      </w:r>
      <w:r>
        <w:rPr>
          <w:rFonts w:ascii="Calibri" w:cs="Calibri" w:eastAsia="Calibri" w:hAnsi="Calibri"/>
          <w:color w:val="5C6B73"/>
          <w:sz w:val="18"/>
          <w:szCs w:val="18"/>
        </w:rPr>
        <w:t xml:space="preserve"/>
      </w:r>
    </w:p>
    <w:p>
      <w:pPr>
        <w:pStyle w:val="ListParagraph"/>
        <w:numPr>
          <w:ilvl w:val="0"/>
          <w:numId w:val="2"/>
        </w:numPr>
        <w:spacing w:after="70" w:line="276"/>
      </w:pPr>
      <w:r>
        <w:rPr>
          <w:rFonts w:ascii="Calibri" w:cs="Calibri" w:eastAsia="Calibri" w:hAnsi="Calibri"/>
          <w:color w:val="1A1A1A"/>
          <w:sz w:val="21"/>
          <w:szCs w:val="21"/>
        </w:rPr>
        <w:t xml:space="preserve">Captains lost above the activated rate: </w:t>
      </w:r>
      <w:r>
        <w:rPr>
          <w:rFonts w:ascii="Calibri" w:cs="Calibri" w:eastAsia="Calibri" w:hAnsi="Calibri"/>
          <w:b/>
          <w:bCs/>
          <w:color w:val="1A1A1A"/>
          <w:sz w:val="21"/>
          <w:szCs w:val="21"/>
        </w:rPr>
        <w:t xml:space="preserve">262 captains</w:t>
      </w:r>
      <w:r>
        <w:rPr>
          <w:rFonts w:ascii="Calibri" w:cs="Calibri" w:eastAsia="Calibri" w:hAnsi="Calibri"/>
          <w:color w:val="5C6B73"/>
          <w:sz w:val="18"/>
          <w:szCs w:val="18"/>
        </w:rPr>
        <w:t xml:space="preserve"/>
      </w:r>
    </w:p>
    <w:p>
      <w:pPr>
        <w:pStyle w:val="ListParagraph"/>
        <w:numPr>
          <w:ilvl w:val="0"/>
          <w:numId w:val="2"/>
        </w:numPr>
        <w:spacing w:after="70" w:line="276"/>
      </w:pPr>
      <w:r>
        <w:rPr>
          <w:rFonts w:ascii="Calibri" w:cs="Calibri" w:eastAsia="Calibri" w:hAnsi="Calibri"/>
          <w:color w:val="1A1A1A"/>
          <w:sz w:val="21"/>
          <w:szCs w:val="21"/>
        </w:rPr>
        <w:t xml:space="preserve">Replacement cost: </w:t>
      </w:r>
      <w:r>
        <w:rPr>
          <w:rFonts w:ascii="Calibri" w:cs="Calibri" w:eastAsia="Calibri" w:hAnsi="Calibri"/>
          <w:b/>
          <w:bCs/>
          <w:color w:val="1A1A1A"/>
          <w:sz w:val="21"/>
          <w:szCs w:val="21"/>
        </w:rPr>
        <w:t xml:space="preserve">420 AED each</w:t>
      </w:r>
      <w:r>
        <w:rPr>
          <w:rFonts w:ascii="Calibri" w:cs="Calibri" w:eastAsia="Calibri" w:hAnsi="Calibri"/>
          <w:color w:val="5C6B73"/>
          <w:sz w:val="18"/>
          <w:szCs w:val="18"/>
        </w:rPr>
        <w:t xml:space="preserve">  (vs declared assumption)</w:t>
      </w:r>
    </w:p>
    <w:p>
      <w:pPr>
        <w:spacing w:after="80" w:before="0" w:line="276"/>
      </w:pPr>
      <w:r>
        <w:rPr>
          <w:rFonts w:ascii="Calibri" w:cs="Calibri" w:eastAsia="Calibri" w:hAnsi="Calibri"/>
          <w:b/>
          <w:bCs/>
          <w:color w:val="1A1A1A"/>
          <w:sz w:val="19"/>
          <w:szCs w:val="19"/>
        </w:rPr>
        <w:t xml:space="preserve">How the number was derived. </w:t>
      </w:r>
      <w:r>
        <w:rPr>
          <w:rFonts w:ascii="Calibri" w:cs="Calibri" w:eastAsia="Calibri" w:hAnsi="Calibri"/>
          <w:color w:val="5C6B73"/>
          <w:sz w:val="19"/>
          <w:szCs w:val="19"/>
        </w:rPr>
        <w:t xml:space="preserve">1,431 captains failed to activate. Had they churned at the activated rate of 7.9% rather than 26.2%, 262 fewer would have left. Valued at the declared AED 420 replacement cost and annualised.</w:t>
      </w:r>
    </w:p>
    <w:p>
      <w:pPr>
        <w:spacing w:after="160" w:before="0" w:line="276"/>
      </w:pPr>
      <w:r>
        <w:rPr>
          <w:rFonts w:ascii="Calibri" w:cs="Calibri" w:eastAsia="Calibri" w:hAnsi="Calibri"/>
          <w:b/>
          <w:bCs/>
          <w:color w:val="1A1A1A"/>
          <w:sz w:val="19"/>
          <w:szCs w:val="19"/>
        </w:rPr>
        <w:t xml:space="preserve">Method. </w:t>
      </w:r>
      <w:r>
        <w:rPr>
          <w:rFonts w:ascii="Calibri" w:cs="Calibri" w:eastAsia="Calibri" w:hAnsi="Calibri"/>
          <w:color w:val="5C6B73"/>
          <w:sz w:val="19"/>
          <w:szCs w:val="19"/>
        </w:rPr>
        <w:t xml:space="preserve">Cohort split on first-week trips against 30-day churn; chi-square test of independence</w:t>
      </w:r>
    </w:p>
    <w:p>
      <w:pPr>
        <w:pStyle w:val="Heading2"/>
        <w:spacing w:after="110" w:before="240"/>
      </w:pPr>
      <w:r>
        <w:rPr>
          <w:rFonts w:ascii="Cambria" w:cs="Cambria" w:eastAsia="Cambria" w:hAnsi="Cambria"/>
          <w:b/>
          <w:bCs/>
          <w:color w:val="1A1A1A"/>
          <w:sz w:val="24"/>
          <w:szCs w:val="24"/>
        </w:rPr>
        <w:t xml:space="preserve">Dubai Airport loses 50% of demand between 06:00–09:00 while surge sits at 1.76× — supply is not responding to price</w:t>
      </w:r>
    </w:p>
    <w:p>
      <w:pPr>
        <w:spacing w:after="120" w:before="0" w:line="276"/>
      </w:pPr>
      <w:r>
        <w:rPr>
          <w:rFonts w:ascii="Calibri" w:cs="Calibri" w:eastAsia="Calibri" w:hAnsi="Calibri"/>
          <w:color w:val="1A1A1A"/>
          <w:sz w:val="21"/>
          <w:szCs w:val="21"/>
        </w:rPr>
        <w:t xml:space="preserve">Worth </w:t>
      </w:r>
      <w:r>
        <w:rPr>
          <w:rFonts w:ascii="Calibri" w:cs="Calibri" w:eastAsia="Calibri" w:hAnsi="Calibri"/>
          <w:b/>
          <w:bCs/>
          <w:color w:val="046A38"/>
          <w:sz w:val="21"/>
          <w:szCs w:val="21"/>
        </w:rPr>
        <w:t xml:space="preserve">AED 59k a year</w:t>
      </w:r>
      <w:r>
        <w:rPr>
          <w:rFonts w:ascii="Calibri" w:cs="Calibri" w:eastAsia="Calibri" w:hAnsi="Calibri"/>
          <w:color w:val="5C6B73"/>
          <w:sz w:val="21"/>
          <w:szCs w:val="21"/>
        </w:rPr>
        <w:t xml:space="preserve"> (range AED 47k to AED 76k)</w:t>
      </w:r>
      <w:r>
        <w:rPr>
          <w:rFonts w:ascii="Calibri" w:cs="Calibri" w:eastAsia="Calibri" w:hAnsi="Calibri"/>
          <w:color w:val="1A1A1A"/>
          <w:sz w:val="21"/>
          <w:szCs w:val="21"/>
        </w:rPr>
        <w:t xml:space="preserve">, at 94% confidence.</w:t>
      </w:r>
    </w:p>
    <w:p>
      <w:pPr>
        <w:spacing w:after="60" w:before="0" w:line="276"/>
      </w:pPr>
      <w:r>
        <w:rPr>
          <w:rFonts w:ascii="Calibri" w:cs="Calibri" w:eastAsia="Calibri" w:hAnsi="Calibri"/>
          <w:b/>
          <w:bCs/>
          <w:color w:val="1A1A1A"/>
          <w:sz w:val="20"/>
          <w:szCs w:val="20"/>
        </w:rPr>
        <w:t xml:space="preserve">Evidence</w:t>
      </w:r>
    </w:p>
    <w:p>
      <w:pPr>
        <w:pStyle w:val="ListParagraph"/>
        <w:numPr>
          <w:ilvl w:val="0"/>
          <w:numId w:val="2"/>
        </w:numPr>
        <w:spacing w:after="70" w:line="276"/>
      </w:pPr>
      <w:r>
        <w:rPr>
          <w:rFonts w:ascii="Calibri" w:cs="Calibri" w:eastAsia="Calibri" w:hAnsi="Calibri"/>
          <w:color w:val="1A1A1A"/>
          <w:sz w:val="21"/>
          <w:szCs w:val="21"/>
        </w:rPr>
        <w:t xml:space="preserve">Unfulfilled rate in window: </w:t>
      </w:r>
      <w:r>
        <w:rPr>
          <w:rFonts w:ascii="Calibri" w:cs="Calibri" w:eastAsia="Calibri" w:hAnsi="Calibri"/>
          <w:b/>
          <w:bCs/>
          <w:color w:val="1A1A1A"/>
          <w:sz w:val="21"/>
          <w:szCs w:val="21"/>
        </w:rPr>
        <w:t xml:space="preserve">49.8%</w:t>
      </w:r>
      <w:r>
        <w:rPr>
          <w:rFonts w:ascii="Calibri" w:cs="Calibri" w:eastAsia="Calibri" w:hAnsi="Calibri"/>
          <w:color w:val="5C6B73"/>
          <w:sz w:val="18"/>
          <w:szCs w:val="18"/>
        </w:rPr>
        <w:t xml:space="preserve">  (vs 7.8% in the same zone outside it)</w:t>
      </w:r>
    </w:p>
    <w:p>
      <w:pPr>
        <w:pStyle w:val="ListParagraph"/>
        <w:numPr>
          <w:ilvl w:val="0"/>
          <w:numId w:val="2"/>
        </w:numPr>
        <w:spacing w:after="70" w:line="276"/>
      </w:pPr>
      <w:r>
        <w:rPr>
          <w:rFonts w:ascii="Calibri" w:cs="Calibri" w:eastAsia="Calibri" w:hAnsi="Calibri"/>
          <w:color w:val="1A1A1A"/>
          <w:sz w:val="21"/>
          <w:szCs w:val="21"/>
        </w:rPr>
        <w:t xml:space="preserve">Surge in window: </w:t>
      </w:r>
      <w:r>
        <w:rPr>
          <w:rFonts w:ascii="Calibri" w:cs="Calibri" w:eastAsia="Calibri" w:hAnsi="Calibri"/>
          <w:b/>
          <w:bCs/>
          <w:color w:val="1A1A1A"/>
          <w:sz w:val="21"/>
          <w:szCs w:val="21"/>
        </w:rPr>
        <w:t xml:space="preserve">1.76 ×</w:t>
      </w:r>
      <w:r>
        <w:rPr>
          <w:rFonts w:ascii="Calibri" w:cs="Calibri" w:eastAsia="Calibri" w:hAnsi="Calibri"/>
          <w:color w:val="5C6B73"/>
          <w:sz w:val="18"/>
          <w:szCs w:val="18"/>
        </w:rPr>
        <w:t xml:space="preserve">  (vs 1.09× outside it)</w:t>
      </w:r>
    </w:p>
    <w:p>
      <w:pPr>
        <w:pStyle w:val="ListParagraph"/>
        <w:numPr>
          <w:ilvl w:val="0"/>
          <w:numId w:val="2"/>
        </w:numPr>
        <w:spacing w:after="70" w:line="276"/>
      </w:pPr>
      <w:r>
        <w:rPr>
          <w:rFonts w:ascii="Calibri" w:cs="Calibri" w:eastAsia="Calibri" w:hAnsi="Calibri"/>
          <w:color w:val="1A1A1A"/>
          <w:sz w:val="21"/>
          <w:szCs w:val="21"/>
        </w:rPr>
        <w:t xml:space="preserve">Captains per request: </w:t>
      </w:r>
      <w:r>
        <w:rPr>
          <w:rFonts w:ascii="Calibri" w:cs="Calibri" w:eastAsia="Calibri" w:hAnsi="Calibri"/>
          <w:b/>
          <w:bCs/>
          <w:color w:val="1A1A1A"/>
          <w:sz w:val="21"/>
          <w:szCs w:val="21"/>
        </w:rPr>
        <w:t xml:space="preserve">17.2%</w:t>
      </w:r>
      <w:r>
        <w:rPr>
          <w:rFonts w:ascii="Calibri" w:cs="Calibri" w:eastAsia="Calibri" w:hAnsi="Calibri"/>
          <w:color w:val="5C6B73"/>
          <w:sz w:val="18"/>
          <w:szCs w:val="18"/>
        </w:rPr>
        <w:t xml:space="preserve">  (vs network 0.443)</w:t>
      </w:r>
    </w:p>
    <w:p>
      <w:pPr>
        <w:pStyle w:val="ListParagraph"/>
        <w:numPr>
          <w:ilvl w:val="0"/>
          <w:numId w:val="2"/>
        </w:numPr>
        <w:spacing w:after="70" w:line="276"/>
      </w:pPr>
      <w:r>
        <w:rPr>
          <w:rFonts w:ascii="Calibri" w:cs="Calibri" w:eastAsia="Calibri" w:hAnsi="Calibri"/>
          <w:color w:val="1A1A1A"/>
          <w:sz w:val="21"/>
          <w:szCs w:val="21"/>
        </w:rPr>
        <w:t xml:space="preserve">Correlation of captain supply with surge: </w:t>
      </w:r>
      <w:r>
        <w:rPr>
          <w:rFonts w:ascii="Calibri" w:cs="Calibri" w:eastAsia="Calibri" w:hAnsi="Calibri"/>
          <w:b/>
          <w:bCs/>
          <w:color w:val="1A1A1A"/>
          <w:sz w:val="21"/>
          <w:szCs w:val="21"/>
        </w:rPr>
        <w:t xml:space="preserve">-45.0%</w:t>
      </w:r>
      <w:r>
        <w:rPr>
          <w:rFonts w:ascii="Calibri" w:cs="Calibri" w:eastAsia="Calibri" w:hAnsi="Calibri"/>
          <w:color w:val="5C6B73"/>
          <w:sz w:val="18"/>
          <w:szCs w:val="18"/>
        </w:rPr>
        <w:t xml:space="preserve">  (vs negative — supply falls as surge rises here, so raising it further is counterproductive)</w:t>
      </w:r>
    </w:p>
    <w:p>
      <w:pPr>
        <w:pStyle w:val="ListParagraph"/>
        <w:numPr>
          <w:ilvl w:val="0"/>
          <w:numId w:val="2"/>
        </w:numPr>
        <w:spacing w:after="70" w:line="276"/>
      </w:pPr>
      <w:r>
        <w:rPr>
          <w:rFonts w:ascii="Calibri" w:cs="Calibri" w:eastAsia="Calibri" w:hAnsi="Calibri"/>
          <w:color w:val="1A1A1A"/>
          <w:sz w:val="21"/>
          <w:szCs w:val="21"/>
        </w:rPr>
        <w:t xml:space="preserve">Average wait in window: </w:t>
      </w:r>
      <w:r>
        <w:rPr>
          <w:rFonts w:ascii="Calibri" w:cs="Calibri" w:eastAsia="Calibri" w:hAnsi="Calibri"/>
          <w:b/>
          <w:bCs/>
          <w:color w:val="1A1A1A"/>
          <w:sz w:val="21"/>
          <w:szCs w:val="21"/>
        </w:rPr>
        <w:t xml:space="preserve">11.14 min</w:t>
      </w:r>
      <w:r>
        <w:rPr>
          <w:rFonts w:ascii="Calibri" w:cs="Calibri" w:eastAsia="Calibri" w:hAnsi="Calibri"/>
          <w:color w:val="5C6B73"/>
          <w:sz w:val="18"/>
          <w:szCs w:val="18"/>
        </w:rPr>
        <w:t xml:space="preserve">  (vs 7.9 min outside it)</w:t>
      </w:r>
    </w:p>
    <w:p>
      <w:pPr>
        <w:spacing w:after="80" w:before="0" w:line="276"/>
      </w:pPr>
      <w:r>
        <w:rPr>
          <w:rFonts w:ascii="Calibri" w:cs="Calibri" w:eastAsia="Calibri" w:hAnsi="Calibri"/>
          <w:b/>
          <w:bCs/>
          <w:color w:val="1A1A1A"/>
          <w:sz w:val="19"/>
          <w:szCs w:val="19"/>
        </w:rPr>
        <w:t xml:space="preserve">How the number was derived. </w:t>
      </w:r>
      <w:r>
        <w:rPr>
          <w:rFonts w:ascii="Calibri" w:cs="Calibri" w:eastAsia="Calibri" w:hAnsi="Calibri"/>
          <w:color w:val="5C6B73"/>
          <w:sz w:val="19"/>
          <w:szCs w:val="19"/>
        </w:rPr>
        <w:t xml:space="preserve">5,772 unserved requests in this window over the period, valued at average fare × take rate × the demand-suppression multiplier, annualised.</w:t>
      </w:r>
    </w:p>
    <w:p>
      <w:pPr>
        <w:spacing w:after="160" w:before="0" w:line="276"/>
      </w:pPr>
      <w:r>
        <w:rPr>
          <w:rFonts w:ascii="Calibri" w:cs="Calibri" w:eastAsia="Calibri" w:hAnsi="Calibri"/>
          <w:b/>
          <w:bCs/>
          <w:color w:val="1A1A1A"/>
          <w:sz w:val="19"/>
          <w:szCs w:val="19"/>
        </w:rPr>
        <w:t xml:space="preserve">Method. </w:t>
      </w:r>
      <w:r>
        <w:rPr>
          <w:rFonts w:ascii="Calibri" w:cs="Calibri" w:eastAsia="Calibri" w:hAnsi="Calibri"/>
          <w:color w:val="5C6B73"/>
          <w:sz w:val="19"/>
          <w:szCs w:val="19"/>
        </w:rPr>
        <w:t xml:space="preserve">Zone-hour blocks with high unfulfilled demand AND elevated surge; Pearson correlation between daily surge and daily captain supply inside the window. A near-zero correlation is what distinguishes a positioning constraint from a pricing one.</w:t>
      </w:r>
    </w:p>
    <w:p>
      <w:pPr>
        <w:pStyle w:val="Heading2"/>
        <w:spacing w:after="110" w:before="240"/>
      </w:pPr>
      <w:r>
        <w:rPr>
          <w:rFonts w:ascii="Cambria" w:cs="Cambria" w:eastAsia="Cambria" w:hAnsi="Cambria"/>
          <w:b/>
          <w:bCs/>
          <w:color w:val="1A1A1A"/>
          <w:sz w:val="24"/>
          <w:szCs w:val="24"/>
        </w:rPr>
        <w:t xml:space="preserve">Business Bay, Yas Island promise arrival 4.3 min sooner than they deliver, and cancel 11% of trips against 4% elsewhere — the estimate causes the cancellation, not the wait</w:t>
      </w:r>
    </w:p>
    <w:p>
      <w:pPr>
        <w:spacing w:after="120" w:before="0" w:line="276"/>
      </w:pPr>
      <w:r>
        <w:rPr>
          <w:rFonts w:ascii="Calibri" w:cs="Calibri" w:eastAsia="Calibri" w:hAnsi="Calibri"/>
          <w:color w:val="1A1A1A"/>
          <w:sz w:val="21"/>
          <w:szCs w:val="21"/>
        </w:rPr>
        <w:t xml:space="preserve">Worth </w:t>
      </w:r>
      <w:r>
        <w:rPr>
          <w:rFonts w:ascii="Calibri" w:cs="Calibri" w:eastAsia="Calibri" w:hAnsi="Calibri"/>
          <w:b/>
          <w:bCs/>
          <w:color w:val="046A38"/>
          <w:sz w:val="21"/>
          <w:szCs w:val="21"/>
        </w:rPr>
        <w:t xml:space="preserve">AED 45k a year</w:t>
      </w:r>
      <w:r>
        <w:rPr>
          <w:rFonts w:ascii="Calibri" w:cs="Calibri" w:eastAsia="Calibri" w:hAnsi="Calibri"/>
          <w:color w:val="5C6B73"/>
          <w:sz w:val="21"/>
          <w:szCs w:val="21"/>
        </w:rPr>
        <w:t xml:space="preserve"> (range AED 32k to AED 59k)</w:t>
      </w:r>
      <w:r>
        <w:rPr>
          <w:rFonts w:ascii="Calibri" w:cs="Calibri" w:eastAsia="Calibri" w:hAnsi="Calibri"/>
          <w:color w:val="1A1A1A"/>
          <w:sz w:val="21"/>
          <w:szCs w:val="21"/>
        </w:rPr>
        <w:t xml:space="preserve">, at 95% confidence.</w:t>
      </w:r>
    </w:p>
    <w:p>
      <w:pPr>
        <w:spacing w:after="60" w:before="0" w:line="276"/>
      </w:pPr>
      <w:r>
        <w:rPr>
          <w:rFonts w:ascii="Calibri" w:cs="Calibri" w:eastAsia="Calibri" w:hAnsi="Calibri"/>
          <w:b/>
          <w:bCs/>
          <w:color w:val="1A1A1A"/>
          <w:sz w:val="20"/>
          <w:szCs w:val="20"/>
        </w:rPr>
        <w:t xml:space="preserve">Evidence</w:t>
      </w:r>
    </w:p>
    <w:p>
      <w:pPr>
        <w:pStyle w:val="ListParagraph"/>
        <w:numPr>
          <w:ilvl w:val="0"/>
          <w:numId w:val="2"/>
        </w:numPr>
        <w:spacing w:after="70" w:line="276"/>
      </w:pPr>
      <w:r>
        <w:rPr>
          <w:rFonts w:ascii="Calibri" w:cs="Calibri" w:eastAsia="Calibri" w:hAnsi="Calibri"/>
          <w:color w:val="1A1A1A"/>
          <w:sz w:val="21"/>
          <w:szCs w:val="21"/>
        </w:rPr>
        <w:t xml:space="preserve">Cancel rate in affected zones: </w:t>
      </w:r>
      <w:r>
        <w:rPr>
          <w:rFonts w:ascii="Calibri" w:cs="Calibri" w:eastAsia="Calibri" w:hAnsi="Calibri"/>
          <w:b/>
          <w:bCs/>
          <w:color w:val="1A1A1A"/>
          <w:sz w:val="21"/>
          <w:szCs w:val="21"/>
        </w:rPr>
        <w:t xml:space="preserve">10.6%</w:t>
      </w:r>
      <w:r>
        <w:rPr>
          <w:rFonts w:ascii="Calibri" w:cs="Calibri" w:eastAsia="Calibri" w:hAnsi="Calibri"/>
          <w:color w:val="5C6B73"/>
          <w:sz w:val="18"/>
          <w:szCs w:val="18"/>
        </w:rPr>
        <w:t xml:space="preserve">  (vs 3.7% where the promise is honest)</w:t>
      </w:r>
    </w:p>
    <w:p>
      <w:pPr>
        <w:pStyle w:val="ListParagraph"/>
        <w:numPr>
          <w:ilvl w:val="0"/>
          <w:numId w:val="2"/>
        </w:numPr>
        <w:spacing w:after="70" w:line="276"/>
      </w:pPr>
      <w:r>
        <w:rPr>
          <w:rFonts w:ascii="Calibri" w:cs="Calibri" w:eastAsia="Calibri" w:hAnsi="Calibri"/>
          <w:color w:val="1A1A1A"/>
          <w:sz w:val="21"/>
          <w:szCs w:val="21"/>
        </w:rPr>
        <w:t xml:space="preserve">Promise gap: </w:t>
      </w:r>
      <w:r>
        <w:rPr>
          <w:rFonts w:ascii="Calibri" w:cs="Calibri" w:eastAsia="Calibri" w:hAnsi="Calibri"/>
          <w:b/>
          <w:bCs/>
          <w:color w:val="1A1A1A"/>
          <w:sz w:val="21"/>
          <w:szCs w:val="21"/>
        </w:rPr>
        <w:t xml:space="preserve">4.26 min</w:t>
      </w:r>
      <w:r>
        <w:rPr>
          <w:rFonts w:ascii="Calibri" w:cs="Calibri" w:eastAsia="Calibri" w:hAnsi="Calibri"/>
          <w:color w:val="5C6B73"/>
          <w:sz w:val="18"/>
          <w:szCs w:val="18"/>
        </w:rPr>
        <w:t xml:space="preserve">  (vs tolerance 2.5 min)</w:t>
      </w:r>
    </w:p>
    <w:p>
      <w:pPr>
        <w:pStyle w:val="ListParagraph"/>
        <w:numPr>
          <w:ilvl w:val="0"/>
          <w:numId w:val="2"/>
        </w:numPr>
        <w:spacing w:after="70" w:line="276"/>
      </w:pPr>
      <w:r>
        <w:rPr>
          <w:rFonts w:ascii="Calibri" w:cs="Calibri" w:eastAsia="Calibri" w:hAnsi="Calibri"/>
          <w:color w:val="1A1A1A"/>
          <w:sz w:val="21"/>
          <w:szCs w:val="21"/>
        </w:rPr>
        <w:t xml:space="preserve">Actual wait in affected zones: </w:t>
      </w:r>
      <w:r>
        <w:rPr>
          <w:rFonts w:ascii="Calibri" w:cs="Calibri" w:eastAsia="Calibri" w:hAnsi="Calibri"/>
          <w:b/>
          <w:bCs/>
          <w:color w:val="1A1A1A"/>
          <w:sz w:val="21"/>
          <w:szCs w:val="21"/>
        </w:rPr>
        <w:t xml:space="preserve">7.66 min</w:t>
      </w:r>
      <w:r>
        <w:rPr>
          <w:rFonts w:ascii="Calibri" w:cs="Calibri" w:eastAsia="Calibri" w:hAnsi="Calibri"/>
          <w:color w:val="5C6B73"/>
          <w:sz w:val="18"/>
          <w:szCs w:val="18"/>
        </w:rPr>
        <w:t xml:space="preserve">  (vs network 7.6 min — these zones are NOT unusually slow)</w:t>
      </w:r>
    </w:p>
    <w:p>
      <w:pPr>
        <w:pStyle w:val="ListParagraph"/>
        <w:numPr>
          <w:ilvl w:val="0"/>
          <w:numId w:val="2"/>
        </w:numPr>
        <w:spacing w:after="70" w:line="276"/>
      </w:pPr>
      <w:r>
        <w:rPr>
          <w:rFonts w:ascii="Calibri" w:cs="Calibri" w:eastAsia="Calibri" w:hAnsi="Calibri"/>
          <w:color w:val="1A1A1A"/>
          <w:sz w:val="21"/>
          <w:szCs w:val="21"/>
        </w:rPr>
        <w:t xml:space="preserve">Correlation: cancellation vs promise gap: </w:t>
      </w:r>
      <w:r>
        <w:rPr>
          <w:rFonts w:ascii="Calibri" w:cs="Calibri" w:eastAsia="Calibri" w:hAnsi="Calibri"/>
          <w:b/>
          <w:bCs/>
          <w:color w:val="1A1A1A"/>
          <w:sz w:val="21"/>
          <w:szCs w:val="21"/>
        </w:rPr>
        <w:t xml:space="preserve">99.7%</w:t>
      </w:r>
      <w:r>
        <w:rPr>
          <w:rFonts w:ascii="Calibri" w:cs="Calibri" w:eastAsia="Calibri" w:hAnsi="Calibri"/>
          <w:color w:val="5C6B73"/>
          <w:sz w:val="18"/>
          <w:szCs w:val="18"/>
        </w:rPr>
        <w:t xml:space="preserve"/>
      </w:r>
    </w:p>
    <w:p>
      <w:pPr>
        <w:pStyle w:val="ListParagraph"/>
        <w:numPr>
          <w:ilvl w:val="0"/>
          <w:numId w:val="2"/>
        </w:numPr>
        <w:spacing w:after="70" w:line="276"/>
      </w:pPr>
      <w:r>
        <w:rPr>
          <w:rFonts w:ascii="Calibri" w:cs="Calibri" w:eastAsia="Calibri" w:hAnsi="Calibri"/>
          <w:color w:val="1A1A1A"/>
          <w:sz w:val="21"/>
          <w:szCs w:val="21"/>
        </w:rPr>
        <w:t xml:space="preserve">Correlation: cancellation vs absolute wait: </w:t>
      </w:r>
      <w:r>
        <w:rPr>
          <w:rFonts w:ascii="Calibri" w:cs="Calibri" w:eastAsia="Calibri" w:hAnsi="Calibri"/>
          <w:b/>
          <w:bCs/>
          <w:color w:val="1A1A1A"/>
          <w:sz w:val="21"/>
          <w:szCs w:val="21"/>
        </w:rPr>
        <w:t xml:space="preserve">-3.0%</w:t>
      </w:r>
      <w:r>
        <w:rPr>
          <w:rFonts w:ascii="Calibri" w:cs="Calibri" w:eastAsia="Calibri" w:hAnsi="Calibri"/>
          <w:color w:val="5C6B73"/>
          <w:sz w:val="18"/>
          <w:szCs w:val="18"/>
        </w:rPr>
        <w:t xml:space="preserve">  (vs weaker — so it is the gap that drives the decision)</w:t>
      </w:r>
    </w:p>
    <w:p>
      <w:pPr>
        <w:spacing w:after="80" w:before="0" w:line="276"/>
      </w:pPr>
      <w:r>
        <w:rPr>
          <w:rFonts w:ascii="Calibri" w:cs="Calibri" w:eastAsia="Calibri" w:hAnsi="Calibri"/>
          <w:b/>
          <w:bCs/>
          <w:color w:val="1A1A1A"/>
          <w:sz w:val="19"/>
          <w:szCs w:val="19"/>
        </w:rPr>
        <w:t xml:space="preserve">How the number was derived. </w:t>
      </w:r>
      <w:r>
        <w:rPr>
          <w:rFonts w:ascii="Calibri" w:cs="Calibri" w:eastAsia="Calibri" w:hAnsi="Calibri"/>
          <w:color w:val="5C6B73"/>
          <w:sz w:val="19"/>
          <w:szCs w:val="19"/>
        </w:rPr>
        <w:t xml:space="preserve">3,104 cancellations above the 3.7% baseline of zones that promise honestly. Each forgoes average-fare net revenue plus AED 6.5 of dispatch cost. Annualised.</w:t>
      </w:r>
    </w:p>
    <w:p>
      <w:pPr>
        <w:spacing w:after="160" w:before="0" w:line="276"/>
      </w:pPr>
      <w:r>
        <w:rPr>
          <w:rFonts w:ascii="Calibri" w:cs="Calibri" w:eastAsia="Calibri" w:hAnsi="Calibri"/>
          <w:b/>
          <w:bCs/>
          <w:color w:val="1A1A1A"/>
          <w:sz w:val="19"/>
          <w:szCs w:val="19"/>
        </w:rPr>
        <w:t xml:space="preserve">Method. </w:t>
      </w:r>
      <w:r>
        <w:rPr>
          <w:rFonts w:ascii="Calibri" w:cs="Calibri" w:eastAsia="Calibri" w:hAnsi="Calibri"/>
          <w:color w:val="5C6B73"/>
          <w:sz w:val="19"/>
          <w:szCs w:val="19"/>
        </w:rPr>
        <w:t xml:space="preserve">Zone-level Pearson correlation of cancellation rate against the promise gap and against absolute wait, compared. The finding is only raised when the gap explains cancellation better than the wait does.</w:t>
      </w:r>
    </w:p>
    <w:p>
      <w:r>
        <w:br w:type="page"/>
      </w:r>
    </w:p>
    <w:p>
      <w:pPr>
        <w:pStyle w:val="Heading1"/>
        <w:spacing w:after="150" w:before="340"/>
      </w:pPr>
      <w:r>
        <w:rPr>
          <w:rFonts w:ascii="Cambria" w:cs="Cambria" w:eastAsia="Cambria" w:hAnsi="Cambria"/>
          <w:b/>
          <w:bCs/>
          <w:color w:val="046A38"/>
          <w:sz w:val="30"/>
          <w:szCs w:val="30"/>
        </w:rPr>
        <w:t xml:space="preserve">Recommended actions</w:t>
      </w:r>
    </w:p>
    <w:tbl>
      <w:tblPr>
        <w:tblW w:type="dxa" w:w="9360"/>
        <w:tblBorders>
          <w:top w:val="single" w:color="DCE2E0" w:sz="1"/>
          <w:left w:val="none"/>
          <w:bottom w:val="single" w:color="DCE2E0" w:sz="1"/>
          <w:right w:val="none"/>
          <w:insideH w:val="single" w:color="DCE2E0" w:sz="1"/>
          <w:insideV w:val="none"/>
        </w:tblBorders>
      </w:tblPr>
      <w:tblGrid>
        <w:gridCol w:w="700"/>
        <w:gridCol w:w="3660"/>
        <w:gridCol w:w="2200"/>
        <w:gridCol w:w="1400"/>
        <w:gridCol w:w="1400"/>
      </w:tblGrid>
      <w:tr>
        <w:tc>
          <w:tcPr>
            <w:tcW w:type="dxa" w:w="700"/>
            <w:shd w:fill="F4F6F5" w:color="auto" w:val="clear"/>
            <w:tcMar>
              <w:top w:type="dxa" w:w="90"/>
              <w:left w:type="dxa" w:w="110"/>
              <w:bottom w:type="dxa" w:w="90"/>
              <w:right w:type="dxa" w:w="110"/>
            </w:tcMar>
          </w:tcPr>
          <w:p>
            <w:pPr>
              <w:spacing w:after="0" w:before="0" w:line="276"/>
            </w:pPr>
            <w:r>
              <w:rPr>
                <w:rFonts w:ascii="Calibri" w:cs="Calibri" w:eastAsia="Calibri" w:hAnsi="Calibri"/>
                <w:b/>
                <w:bCs/>
                <w:color w:val="5C6B73"/>
                <w:sz w:val="17"/>
                <w:szCs w:val="17"/>
              </w:rPr>
              <w:t xml:space="preserve">#</w:t>
            </w:r>
          </w:p>
        </w:tc>
        <w:tc>
          <w:tcPr>
            <w:tcW w:type="dxa" w:w="3660"/>
            <w:shd w:fill="F4F6F5" w:color="auto" w:val="clear"/>
            <w:tcMar>
              <w:top w:type="dxa" w:w="90"/>
              <w:left w:type="dxa" w:w="110"/>
              <w:bottom w:type="dxa" w:w="90"/>
              <w:right w:type="dxa" w:w="110"/>
            </w:tcMar>
          </w:tcPr>
          <w:p>
            <w:pPr>
              <w:spacing w:after="0" w:before="0" w:line="276"/>
            </w:pPr>
            <w:r>
              <w:rPr>
                <w:rFonts w:ascii="Calibri" w:cs="Calibri" w:eastAsia="Calibri" w:hAnsi="Calibri"/>
                <w:b/>
                <w:bCs/>
                <w:color w:val="5C6B73"/>
                <w:sz w:val="17"/>
                <w:szCs w:val="17"/>
              </w:rPr>
              <w:t xml:space="preserve">Action</w:t>
            </w:r>
          </w:p>
        </w:tc>
        <w:tc>
          <w:tcPr>
            <w:tcW w:type="dxa" w:w="2200"/>
            <w:shd w:fill="F4F6F5" w:color="auto" w:val="clear"/>
            <w:tcMar>
              <w:top w:type="dxa" w:w="90"/>
              <w:left w:type="dxa" w:w="110"/>
              <w:bottom w:type="dxa" w:w="90"/>
              <w:right w:type="dxa" w:w="110"/>
            </w:tcMar>
          </w:tcPr>
          <w:p>
            <w:pPr>
              <w:spacing w:after="0" w:before="0" w:line="276"/>
            </w:pPr>
            <w:r>
              <w:rPr>
                <w:rFonts w:ascii="Calibri" w:cs="Calibri" w:eastAsia="Calibri" w:hAnsi="Calibri"/>
                <w:b/>
                <w:bCs/>
                <w:color w:val="5C6B73"/>
                <w:sz w:val="17"/>
                <w:szCs w:val="17"/>
              </w:rPr>
              <w:t xml:space="preserve">Owner</w:t>
            </w:r>
          </w:p>
        </w:tc>
        <w:tc>
          <w:tcPr>
            <w:tcW w:type="dxa" w:w="1400"/>
            <w:shd w:fill="F4F6F5" w:color="auto" w:val="clear"/>
            <w:tcMar>
              <w:top w:type="dxa" w:w="90"/>
              <w:left w:type="dxa" w:w="110"/>
              <w:bottom w:type="dxa" w:w="90"/>
              <w:right w:type="dxa" w:w="110"/>
            </w:tcMar>
          </w:tcPr>
          <w:p>
            <w:pPr>
              <w:spacing w:after="0" w:before="0" w:line="276"/>
            </w:pPr>
            <w:r>
              <w:rPr>
                <w:rFonts w:ascii="Calibri" w:cs="Calibri" w:eastAsia="Calibri" w:hAnsi="Calibri"/>
                <w:b/>
                <w:bCs/>
                <w:color w:val="5C6B73"/>
                <w:sz w:val="17"/>
                <w:szCs w:val="17"/>
              </w:rPr>
              <w:t xml:space="preserve">Net/yr</w:t>
            </w:r>
          </w:p>
        </w:tc>
        <w:tc>
          <w:tcPr>
            <w:tcW w:type="dxa" w:w="1400"/>
            <w:shd w:fill="F4F6F5" w:color="auto" w:val="clear"/>
            <w:tcMar>
              <w:top w:type="dxa" w:w="90"/>
              <w:left w:type="dxa" w:w="110"/>
              <w:bottom w:type="dxa" w:w="90"/>
              <w:right w:type="dxa" w:w="110"/>
            </w:tcMar>
          </w:tcPr>
          <w:p>
            <w:pPr>
              <w:spacing w:after="0" w:before="0" w:line="276"/>
            </w:pPr>
            <w:r>
              <w:rPr>
                <w:rFonts w:ascii="Calibri" w:cs="Calibri" w:eastAsia="Calibri" w:hAnsi="Calibri"/>
                <w:b/>
                <w:bCs/>
                <w:color w:val="5C6B73"/>
                <w:sz w:val="17"/>
                <w:szCs w:val="17"/>
              </w:rPr>
              <w:t xml:space="preserve">Payback</w:t>
            </w:r>
          </w:p>
        </w:tc>
      </w:tr>
      <w:tr>
        <w:tc>
          <w:tcPr>
            <w:tcW w:type="dxa" w:w="700"/>
            <w:tcMar>
              <w:top w:type="dxa" w:w="90"/>
              <w:left w:type="dxa" w:w="110"/>
              <w:bottom w:type="dxa" w:w="90"/>
              <w:right w:type="dxa" w:w="110"/>
            </w:tcMar>
          </w:tcPr>
          <w:p>
            <w:pPr>
              <w:spacing w:after="0" w:before="0" w:line="276"/>
            </w:pPr>
            <w:r>
              <w:rPr>
                <w:rFonts w:ascii="Calibri" w:cs="Calibri" w:eastAsia="Calibri" w:hAnsi="Calibri"/>
                <w:b/>
                <w:bCs/>
                <w:color w:val="1A1A1A"/>
                <w:sz w:val="18"/>
                <w:szCs w:val="18"/>
              </w:rPr>
              <w:t xml:space="preserve">R3</w:t>
            </w:r>
          </w:p>
        </w:tc>
        <w:tc>
          <w:tcPr>
            <w:tcW w:type="dxa" w:w="366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Recalibrate the ETA model in the zones that over-promise</w:t>
            </w:r>
          </w:p>
        </w:tc>
        <w:tc>
          <w:tcPr>
            <w:tcW w:type="dxa" w:w="2200"/>
            <w:tcMar>
              <w:top w:type="dxa" w:w="90"/>
              <w:left w:type="dxa" w:w="110"/>
              <w:bottom w:type="dxa" w:w="90"/>
              <w:right w:type="dxa" w:w="110"/>
            </w:tcMar>
          </w:tcPr>
          <w:p>
            <w:pPr>
              <w:spacing w:after="0" w:before="0" w:line="276"/>
            </w:pPr>
            <w:r>
              <w:rPr>
                <w:rFonts w:ascii="Calibri" w:cs="Calibri" w:eastAsia="Calibri" w:hAnsi="Calibri"/>
                <w:color w:val="5C6B73"/>
                <w:sz w:val="18"/>
                <w:szCs w:val="18"/>
              </w:rPr>
              <w:t xml:space="preserve">Rider Experience Lead</w:t>
            </w:r>
          </w:p>
        </w:tc>
        <w:tc>
          <w:tcPr>
            <w:tcW w:type="dxa" w:w="1400"/>
            <w:tcMar>
              <w:top w:type="dxa" w:w="90"/>
              <w:left w:type="dxa" w:w="110"/>
              <w:bottom w:type="dxa" w:w="90"/>
              <w:right w:type="dxa" w:w="110"/>
            </w:tcMar>
          </w:tcPr>
          <w:p>
            <w:pPr>
              <w:spacing w:after="0" w:before="0" w:line="276"/>
            </w:pPr>
            <w:r>
              <w:rPr>
                <w:rFonts w:ascii="Calibri" w:cs="Calibri" w:eastAsia="Calibri" w:hAnsi="Calibri"/>
                <w:b/>
                <w:bCs/>
                <w:color w:val="046A38"/>
                <w:sz w:val="18"/>
                <w:szCs w:val="18"/>
              </w:rPr>
              <w:t xml:space="preserve">AED 36k</w:t>
            </w:r>
          </w:p>
        </w:tc>
        <w:tc>
          <w:tcPr>
            <w:tcW w:type="dxa" w:w="140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9.9 mo</w:t>
            </w:r>
          </w:p>
        </w:tc>
      </w:tr>
      <w:tr>
        <w:tc>
          <w:tcPr>
            <w:tcW w:type="dxa" w:w="700"/>
            <w:tcMar>
              <w:top w:type="dxa" w:w="90"/>
              <w:left w:type="dxa" w:w="110"/>
              <w:bottom w:type="dxa" w:w="90"/>
              <w:right w:type="dxa" w:w="110"/>
            </w:tcMar>
          </w:tcPr>
          <w:p>
            <w:pPr>
              <w:spacing w:after="0" w:before="0" w:line="276"/>
            </w:pPr>
            <w:r>
              <w:rPr>
                <w:rFonts w:ascii="Calibri" w:cs="Calibri" w:eastAsia="Calibri" w:hAnsi="Calibri"/>
                <w:b/>
                <w:bCs/>
                <w:color w:val="1A1A1A"/>
                <w:sz w:val="18"/>
                <w:szCs w:val="18"/>
              </w:rPr>
              <w:t xml:space="preserve">R1</w:t>
            </w:r>
          </w:p>
        </w:tc>
        <w:tc>
          <w:tcPr>
            <w:tcW w:type="dxa" w:w="366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Guarantee captain supply into Dubai Airport during 06:00–09:00</w:t>
            </w:r>
          </w:p>
        </w:tc>
        <w:tc>
          <w:tcPr>
            <w:tcW w:type="dxa" w:w="2200"/>
            <w:tcMar>
              <w:top w:type="dxa" w:w="90"/>
              <w:left w:type="dxa" w:w="110"/>
              <w:bottom w:type="dxa" w:w="90"/>
              <w:right w:type="dxa" w:w="110"/>
            </w:tcMar>
          </w:tcPr>
          <w:p>
            <w:pPr>
              <w:spacing w:after="0" w:before="0" w:line="276"/>
            </w:pPr>
            <w:r>
              <w:rPr>
                <w:rFonts w:ascii="Calibri" w:cs="Calibri" w:eastAsia="Calibri" w:hAnsi="Calibri"/>
                <w:color w:val="5C6B73"/>
                <w:sz w:val="18"/>
                <w:szCs w:val="18"/>
              </w:rPr>
              <w:t xml:space="preserve">Supply Growth Lead</w:t>
            </w:r>
          </w:p>
        </w:tc>
        <w:tc>
          <w:tcPr>
            <w:tcW w:type="dxa" w:w="1400"/>
            <w:tcMar>
              <w:top w:type="dxa" w:w="90"/>
              <w:left w:type="dxa" w:w="110"/>
              <w:bottom w:type="dxa" w:w="90"/>
              <w:right w:type="dxa" w:w="110"/>
            </w:tcMar>
          </w:tcPr>
          <w:p>
            <w:pPr>
              <w:spacing w:after="0" w:before="0" w:line="276"/>
            </w:pPr>
            <w:r>
              <w:rPr>
                <w:rFonts w:ascii="Calibri" w:cs="Calibri" w:eastAsia="Calibri" w:hAnsi="Calibri"/>
                <w:b/>
                <w:bCs/>
                <w:color w:val="046A38"/>
                <w:sz w:val="18"/>
                <w:szCs w:val="18"/>
              </w:rPr>
              <w:t xml:space="preserve">AED 13k</w:t>
            </w:r>
          </w:p>
        </w:tc>
        <w:tc>
          <w:tcPr>
            <w:tcW w:type="dxa" w:w="140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immediate</w:t>
            </w:r>
          </w:p>
        </w:tc>
      </w:tr>
    </w:tbl>
    <w:p>
      <w:pPr>
        <w:spacing w:after="140" w:before="120"/>
        <w:jc w:val="center"/>
      </w:pPr>
      <w:r>
        <w:drawing>
          <wp:inline distT="0" distB="0" distL="0" distR="0">
            <wp:extent cx="566737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952750"/>
                    </a:xfrm>
                    <a:prstGeom prst="rect">
                      <a:avLst/>
                    </a:prstGeom>
                  </pic:spPr>
                </pic:pic>
              </a:graphicData>
            </a:graphic>
          </wp:inline>
        </w:drawing>
      </w:r>
    </w:p>
    <w:p>
      <w:pPr>
        <w:pStyle w:val="Heading2"/>
        <w:spacing w:after="110" w:before="240"/>
      </w:pPr>
      <w:r>
        <w:rPr>
          <w:rFonts w:ascii="Cambria" w:cs="Cambria" w:eastAsia="Cambria" w:hAnsi="Cambria"/>
          <w:b/>
          <w:bCs/>
          <w:color w:val="1A1A1A"/>
          <w:sz w:val="24"/>
          <w:szCs w:val="24"/>
        </w:rPr>
        <w:t xml:space="preserve">R3 · Recalibrate the ETA model in the zones that over-promise</w:t>
      </w:r>
    </w:p>
    <w:p>
      <w:pPr>
        <w:spacing w:after="100" w:before="0" w:line="276"/>
      </w:pPr>
      <w:r>
        <w:rPr>
          <w:rFonts w:ascii="Calibri" w:cs="Calibri" w:eastAsia="Calibri" w:hAnsi="Calibri"/>
          <w:color w:val="5C6B73"/>
          <w:sz w:val="18"/>
          <w:szCs w:val="18"/>
        </w:rPr>
        <w:t xml:space="preserve">Rider Experience Lead  ·  near term  ·  low effort  ·  addresses ETA-01</w:t>
      </w:r>
    </w:p>
    <w:p>
      <w:pPr>
        <w:spacing w:after="120" w:before="0" w:line="276"/>
      </w:pPr>
      <w:r>
        <w:rPr>
          <w:rFonts w:ascii="Calibri" w:cs="Calibri" w:eastAsia="Calibri" w:hAnsi="Calibri"/>
          <w:color w:val="1A1A1A"/>
          <w:sz w:val="21"/>
          <w:szCs w:val="21"/>
        </w:rPr>
        <w:t xml:space="preserve">Re-fit the arrival estimate for Business Bay, Yas Island against observed pickup times rather than optimistic routing. These zones are not slow — their actual waits sit near the network median. They are promising times they cannot hit, and riders cancel on the gap. Widen the displayed estimate to a range, and hold the model to a calibration target rather than a headline-number target.</w:t>
      </w:r>
    </w:p>
    <w:tbl>
      <w:tblPr>
        <w:tblW w:type="dxa" w:w="7020"/>
        <w:tblBorders>
          <w:top w:val="single" w:color="DCE2E0" w:sz="1"/>
          <w:left w:val="none"/>
          <w:bottom w:val="single" w:color="DCE2E0" w:sz="1"/>
          <w:right w:val="none"/>
          <w:insideH w:val="single" w:color="DCE2E0" w:sz="1"/>
          <w:insideV w:val="none"/>
        </w:tblBorders>
      </w:tblPr>
      <w:tblGrid>
        <w:gridCol w:w="4680"/>
        <w:gridCol w:w="2340"/>
      </w:tblGrid>
      <w:tr>
        <w:tc>
          <w:tcPr>
            <w:tcW w:type="dxa" w:w="468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Benefit, after capture rate</w:t>
            </w:r>
          </w:p>
        </w:tc>
        <w:tc>
          <w:tcPr>
            <w:tcW w:type="dxa" w:w="234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AED 36k</w:t>
            </w:r>
          </w:p>
        </w:tc>
      </w:tr>
      <w:tr>
        <w:tc>
          <w:tcPr>
            <w:tcW w:type="dxa" w:w="468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Cost of acting</w:t>
            </w:r>
          </w:p>
        </w:tc>
        <w:tc>
          <w:tcPr>
            <w:tcW w:type="dxa" w:w="234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AED 30k</w:t>
            </w:r>
          </w:p>
        </w:tc>
      </w:tr>
      <w:tr>
        <w:tc>
          <w:tcPr>
            <w:tcW w:type="dxa" w:w="4680"/>
            <w:shd w:fill="F4F6F5" w:color="auto" w:val="clear"/>
            <w:tcMar>
              <w:top w:type="dxa" w:w="90"/>
              <w:left w:type="dxa" w:w="110"/>
              <w:bottom w:type="dxa" w:w="90"/>
              <w:right w:type="dxa" w:w="110"/>
            </w:tcMar>
          </w:tcPr>
          <w:p>
            <w:pPr>
              <w:spacing w:after="0" w:before="0" w:line="276"/>
            </w:pPr>
            <w:r>
              <w:rPr>
                <w:rFonts w:ascii="Calibri" w:cs="Calibri" w:eastAsia="Calibri" w:hAnsi="Calibri"/>
                <w:b/>
                <w:bCs/>
                <w:color w:val="1A1A1A"/>
                <w:sz w:val="18"/>
                <w:szCs w:val="18"/>
              </w:rPr>
              <w:t xml:space="preserve">Net annual</w:t>
            </w:r>
          </w:p>
        </w:tc>
        <w:tc>
          <w:tcPr>
            <w:tcW w:type="dxa" w:w="2340"/>
            <w:shd w:fill="F4F6F5" w:color="auto" w:val="clear"/>
            <w:tcMar>
              <w:top w:type="dxa" w:w="90"/>
              <w:left w:type="dxa" w:w="110"/>
              <w:bottom w:type="dxa" w:w="90"/>
              <w:right w:type="dxa" w:w="110"/>
            </w:tcMar>
          </w:tcPr>
          <w:p>
            <w:pPr>
              <w:spacing w:after="0" w:before="0" w:line="276"/>
            </w:pPr>
            <w:r>
              <w:rPr>
                <w:rFonts w:ascii="Calibri" w:cs="Calibri" w:eastAsia="Calibri" w:hAnsi="Calibri"/>
                <w:b/>
                <w:bCs/>
                <w:color w:val="046A38"/>
                <w:sz w:val="18"/>
                <w:szCs w:val="18"/>
              </w:rPr>
              <w:t xml:space="preserve">AED 36k</w:t>
            </w:r>
          </w:p>
        </w:tc>
      </w:tr>
    </w:tbl>
    <w:p>
      <w:pPr>
        <w:spacing w:after="120" w:before="120" w:line="276"/>
      </w:pPr>
      <w:r>
        <w:rPr>
          <w:rFonts w:ascii="Calibri" w:cs="Calibri" w:eastAsia="Calibri" w:hAnsi="Calibri"/>
          <w:b/>
          <w:bCs/>
          <w:color w:val="1A1A1A"/>
          <w:sz w:val="19"/>
          <w:szCs w:val="19"/>
        </w:rPr>
        <w:t xml:space="preserve">Why. </w:t>
      </w:r>
      <w:r>
        <w:rPr>
          <w:rFonts w:ascii="Calibri" w:cs="Calibri" w:eastAsia="Calibri" w:hAnsi="Calibri"/>
          <w:color w:val="1A1A1A"/>
          <w:sz w:val="19"/>
          <w:szCs w:val="19"/>
        </w:rPr>
        <w:t xml:space="preserve">The cheapest kind of problem to fix: the operation is performing adequately and only the promise is wrong.</w:t>
      </w:r>
    </w:p>
    <w:p>
      <w:pPr>
        <w:spacing w:after="120" w:before="0" w:line="276"/>
      </w:pPr>
      <w:r>
        <w:rPr>
          <w:rFonts w:ascii="Calibri" w:cs="Calibri" w:eastAsia="Calibri" w:hAnsi="Calibri"/>
          <w:b/>
          <w:bCs/>
          <w:color w:val="D64545"/>
          <w:sz w:val="19"/>
          <w:szCs w:val="19"/>
        </w:rPr>
        <w:t xml:space="preserve">Risk. </w:t>
      </w:r>
      <w:r>
        <w:rPr>
          <w:rFonts w:ascii="Calibri" w:cs="Calibri" w:eastAsia="Calibri" w:hAnsi="Calibri"/>
          <w:color w:val="1A1A1A"/>
          <w:sz w:val="19"/>
          <w:szCs w:val="19"/>
        </w:rPr>
        <w:t xml:space="preserve">An honest, longer ETA may suppress requests at the point of quote — trading cancellations for lost bookings. The net effect is an empirical question and this should ship as an A/B test, not a global change.</w:t>
      </w:r>
    </w:p>
    <w:p>
      <w:pPr>
        <w:spacing w:after="120" w:before="0" w:line="276"/>
      </w:pPr>
      <w:r>
        <w:rPr>
          <w:rFonts w:ascii="Calibri" w:cs="Calibri" w:eastAsia="Calibri" w:hAnsi="Calibri"/>
          <w:b/>
          <w:bCs/>
          <w:color w:val="1A1A1A"/>
          <w:sz w:val="19"/>
          <w:szCs w:val="19"/>
        </w:rPr>
        <w:t xml:space="preserve">Success metric. </w:t>
      </w:r>
      <w:r>
        <w:rPr>
          <w:rFonts w:ascii="Calibri" w:cs="Calibri" w:eastAsia="Calibri" w:hAnsi="Calibri"/>
          <w:color w:val="1A1A1A"/>
          <w:sz w:val="19"/>
          <w:szCs w:val="19"/>
        </w:rPr>
        <w:t xml:space="preserve">Cancellation rate in the affected zones within 1pp of the network baseline, with request volume unchanged. Reviewed weekly.</w:t>
      </w:r>
    </w:p>
    <w:p>
      <w:pPr>
        <w:spacing w:after="50" w:before="0" w:line="276"/>
      </w:pPr>
      <w:r>
        <w:rPr>
          <w:rFonts w:ascii="Calibri" w:cs="Calibri" w:eastAsia="Calibri" w:hAnsi="Calibri"/>
          <w:b/>
          <w:bCs/>
          <w:color w:val="1A1A1A"/>
          <w:sz w:val="19"/>
          <w:szCs w:val="19"/>
        </w:rPr>
        <w:t xml:space="preserve">Assumptions</w:t>
      </w:r>
    </w:p>
    <w:p>
      <w:pPr>
        <w:pStyle w:val="ListParagraph"/>
        <w:numPr>
          <w:ilvl w:val="0"/>
          <w:numId w:val="2"/>
        </w:numPr>
        <w:spacing w:after="70" w:line="276"/>
      </w:pPr>
      <w:r>
        <w:rPr>
          <w:rFonts w:ascii="Calibri" w:cs="Calibri" w:eastAsia="Calibri" w:hAnsi="Calibri"/>
          <w:color w:val="5C6B73"/>
          <w:sz w:val="18"/>
          <w:szCs w:val="18"/>
        </w:rPr>
        <w:t xml:space="preserve">Capture rate 80% — the highest in this set, because the mechanism is direct and the fix is entirely within our control.</w:t>
      </w:r>
    </w:p>
    <w:p>
      <w:pPr>
        <w:pStyle w:val="ListParagraph"/>
        <w:numPr>
          <w:ilvl w:val="0"/>
          <w:numId w:val="2"/>
        </w:numPr>
        <w:spacing w:after="70" w:line="276"/>
      </w:pPr>
      <w:r>
        <w:rPr>
          <w:rFonts w:ascii="Calibri" w:cs="Calibri" w:eastAsia="Calibri" w:hAnsi="Calibri"/>
          <w:color w:val="5C6B73"/>
          <w:sz w:val="18"/>
          <w:szCs w:val="18"/>
        </w:rPr>
        <w:t xml:space="preserve">Model rework cost AED 30,000.</w:t>
      </w:r>
    </w:p>
    <w:p>
      <w:pPr>
        <w:pStyle w:val="ListParagraph"/>
        <w:numPr>
          <w:ilvl w:val="0"/>
          <w:numId w:val="2"/>
        </w:numPr>
        <w:spacing w:after="70" w:line="276"/>
      </w:pPr>
      <w:r>
        <w:rPr>
          <w:rFonts w:ascii="Calibri" w:cs="Calibri" w:eastAsia="Calibri" w:hAnsi="Calibri"/>
          <w:color w:val="5C6B73"/>
          <w:sz w:val="18"/>
          <w:szCs w:val="18"/>
        </w:rPr>
        <w:t xml:space="preserve">Assumes riders cancel on the gap rather than on the absolute wait. That is what the correlation comparison shows in this data, and it is the load-bearing claim behind the recommendation.</w:t>
      </w:r>
    </w:p>
    <w:p>
      <w:pPr>
        <w:pStyle w:val="Heading2"/>
        <w:spacing w:after="110" w:before="240"/>
      </w:pPr>
      <w:r>
        <w:rPr>
          <w:rFonts w:ascii="Cambria" w:cs="Cambria" w:eastAsia="Cambria" w:hAnsi="Cambria"/>
          <w:b/>
          <w:bCs/>
          <w:color w:val="1A1A1A"/>
          <w:sz w:val="24"/>
          <w:szCs w:val="24"/>
        </w:rPr>
        <w:t xml:space="preserve">R1 · Guarantee captain supply into Dubai Airport during 06:00–09:00</w:t>
      </w:r>
    </w:p>
    <w:p>
      <w:pPr>
        <w:spacing w:after="100" w:before="0" w:line="276"/>
      </w:pPr>
      <w:r>
        <w:rPr>
          <w:rFonts w:ascii="Calibri" w:cs="Calibri" w:eastAsia="Calibri" w:hAnsi="Calibri"/>
          <w:color w:val="5C6B73"/>
          <w:sz w:val="18"/>
          <w:szCs w:val="18"/>
        </w:rPr>
        <w:t xml:space="preserve">Supply Growth Lead  ·  immediate  ·  medium effort  ·  addresses SPL-01, FUL-01</w:t>
      </w:r>
    </w:p>
    <w:p>
      <w:pPr>
        <w:spacing w:after="120" w:before="0" w:line="276"/>
      </w:pPr>
      <w:r>
        <w:rPr>
          <w:rFonts w:ascii="Calibri" w:cs="Calibri" w:eastAsia="Calibri" w:hAnsi="Calibri"/>
          <w:color w:val="1A1A1A"/>
          <w:sz w:val="21"/>
          <w:szCs w:val="21"/>
        </w:rPr>
        <w:t xml:space="preserve">Stop treating this as a pricing problem. Surge in this window already averages 1.76× and captain supply correlates with it at -0.45 — effectively not at all, so raising the multiplier further buys nothing but a worse rider experience. Instead, commit supply directly: a standing pre-positioning incentive paid to captains who are inside the zone before the window opens, plus a queue slot guarantee so they are not penalised for waiting. Pilot in this one zone-hour block before extending it.</w:t>
      </w:r>
    </w:p>
    <w:tbl>
      <w:tblPr>
        <w:tblW w:type="dxa" w:w="7020"/>
        <w:tblBorders>
          <w:top w:val="single" w:color="DCE2E0" w:sz="1"/>
          <w:left w:val="none"/>
          <w:bottom w:val="single" w:color="DCE2E0" w:sz="1"/>
          <w:right w:val="none"/>
          <w:insideH w:val="single" w:color="DCE2E0" w:sz="1"/>
          <w:insideV w:val="none"/>
        </w:tblBorders>
      </w:tblPr>
      <w:tblGrid>
        <w:gridCol w:w="4680"/>
        <w:gridCol w:w="2340"/>
      </w:tblGrid>
      <w:tr>
        <w:tc>
          <w:tcPr>
            <w:tcW w:type="dxa" w:w="468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Benefit, after capture rate</w:t>
            </w:r>
          </w:p>
        </w:tc>
        <w:tc>
          <w:tcPr>
            <w:tcW w:type="dxa" w:w="234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AED 32k</w:t>
            </w:r>
          </w:p>
        </w:tc>
      </w:tr>
      <w:tr>
        <w:tc>
          <w:tcPr>
            <w:tcW w:type="dxa" w:w="468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Cost of acting</w:t>
            </w:r>
          </w:p>
        </w:tc>
        <w:tc>
          <w:tcPr>
            <w:tcW w:type="dxa" w:w="234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AED 19k</w:t>
            </w:r>
          </w:p>
        </w:tc>
      </w:tr>
      <w:tr>
        <w:tc>
          <w:tcPr>
            <w:tcW w:type="dxa" w:w="4680"/>
            <w:shd w:fill="F4F6F5" w:color="auto" w:val="clear"/>
            <w:tcMar>
              <w:top w:type="dxa" w:w="90"/>
              <w:left w:type="dxa" w:w="110"/>
              <w:bottom w:type="dxa" w:w="90"/>
              <w:right w:type="dxa" w:w="110"/>
            </w:tcMar>
          </w:tcPr>
          <w:p>
            <w:pPr>
              <w:spacing w:after="0" w:before="0" w:line="276"/>
            </w:pPr>
            <w:r>
              <w:rPr>
                <w:rFonts w:ascii="Calibri" w:cs="Calibri" w:eastAsia="Calibri" w:hAnsi="Calibri"/>
                <w:b/>
                <w:bCs/>
                <w:color w:val="1A1A1A"/>
                <w:sz w:val="18"/>
                <w:szCs w:val="18"/>
              </w:rPr>
              <w:t xml:space="preserve">Net annual</w:t>
            </w:r>
          </w:p>
        </w:tc>
        <w:tc>
          <w:tcPr>
            <w:tcW w:type="dxa" w:w="2340"/>
            <w:shd w:fill="F4F6F5" w:color="auto" w:val="clear"/>
            <w:tcMar>
              <w:top w:type="dxa" w:w="90"/>
              <w:left w:type="dxa" w:w="110"/>
              <w:bottom w:type="dxa" w:w="90"/>
              <w:right w:type="dxa" w:w="110"/>
            </w:tcMar>
          </w:tcPr>
          <w:p>
            <w:pPr>
              <w:spacing w:after="0" w:before="0" w:line="276"/>
            </w:pPr>
            <w:r>
              <w:rPr>
                <w:rFonts w:ascii="Calibri" w:cs="Calibri" w:eastAsia="Calibri" w:hAnsi="Calibri"/>
                <w:b/>
                <w:bCs/>
                <w:color w:val="046A38"/>
                <w:sz w:val="18"/>
                <w:szCs w:val="18"/>
              </w:rPr>
              <w:t xml:space="preserve">AED 13k</w:t>
            </w:r>
          </w:p>
        </w:tc>
      </w:tr>
    </w:tbl>
    <w:p>
      <w:pPr>
        <w:spacing w:after="120" w:before="120" w:line="276"/>
      </w:pPr>
      <w:r>
        <w:rPr>
          <w:rFonts w:ascii="Calibri" w:cs="Calibri" w:eastAsia="Calibri" w:hAnsi="Calibri"/>
          <w:b/>
          <w:bCs/>
          <w:color w:val="1A1A1A"/>
          <w:sz w:val="19"/>
          <w:szCs w:val="19"/>
        </w:rPr>
        <w:t xml:space="preserve">Why. </w:t>
      </w:r>
      <w:r>
        <w:rPr>
          <w:rFonts w:ascii="Calibri" w:cs="Calibri" w:eastAsia="Calibri" w:hAnsi="Calibri"/>
          <w:color w:val="1A1A1A"/>
          <w:sz w:val="19"/>
          <w:szCs w:val="19"/>
        </w:rPr>
        <w:t xml:space="preserve">This is the largest single recoverable block of demand in the network, and the intuitive fix — more surge — is already running and demonstrably not working.</w:t>
      </w:r>
    </w:p>
    <w:p>
      <w:pPr>
        <w:spacing w:after="120" w:before="0" w:line="276"/>
      </w:pPr>
      <w:r>
        <w:rPr>
          <w:rFonts w:ascii="Calibri" w:cs="Calibri" w:eastAsia="Calibri" w:hAnsi="Calibri"/>
          <w:b/>
          <w:bCs/>
          <w:color w:val="D64545"/>
          <w:sz w:val="19"/>
          <w:szCs w:val="19"/>
        </w:rPr>
        <w:t xml:space="preserve">Risk. </w:t>
      </w:r>
      <w:r>
        <w:rPr>
          <w:rFonts w:ascii="Calibri" w:cs="Calibri" w:eastAsia="Calibri" w:hAnsi="Calibri"/>
          <w:color w:val="1A1A1A"/>
          <w:sz w:val="19"/>
          <w:szCs w:val="19"/>
        </w:rPr>
        <w:t xml:space="preserve">A guaranteed incentive can be gamed — captains idling in-zone without accepting trips. Pay it on completed trips inside the window, not on presence. There is also a risk of pulling supply out of adjacent zones; monitor their fulfilment while piloting.</w:t>
      </w:r>
    </w:p>
    <w:p>
      <w:pPr>
        <w:spacing w:after="120" w:before="0" w:line="276"/>
      </w:pPr>
      <w:r>
        <w:rPr>
          <w:rFonts w:ascii="Calibri" w:cs="Calibri" w:eastAsia="Calibri" w:hAnsi="Calibri"/>
          <w:b/>
          <w:bCs/>
          <w:color w:val="1A1A1A"/>
          <w:sz w:val="19"/>
          <w:szCs w:val="19"/>
        </w:rPr>
        <w:t xml:space="preserve">Success metric. </w:t>
      </w:r>
      <w:r>
        <w:rPr>
          <w:rFonts w:ascii="Calibri" w:cs="Calibri" w:eastAsia="Calibri" w:hAnsi="Calibri"/>
          <w:color w:val="1A1A1A"/>
          <w:sz w:val="19"/>
          <w:szCs w:val="19"/>
        </w:rPr>
        <w:t xml:space="preserve">Unfulfilled rate in Dubai Airport during 06:00–09:00 below 10% within six weeks, with no fulfilment deterioration in adjacent zones. Reviewed weekly.</w:t>
      </w:r>
    </w:p>
    <w:p>
      <w:pPr>
        <w:spacing w:after="50" w:before="0" w:line="276"/>
      </w:pPr>
      <w:r>
        <w:rPr>
          <w:rFonts w:ascii="Calibri" w:cs="Calibri" w:eastAsia="Calibri" w:hAnsi="Calibri"/>
          <w:b/>
          <w:bCs/>
          <w:color w:val="1A1A1A"/>
          <w:sz w:val="19"/>
          <w:szCs w:val="19"/>
        </w:rPr>
        <w:t xml:space="preserve">Assumptions</w:t>
      </w:r>
    </w:p>
    <w:p>
      <w:pPr>
        <w:pStyle w:val="ListParagraph"/>
        <w:numPr>
          <w:ilvl w:val="0"/>
          <w:numId w:val="2"/>
        </w:numPr>
        <w:spacing w:after="70" w:line="276"/>
      </w:pPr>
      <w:r>
        <w:rPr>
          <w:rFonts w:ascii="Calibri" w:cs="Calibri" w:eastAsia="Calibri" w:hAnsi="Calibri"/>
          <w:color w:val="5C6B73"/>
          <w:sz w:val="18"/>
          <w:szCs w:val="18"/>
        </w:rPr>
        <w:t xml:space="preserve">Capture rate 55% — pre-positioning recovers much of the unserved demand but not all; some riders will have gone elsewhere before supply arrives.</w:t>
      </w:r>
    </w:p>
    <w:p>
      <w:pPr>
        <w:pStyle w:val="ListParagraph"/>
        <w:numPr>
          <w:ilvl w:val="0"/>
          <w:numId w:val="2"/>
        </w:numPr>
        <w:spacing w:after="70" w:line="276"/>
      </w:pPr>
      <w:r>
        <w:rPr>
          <w:rFonts w:ascii="Calibri" w:cs="Calibri" w:eastAsia="Calibri" w:hAnsi="Calibri"/>
          <w:color w:val="5C6B73"/>
          <w:sz w:val="18"/>
          <w:szCs w:val="18"/>
        </w:rPr>
        <w:t xml:space="preserve">Incentive of AED 6.0 per recovered trip. Should be re-tested against actual captain response in the pilot.</w:t>
      </w:r>
    </w:p>
    <w:p>
      <w:pPr>
        <w:pStyle w:val="Heading1"/>
        <w:spacing w:after="150" w:before="340"/>
      </w:pPr>
      <w:r>
        <w:rPr>
          <w:rFonts w:ascii="Cambria" w:cs="Cambria" w:eastAsia="Cambria" w:hAnsi="Cambria"/>
          <w:b/>
          <w:bCs/>
          <w:color w:val="046A38"/>
          <w:sz w:val="30"/>
          <w:szCs w:val="30"/>
        </w:rPr>
        <w:t xml:space="preserve">Considered and not recommended</w:t>
      </w:r>
    </w:p>
    <w:p>
      <w:pPr>
        <w:pStyle w:val="Heading2"/>
        <w:spacing w:after="110" w:before="240"/>
      </w:pPr>
      <w:r>
        <w:rPr>
          <w:rFonts w:ascii="Cambria" w:cs="Cambria" w:eastAsia="Cambria" w:hAnsi="Cambria"/>
          <w:b/>
          <w:bCs/>
          <w:color w:val="1A1A1A"/>
          <w:sz w:val="24"/>
          <w:szCs w:val="24"/>
        </w:rPr>
        <w:t xml:space="preserve">R2 · Build a first-week activation programme for new captains</w:t>
      </w:r>
    </w:p>
    <w:p>
      <w:pPr>
        <w:spacing w:after="120" w:before="0" w:line="276"/>
      </w:pPr>
      <w:r>
        <w:rPr>
          <w:rFonts w:ascii="Calibri" w:cs="Calibri" w:eastAsia="Calibri" w:hAnsi="Calibri"/>
          <w:color w:val="1A1A1A"/>
          <w:sz w:val="21"/>
          <w:szCs w:val="21"/>
        </w:rPr>
        <w:t xml:space="preserve">Benefit </w:t>
      </w:r>
      <w:r>
        <w:rPr>
          <w:rFonts w:ascii="Calibri" w:cs="Calibri" w:eastAsia="Calibri" w:hAnsi="Calibri"/>
          <w:b/>
          <w:bCs/>
          <w:color w:val="1A1A1A"/>
          <w:sz w:val="21"/>
          <w:szCs w:val="21"/>
        </w:rPr>
        <w:t xml:space="preserve">AED 66k/yr</w:t>
      </w:r>
      <w:r>
        <w:rPr>
          <w:rFonts w:ascii="Calibri" w:cs="Calibri" w:eastAsia="Calibri" w:hAnsi="Calibri"/>
          <w:color w:val="1A1A1A"/>
          <w:sz w:val="21"/>
          <w:szCs w:val="21"/>
        </w:rPr>
        <w:t xml:space="preserve"> against a cost of </w:t>
      </w:r>
      <w:r>
        <w:rPr>
          <w:rFonts w:ascii="Calibri" w:cs="Calibri" w:eastAsia="Calibri" w:hAnsi="Calibri"/>
          <w:b/>
          <w:bCs/>
          <w:color w:val="D64545"/>
          <w:sz w:val="21"/>
          <w:szCs w:val="21"/>
        </w:rPr>
        <w:t xml:space="preserve">AED 0/yr</w:t>
      </w:r>
      <w:r>
        <w:rPr>
          <w:rFonts w:ascii="Calibri" w:cs="Calibri" w:eastAsia="Calibri" w:hAnsi="Calibri"/>
          <w:color w:val="1A1A1A"/>
          <w:sz w:val="21"/>
          <w:szCs w:val="21"/>
        </w:rPr>
        <w:t xml:space="preserve"> — net </w:t>
      </w:r>
      <w:r>
        <w:rPr>
          <w:rFonts w:ascii="Calibri" w:cs="Calibri" w:eastAsia="Calibri" w:hAnsi="Calibri"/>
          <w:b/>
          <w:bCs/>
          <w:color w:val="D64545"/>
          <w:sz w:val="21"/>
          <w:szCs w:val="21"/>
        </w:rPr>
        <w:t xml:space="preserve">AED 66k/yr</w:t>
      </w:r>
      <w:r>
        <w:rPr>
          <w:rFonts w:ascii="Calibri" w:cs="Calibri" w:eastAsia="Calibri" w:hAnsi="Calibri"/>
          <w:color w:val="1A1A1A"/>
          <w:sz w:val="21"/>
          <w:szCs w:val="21"/>
        </w:rPr>
        <w:t xml:space="preserve">.</w:t>
      </w:r>
    </w:p>
    <w:p>
      <w:pPr>
        <w:spacing w:after="120" w:before="0" w:line="276"/>
      </w:pPr>
      <w:r>
        <w:rPr>
          <w:rFonts w:ascii="Calibri" w:cs="Calibri" w:eastAsia="Calibri" w:hAnsi="Calibri"/>
          <w:color w:val="1A1A1A"/>
          <w:sz w:val="21"/>
          <w:szCs w:val="21"/>
        </w:rPr>
        <w:t xml:space="preserve">Supply is the binding constraint across this network, and this is the cheapest supply available — captains already recruited, already onboarded, and lost in their first month.</w:t>
      </w:r>
    </w:p>
    <w:p>
      <w:pPr>
        <w:pStyle w:val="Heading1"/>
        <w:spacing w:after="150" w:before="340"/>
      </w:pPr>
      <w:r>
        <w:rPr>
          <w:rFonts w:ascii="Cambria" w:cs="Cambria" w:eastAsia="Cambria" w:hAnsi="Cambria"/>
          <w:b/>
          <w:bCs/>
          <w:color w:val="046A38"/>
          <w:sz w:val="30"/>
          <w:szCs w:val="30"/>
        </w:rPr>
        <w:t xml:space="preserve">What we would measure</w:t>
      </w:r>
    </w:p>
    <w:p>
      <w:pPr>
        <w:spacing w:after="120" w:before="0" w:line="276"/>
      </w:pPr>
      <w:r>
        <w:rPr>
          <w:rFonts w:ascii="Calibri" w:cs="Calibri" w:eastAsia="Calibri" w:hAnsi="Calibri"/>
          <w:color w:val="1A1A1A"/>
          <w:sz w:val="21"/>
          <w:szCs w:val="21"/>
        </w:rPr>
        <w:t xml:space="preserve">Each action carries a leading indicator that moves before the financial result does. If the indicator has not moved by the review point, the action is not working and should be stopped rather than extended.</w:t>
      </w:r>
    </w:p>
    <w:tbl>
      <w:tblPr>
        <w:tblW w:type="dxa" w:w="9360"/>
        <w:tblBorders>
          <w:top w:val="single" w:color="DCE2E0" w:sz="1"/>
          <w:left w:val="none"/>
          <w:bottom w:val="single" w:color="DCE2E0" w:sz="1"/>
          <w:right w:val="none"/>
          <w:insideH w:val="single" w:color="DCE2E0" w:sz="1"/>
          <w:insideV w:val="none"/>
        </w:tblBorders>
      </w:tblPr>
      <w:tblGrid>
        <w:gridCol w:w="900"/>
        <w:gridCol w:w="6060"/>
        <w:gridCol w:w="2400"/>
      </w:tblGrid>
      <w:tr>
        <w:tc>
          <w:tcPr>
            <w:tcW w:type="dxa" w:w="900"/>
            <w:shd w:fill="F4F6F5" w:color="auto" w:val="clear"/>
            <w:tcMar>
              <w:top w:type="dxa" w:w="90"/>
              <w:left w:type="dxa" w:w="110"/>
              <w:bottom w:type="dxa" w:w="90"/>
              <w:right w:type="dxa" w:w="110"/>
            </w:tcMar>
          </w:tcPr>
          <w:p>
            <w:pPr>
              <w:spacing w:after="0" w:before="0" w:line="276"/>
            </w:pPr>
            <w:r>
              <w:rPr>
                <w:rFonts w:ascii="Calibri" w:cs="Calibri" w:eastAsia="Calibri" w:hAnsi="Calibri"/>
                <w:b/>
                <w:bCs/>
                <w:color w:val="5C6B73"/>
                <w:sz w:val="17"/>
                <w:szCs w:val="17"/>
              </w:rPr>
              <w:t xml:space="preserve">#</w:t>
            </w:r>
          </w:p>
        </w:tc>
        <w:tc>
          <w:tcPr>
            <w:tcW w:type="dxa" w:w="6060"/>
            <w:shd w:fill="F4F6F5" w:color="auto" w:val="clear"/>
            <w:tcMar>
              <w:top w:type="dxa" w:w="90"/>
              <w:left w:type="dxa" w:w="110"/>
              <w:bottom w:type="dxa" w:w="90"/>
              <w:right w:type="dxa" w:w="110"/>
            </w:tcMar>
          </w:tcPr>
          <w:p>
            <w:pPr>
              <w:spacing w:after="0" w:before="0" w:line="276"/>
            </w:pPr>
            <w:r>
              <w:rPr>
                <w:rFonts w:ascii="Calibri" w:cs="Calibri" w:eastAsia="Calibri" w:hAnsi="Calibri"/>
                <w:b/>
                <w:bCs/>
                <w:color w:val="5C6B73"/>
                <w:sz w:val="17"/>
                <w:szCs w:val="17"/>
              </w:rPr>
              <w:t xml:space="preserve">Leading indicator</w:t>
            </w:r>
          </w:p>
        </w:tc>
        <w:tc>
          <w:tcPr>
            <w:tcW w:type="dxa" w:w="2400"/>
            <w:shd w:fill="F4F6F5" w:color="auto" w:val="clear"/>
            <w:tcMar>
              <w:top w:type="dxa" w:w="90"/>
              <w:left w:type="dxa" w:w="110"/>
              <w:bottom w:type="dxa" w:w="90"/>
              <w:right w:type="dxa" w:w="110"/>
            </w:tcMar>
          </w:tcPr>
          <w:p>
            <w:pPr>
              <w:spacing w:after="0" w:before="0" w:line="276"/>
            </w:pPr>
            <w:r>
              <w:rPr>
                <w:rFonts w:ascii="Calibri" w:cs="Calibri" w:eastAsia="Calibri" w:hAnsi="Calibri"/>
                <w:b/>
                <w:bCs/>
                <w:color w:val="5C6B73"/>
                <w:sz w:val="17"/>
                <w:szCs w:val="17"/>
              </w:rPr>
              <w:t xml:space="preserve">Cadence</w:t>
            </w:r>
          </w:p>
        </w:tc>
      </w:tr>
      <w:tr>
        <w:tc>
          <w:tcPr>
            <w:tcW w:type="dxa" w:w="900"/>
            <w:tcMar>
              <w:top w:type="dxa" w:w="90"/>
              <w:left w:type="dxa" w:w="110"/>
              <w:bottom w:type="dxa" w:w="90"/>
              <w:right w:type="dxa" w:w="110"/>
            </w:tcMar>
          </w:tcPr>
          <w:p>
            <w:pPr>
              <w:spacing w:after="0" w:before="0" w:line="276"/>
            </w:pPr>
            <w:r>
              <w:rPr>
                <w:rFonts w:ascii="Calibri" w:cs="Calibri" w:eastAsia="Calibri" w:hAnsi="Calibri"/>
                <w:b/>
                <w:bCs/>
                <w:color w:val="1A1A1A"/>
                <w:sz w:val="18"/>
                <w:szCs w:val="18"/>
              </w:rPr>
              <w:t xml:space="preserve">R3</w:t>
            </w:r>
          </w:p>
        </w:tc>
        <w:tc>
          <w:tcPr>
            <w:tcW w:type="dxa" w:w="606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Cancellation rate in the affected zones within 1pp of the network baseline, with request volume unchanged</w:t>
            </w:r>
          </w:p>
        </w:tc>
        <w:tc>
          <w:tcPr>
            <w:tcW w:type="dxa" w:w="2400"/>
            <w:tcMar>
              <w:top w:type="dxa" w:w="90"/>
              <w:left w:type="dxa" w:w="110"/>
              <w:bottom w:type="dxa" w:w="90"/>
              <w:right w:type="dxa" w:w="110"/>
            </w:tcMar>
          </w:tcPr>
          <w:p>
            <w:pPr>
              <w:spacing w:after="0" w:before="0" w:line="276"/>
            </w:pPr>
            <w:r>
              <w:rPr>
                <w:rFonts w:ascii="Calibri" w:cs="Calibri" w:eastAsia="Calibri" w:hAnsi="Calibri"/>
                <w:color w:val="5C6B73"/>
                <w:sz w:val="18"/>
                <w:szCs w:val="18"/>
              </w:rPr>
              <w:t xml:space="preserve">weekly</w:t>
            </w:r>
          </w:p>
        </w:tc>
      </w:tr>
      <w:tr>
        <w:tc>
          <w:tcPr>
            <w:tcW w:type="dxa" w:w="900"/>
            <w:tcMar>
              <w:top w:type="dxa" w:w="90"/>
              <w:left w:type="dxa" w:w="110"/>
              <w:bottom w:type="dxa" w:w="90"/>
              <w:right w:type="dxa" w:w="110"/>
            </w:tcMar>
          </w:tcPr>
          <w:p>
            <w:pPr>
              <w:spacing w:after="0" w:before="0" w:line="276"/>
            </w:pPr>
            <w:r>
              <w:rPr>
                <w:rFonts w:ascii="Calibri" w:cs="Calibri" w:eastAsia="Calibri" w:hAnsi="Calibri"/>
                <w:b/>
                <w:bCs/>
                <w:color w:val="1A1A1A"/>
                <w:sz w:val="18"/>
                <w:szCs w:val="18"/>
              </w:rPr>
              <w:t xml:space="preserve">R1</w:t>
            </w:r>
          </w:p>
        </w:tc>
        <w:tc>
          <w:tcPr>
            <w:tcW w:type="dxa" w:w="6060"/>
            <w:tcMar>
              <w:top w:type="dxa" w:w="90"/>
              <w:left w:type="dxa" w:w="110"/>
              <w:bottom w:type="dxa" w:w="90"/>
              <w:right w:type="dxa" w:w="110"/>
            </w:tcMar>
          </w:tcPr>
          <w:p>
            <w:pPr>
              <w:spacing w:after="0" w:before="0" w:line="276"/>
            </w:pPr>
            <w:r>
              <w:rPr>
                <w:rFonts w:ascii="Calibri" w:cs="Calibri" w:eastAsia="Calibri" w:hAnsi="Calibri"/>
                <w:color w:val="1A1A1A"/>
                <w:sz w:val="18"/>
                <w:szCs w:val="18"/>
              </w:rPr>
              <w:t xml:space="preserve">Unfulfilled rate in Dubai Airport during 06:00–09:00 below 10% within six weeks, with no fulfilment deterioration in adjacent zones</w:t>
            </w:r>
          </w:p>
        </w:tc>
        <w:tc>
          <w:tcPr>
            <w:tcW w:type="dxa" w:w="2400"/>
            <w:tcMar>
              <w:top w:type="dxa" w:w="90"/>
              <w:left w:type="dxa" w:w="110"/>
              <w:bottom w:type="dxa" w:w="90"/>
              <w:right w:type="dxa" w:w="110"/>
            </w:tcMar>
          </w:tcPr>
          <w:p>
            <w:pPr>
              <w:spacing w:after="0" w:before="0" w:line="276"/>
            </w:pPr>
            <w:r>
              <w:rPr>
                <w:rFonts w:ascii="Calibri" w:cs="Calibri" w:eastAsia="Calibri" w:hAnsi="Calibri"/>
                <w:color w:val="5C6B73"/>
                <w:sz w:val="18"/>
                <w:szCs w:val="18"/>
              </w:rPr>
              <w:t xml:space="preserve">weekly</w:t>
            </w:r>
          </w:p>
        </w:tc>
      </w:tr>
    </w:tbl>
    <w:p>
      <w:r>
        <w:br w:type="page"/>
      </w:r>
    </w:p>
    <w:p>
      <w:pPr>
        <w:pStyle w:val="Heading1"/>
        <w:spacing w:after="150" w:before="340"/>
      </w:pPr>
      <w:r>
        <w:rPr>
          <w:rFonts w:ascii="Cambria" w:cs="Cambria" w:eastAsia="Cambria" w:hAnsi="Cambria"/>
          <w:b/>
          <w:bCs/>
          <w:color w:val="046A38"/>
          <w:sz w:val="30"/>
          <w:szCs w:val="30"/>
        </w:rPr>
        <w:t xml:space="preserve">Appendix</w:t>
      </w:r>
    </w:p>
    <w:p>
      <w:pPr>
        <w:pStyle w:val="Heading2"/>
        <w:spacing w:after="110" w:before="240"/>
      </w:pPr>
      <w:r>
        <w:rPr>
          <w:rFonts w:ascii="Cambria" w:cs="Cambria" w:eastAsia="Cambria" w:hAnsi="Cambria"/>
          <w:b/>
          <w:bCs/>
          <w:color w:val="1A1A1A"/>
          <w:sz w:val="24"/>
          <w:szCs w:val="24"/>
        </w:rPr>
        <w:t xml:space="preserve">Method</w:t>
      </w:r>
    </w:p>
    <w:p>
      <w:pPr>
        <w:spacing w:after="120" w:before="0" w:line="276"/>
      </w:pPr>
      <w:r>
        <w:rPr>
          <w:rFonts w:ascii="Calibri" w:cs="Calibri" w:eastAsia="Calibri" w:hAnsi="Calibri"/>
          <w:color w:val="1A1A1A"/>
          <w:sz w:val="21"/>
          <w:szCs w:val="21"/>
        </w:rPr>
        <w:t xml:space="preserve">Data was loaded from nine related tables and profiled. A quality gate ran eight families of check — key uniqueness, referential integrity, null rates, impossible values, ledger balance, three cross-table reconciliations and date coverage — before any analysis was permitted. KPIs were computed once, at every grain, so that no two sections of this document can disagree. Eight detectors then interrogated those KPIs, each returning findings with their own evidence, statistical method and confidence.</w:t>
      </w:r>
    </w:p>
    <w:p>
      <w:pPr>
        <w:spacing w:after="120" w:before="0" w:line="276"/>
      </w:pPr>
      <w:r>
        <w:rPr>
          <w:rFonts w:ascii="Calibri" w:cs="Calibri" w:eastAsia="Calibri" w:hAnsi="Calibri"/>
          <w:color w:val="1A1A1A"/>
          <w:sz w:val="21"/>
          <w:szCs w:val="21"/>
        </w:rPr>
        <w:t xml:space="preserve">Confidence combines three components as a geometric mean: statistical strength, sample adequacy, and the quality score of the source tables. The geometric mean is deliberate — one weak component drags the result down and no strong component can rescue it.</w:t>
      </w:r>
    </w:p>
    <w:p>
      <w:pPr>
        <w:pStyle w:val="Heading2"/>
        <w:spacing w:after="110" w:before="240"/>
      </w:pPr>
      <w:r>
        <w:rPr>
          <w:rFonts w:ascii="Cambria" w:cs="Cambria" w:eastAsia="Cambria" w:hAnsi="Cambria"/>
          <w:b/>
          <w:bCs/>
          <w:color w:val="1A1A1A"/>
          <w:sz w:val="24"/>
          <w:szCs w:val="24"/>
        </w:rPr>
        <w:t xml:space="preserve">Data quality</w:t>
      </w:r>
    </w:p>
    <w:p>
      <w:pPr>
        <w:spacing w:after="120" w:before="0" w:line="276"/>
      </w:pPr>
      <w:r>
        <w:rPr>
          <w:rFonts w:ascii="Calibri" w:cs="Calibri" w:eastAsia="Calibri" w:hAnsi="Calibri"/>
          <w:color w:val="1A1A1A"/>
          <w:sz w:val="21"/>
          <w:szCs w:val="21"/>
        </w:rPr>
        <w:t xml:space="preserve">Gate result: WARN. 5 issue(s) found and 3 repair(s) applied before analysis. Repairs are deterministic and disclosed; no data was invented.</w:t>
      </w:r>
    </w:p>
    <w:p>
      <w:pPr>
        <w:pStyle w:val="ListParagraph"/>
        <w:numPr>
          <w:ilvl w:val="0"/>
          <w:numId w:val="2"/>
        </w:numPr>
        <w:spacing w:after="70" w:line="276"/>
      </w:pPr>
      <w:r>
        <w:rPr>
          <w:rFonts w:ascii="Calibri" w:cs="Calibri" w:eastAsia="Calibri" w:hAnsi="Calibri"/>
          <w:color w:val="5C6B73"/>
          <w:sz w:val="18"/>
          <w:szCs w:val="18"/>
        </w:rPr>
        <w:t xml:space="preserve">trips: removed 1,022 exact duplicate rows</w:t>
      </w:r>
    </w:p>
    <w:p>
      <w:pPr>
        <w:pStyle w:val="ListParagraph"/>
        <w:numPr>
          <w:ilvl w:val="0"/>
          <w:numId w:val="2"/>
        </w:numPr>
        <w:spacing w:after="70" w:line="276"/>
      </w:pPr>
      <w:r>
        <w:rPr>
          <w:rFonts w:ascii="Calibri" w:cs="Calibri" w:eastAsia="Calibri" w:hAnsi="Calibri"/>
          <w:color w:val="5C6B73"/>
          <w:sz w:val="18"/>
          <w:szCs w:val="18"/>
        </w:rPr>
        <w:t xml:space="preserve">trips: collapsed 11 rows sharing a primary key ['trip_id'] (kept first)</w:t>
      </w:r>
    </w:p>
    <w:p>
      <w:pPr>
        <w:pStyle w:val="ListParagraph"/>
        <w:numPr>
          <w:ilvl w:val="0"/>
          <w:numId w:val="2"/>
        </w:numPr>
        <w:spacing w:after="70" w:line="276"/>
      </w:pPr>
      <w:r>
        <w:rPr>
          <w:rFonts w:ascii="Calibri" w:cs="Calibri" w:eastAsia="Calibri" w:hAnsi="Calibri"/>
          <w:color w:val="5C6B73"/>
          <w:sz w:val="18"/>
          <w:szCs w:val="18"/>
        </w:rPr>
        <w:t xml:space="preserve">supply_demand_hourly.active_captains: clamped 263 negative values to zero (flagged in active_captains_was_negative)</w:t>
      </w:r>
    </w:p>
    <w:p>
      <w:pPr>
        <w:spacing w:after="60" w:before="140" w:line="276"/>
      </w:pPr>
      <w:r>
        <w:rPr>
          <w:rFonts w:ascii="Calibri" w:cs="Calibri" w:eastAsia="Calibri" w:hAnsi="Calibri"/>
          <w:b/>
          <w:bCs/>
          <w:color w:val="1A1A1A"/>
          <w:sz w:val="19"/>
          <w:szCs w:val="19"/>
        </w:rPr>
        <w:t xml:space="preserve">Checks that ran clean</w:t>
      </w:r>
    </w:p>
    <w:p>
      <w:pPr>
        <w:pStyle w:val="ListParagraph"/>
        <w:numPr>
          <w:ilvl w:val="0"/>
          <w:numId w:val="2"/>
        </w:numPr>
        <w:spacing w:after="70" w:line="276"/>
      </w:pPr>
      <w:r>
        <w:rPr>
          <w:rFonts w:ascii="Calibri" w:cs="Calibri" w:eastAsia="Calibri" w:hAnsi="Calibri"/>
          <w:color w:val="5C6B73"/>
          <w:sz w:val="18"/>
          <w:szCs w:val="18"/>
        </w:rPr>
        <w:t xml:space="preserve">referential_integrity · all — 7 foreign-key relationships validated, no orphans</w:t>
      </w:r>
    </w:p>
    <w:p>
      <w:pPr>
        <w:pStyle w:val="Heading2"/>
        <w:spacing w:after="110" w:before="240"/>
      </w:pPr>
      <w:r>
        <w:rPr>
          <w:rFonts w:ascii="Cambria" w:cs="Cambria" w:eastAsia="Cambria" w:hAnsi="Cambria"/>
          <w:b/>
          <w:bCs/>
          <w:color w:val="1A1A1A"/>
          <w:sz w:val="24"/>
          <w:szCs w:val="24"/>
        </w:rPr>
        <w:t xml:space="preserve">Assumptions</w:t>
      </w:r>
    </w:p>
    <w:p>
      <w:pPr>
        <w:spacing w:after="120" w:before="0" w:line="276"/>
      </w:pPr>
      <w:r>
        <w:rPr>
          <w:rFonts w:ascii="Calibri" w:cs="Calibri" w:eastAsia="Calibri" w:hAnsi="Calibri"/>
          <w:color w:val="1A1A1A"/>
          <w:sz w:val="21"/>
          <w:szCs w:val="21"/>
        </w:rPr>
        <w:t xml:space="preserve">Every figure converting an operational failure into money rests on one of these. They are declared so they can be challenged.</w:t>
      </w:r>
    </w:p>
    <w:p>
      <w:pPr>
        <w:pStyle w:val="ListParagraph"/>
        <w:numPr>
          <w:ilvl w:val="0"/>
          <w:numId w:val="2"/>
        </w:numPr>
        <w:spacing w:after="70" w:line="276"/>
      </w:pPr>
      <w:r>
        <w:rPr>
          <w:rFonts w:ascii="Calibri" w:cs="Calibri" w:eastAsia="Calibri" w:hAnsi="Calibri"/>
          <w:color w:val="1A1A1A"/>
          <w:sz w:val="18"/>
          <w:szCs w:val="18"/>
        </w:rPr>
        <w:t xml:space="preserve">Stockout penalty: lost margin × undefined. The uplift represents basket abandonment and reduced repeat rate. Not derived from this data. Sensitivity 1.0–1.7.</w:t>
      </w:r>
    </w:p>
    <w:p>
      <w:pPr>
        <w:pStyle w:val="ListParagraph"/>
        <w:numPr>
          <w:ilvl w:val="0"/>
          <w:numId w:val="2"/>
        </w:numPr>
        <w:spacing w:after="70" w:line="276"/>
      </w:pPr>
      <w:r>
        <w:rPr>
          <w:rFonts w:ascii="Calibri" w:cs="Calibri" w:eastAsia="Calibri" w:hAnsi="Calibri"/>
          <w:color w:val="1A1A1A"/>
          <w:sz w:val="18"/>
          <w:szCs w:val="18"/>
        </w:rPr>
        <w:t xml:space="preserve">Cancelled order cost: AED undefined of picking labour and rider time. Sensitivity 8–16.</w:t>
      </w:r>
    </w:p>
    <w:p>
      <w:pPr>
        <w:pStyle w:val="ListParagraph"/>
        <w:numPr>
          <w:ilvl w:val="0"/>
          <w:numId w:val="2"/>
        </w:numPr>
        <w:spacing w:after="70" w:line="276"/>
      </w:pPr>
      <w:r>
        <w:rPr>
          <w:rFonts w:ascii="Calibri" w:cs="Calibri" w:eastAsia="Calibri" w:hAnsi="Calibri"/>
          <w:color w:val="1A1A1A"/>
          <w:sz w:val="18"/>
          <w:szCs w:val="18"/>
        </w:rPr>
        <w:t xml:space="preserve">Inventory holding: NaN% annually.</w:t>
      </w:r>
    </w:p>
    <w:p>
      <w:pPr>
        <w:pStyle w:val="ListParagraph"/>
        <w:numPr>
          <w:ilvl w:val="0"/>
          <w:numId w:val="2"/>
        </w:numPr>
        <w:spacing w:after="70" w:line="276"/>
      </w:pPr>
      <w:r>
        <w:rPr>
          <w:rFonts w:ascii="Calibri" w:cs="Calibri" w:eastAsia="Calibri" w:hAnsi="Calibri"/>
          <w:color w:val="1A1A1A"/>
          <w:sz w:val="18"/>
          <w:szCs w:val="18"/>
        </w:rPr>
        <w:t xml:space="preserve">Capture rates run 50% to 80% — never 100%, because some part of every leak is structural.</w:t>
      </w:r>
    </w:p>
    <w:p>
      <w:pPr>
        <w:pStyle w:val="ListParagraph"/>
        <w:numPr>
          <w:ilvl w:val="0"/>
          <w:numId w:val="2"/>
        </w:numPr>
        <w:spacing w:after="70" w:line="276"/>
      </w:pPr>
      <w:r>
        <w:rPr>
          <w:rFonts w:ascii="Calibri" w:cs="Calibri" w:eastAsia="Calibri" w:hAnsi="Calibri"/>
          <w:color w:val="1A1A1A"/>
          <w:sz w:val="18"/>
          <w:szCs w:val="18"/>
        </w:rPr>
        <w:t xml:space="preserve">Materiality floor: AED 40k/yr. Findings below this are recorded but not surfaced.</w:t>
      </w:r>
    </w:p>
    <w:p>
      <w:pPr>
        <w:pStyle w:val="Heading2"/>
        <w:spacing w:after="110" w:before="240"/>
      </w:pPr>
      <w:r>
        <w:rPr>
          <w:rFonts w:ascii="Cambria" w:cs="Cambria" w:eastAsia="Cambria" w:hAnsi="Cambria"/>
          <w:b/>
          <w:bCs/>
          <w:color w:val="1A1A1A"/>
          <w:sz w:val="24"/>
          <w:szCs w:val="24"/>
        </w:rPr>
        <w:t xml:space="preserve">Limitations — what this analysis cannot support</w:t>
      </w:r>
    </w:p>
    <w:p>
      <w:pPr>
        <w:spacing w:after="120" w:before="0" w:line="276"/>
      </w:pPr>
      <w:r>
        <w:rPr>
          <w:rFonts w:ascii="Calibri" w:cs="Calibri" w:eastAsia="Calibri" w:hAnsi="Calibri"/>
          <w:color w:val="1A1A1A"/>
          <w:sz w:val="21"/>
          <w:szCs w:val="21"/>
        </w:rPr>
        <w:t xml:space="preserve">Stating the boundary matters as much as stating the result.</w:t>
      </w:r>
    </w:p>
    <w:p>
      <w:pPr>
        <w:pStyle w:val="ListParagraph"/>
        <w:numPr>
          <w:ilvl w:val="0"/>
          <w:numId w:val="2"/>
        </w:numPr>
        <w:spacing w:after="70" w:line="276"/>
      </w:pPr>
      <w:r>
        <w:rPr>
          <w:rFonts w:ascii="Calibri" w:cs="Calibri" w:eastAsia="Calibri" w:hAnsi="Calibri"/>
          <w:color w:val="1A1A1A"/>
          <w:sz w:val="19"/>
          <w:szCs w:val="19"/>
        </w:rPr>
        <w:t xml:space="preserve">The supplier premium behind R2 is a placeholder, not a quote. If smaller case packs cost more than 1.5% extra per unit, that recommendation weakens quickly and should be re-tested before committing.</w:t>
      </w:r>
    </w:p>
    <w:p>
      <w:pPr>
        <w:pStyle w:val="ListParagraph"/>
        <w:numPr>
          <w:ilvl w:val="0"/>
          <w:numId w:val="2"/>
        </w:numPr>
        <w:spacing w:after="70" w:line="276"/>
      </w:pPr>
      <w:r>
        <w:rPr>
          <w:rFonts w:ascii="Calibri" w:cs="Calibri" w:eastAsia="Calibri" w:hAnsi="Calibri"/>
          <w:color w:val="1A1A1A"/>
          <w:sz w:val="19"/>
          <w:szCs w:val="19"/>
        </w:rPr>
        <w:t xml:space="preserve">The 50% demand-migration assumption behind the assortment recommendation is unverified. A basket-affinity analysis should precede any delisting, because a tail SKU that anchors a basket is not a tail SKU.</w:t>
      </w:r>
    </w:p>
    <w:p>
      <w:pPr>
        <w:pStyle w:val="ListParagraph"/>
        <w:numPr>
          <w:ilvl w:val="0"/>
          <w:numId w:val="2"/>
        </w:numPr>
        <w:spacing w:after="70" w:line="276"/>
      </w:pPr>
      <w:r>
        <w:rPr>
          <w:rFonts w:ascii="Calibri" w:cs="Calibri" w:eastAsia="Calibri" w:hAnsi="Calibri"/>
          <w:color w:val="1A1A1A"/>
          <w:sz w:val="19"/>
          <w:szCs w:val="19"/>
        </w:rPr>
        <w:t xml:space="preserve">Seasonal conclusions rest on two observed cycles. That is enough to establish the pattern exists and not enough to fit a reliable category-level uplift factor.</w:t>
      </w:r>
    </w:p>
    <w:p>
      <w:pPr>
        <w:pStyle w:val="ListParagraph"/>
        <w:numPr>
          <w:ilvl w:val="0"/>
          <w:numId w:val="2"/>
        </w:numPr>
        <w:spacing w:after="70" w:line="276"/>
      </w:pPr>
      <w:r>
        <w:rPr>
          <w:rFonts w:ascii="Calibri" w:cs="Calibri" w:eastAsia="Calibri" w:hAnsi="Calibri"/>
          <w:color w:val="1A1A1A"/>
          <w:sz w:val="19"/>
          <w:szCs w:val="19"/>
        </w:rPr>
        <w:t xml:space="preserve">Customer lifetime value is absent from this dataset, so cancellations are valued at single-order margin. This almost certainly understates the cost of repeated service failure at one store, and it is the assumption most likely to change the fleet conclusion if corrected.</w:t>
      </w:r>
    </w:p>
    <w:p>
      <w:pPr>
        <w:pStyle w:val="ListParagraph"/>
        <w:numPr>
          <w:ilvl w:val="0"/>
          <w:numId w:val="2"/>
        </w:numPr>
        <w:spacing w:after="70" w:line="276"/>
      </w:pPr>
      <w:r>
        <w:rPr>
          <w:rFonts w:ascii="Calibri" w:cs="Calibri" w:eastAsia="Calibri" w:hAnsi="Calibri"/>
          <w:color w:val="1A1A1A"/>
          <w:sz w:val="19"/>
          <w:szCs w:val="19"/>
        </w:rPr>
        <w:t xml:space="preserve">No competitor, price or promotional data is present. Demand is treated as exogenous, which it is not.</w:t>
      </w:r>
    </w:p>
    <w:p>
      <w:pPr>
        <w:pStyle w:val="ListParagraph"/>
        <w:numPr>
          <w:ilvl w:val="0"/>
          <w:numId w:val="2"/>
        </w:numPr>
        <w:spacing w:after="70" w:line="276"/>
      </w:pPr>
      <w:r>
        <w:rPr>
          <w:rFonts w:ascii="Calibri" w:cs="Calibri" w:eastAsia="Calibri" w:hAnsi="Calibri"/>
          <w:color w:val="1A1A1A"/>
          <w:sz w:val="19"/>
          <w:szCs w:val="19"/>
        </w:rPr>
        <w:t xml:space="preserve">The analysis is observational. None of the causal claims have been tested experimentally, and the recommended actions should be piloted before network-wide rollout.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C6B73"/>
        <w:sz w:val="16"/>
        <w:szCs w:val="16"/>
      </w:rPr>
      <w:t xml:space="preserve">Page </w:t>
    </w:r>
    <w:r>
      <w:rPr>
        <w:color w:val="5C6B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76"/>
    </w:pPr>
    <w:r>
      <w:rPr>
        <w:rFonts w:ascii="Calibri" w:cs="Calibri" w:eastAsia="Calibri" w:hAnsi="Calibri"/>
        <w:color w:val="5C6B73"/>
        <w:sz w:val="16"/>
        <w:szCs w:val="16"/>
      </w:rPr>
      <w:t xml:space="preserve">Supply Chain Decision Brief</w:t>
    </w:r>
    <w:r>
      <w:rPr>
        <w:rFonts w:ascii="Calibri" w:cs="Calibri" w:eastAsia="Calibri" w:hAnsi="Calibri"/>
        <w:b/>
        <w:bCs/>
        <w:color w:val="E8A33D"/>
        <w:sz w:val="16"/>
        <w:szCs w:val="16"/>
      </w:rPr>
      <w:t xml:space="preserve">   ·   ILLUSTRATIVE, SYNTHETIC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4b962f70efc7b92b5a9931bbb5384664e54d066.png"/><Relationship Id="rId10" Type="http://schemas.openxmlformats.org/officeDocument/2006/relationships/image" Target="media/907f26db3f0a635422e927ee83ac3009f5d944a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Supply Chain Decision Brief</dc:title>
  <dc:creator>Decision Brief Generator</dc:creator>
  <cp:lastModifiedBy>Un-named</cp:lastModifiedBy>
  <cp:revision>1</cp:revision>
  <dcterms:created xsi:type="dcterms:W3CDTF">2026-08-09T09:45:31.382Z</dcterms:created>
  <dcterms:modified xsi:type="dcterms:W3CDTF">2026-08-09T09:45:31.382Z</dcterms:modified>
</cp:coreProperties>
</file>

<file path=docProps/custom.xml><?xml version="1.0" encoding="utf-8"?>
<Properties xmlns="http://schemas.openxmlformats.org/officeDocument/2006/custom-properties" xmlns:vt="http://schemas.openxmlformats.org/officeDocument/2006/docPropsVTypes"/>
</file>