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0" w:line="276"/>
      </w:pPr>
      <w:r>
        <w:rPr>
          <w:rFonts w:ascii="Calibri" w:cs="Calibri" w:eastAsia="Calibri" w:hAnsi="Calibri"/>
          <w:color w:val="1A1A1A"/>
          <w:sz w:val="21"/>
          <w:szCs w:val="21"/>
        </w:rPr>
        <w:t xml:space="preserve"/>
      </w:r>
    </w:p>
    <w:p>
      <w:pPr>
        <w:spacing w:after="100" w:before="0" w:line="276"/>
      </w:pPr>
      <w:r>
        <w:rPr>
          <w:rFonts w:ascii="Cambria" w:cs="Cambria" w:eastAsia="Cambria" w:hAnsi="Cambria"/>
          <w:b/>
          <w:bCs/>
          <w:color w:val="046A38"/>
          <w:sz w:val="52"/>
          <w:szCs w:val="52"/>
        </w:rPr>
        <w:t xml:space="preserve">Supply Chain Decision Brief</w:t>
      </w:r>
    </w:p>
    <w:p>
      <w:pPr>
        <w:spacing w:after="60" w:before="0" w:line="276"/>
      </w:pPr>
      <w:r>
        <w:rPr>
          <w:rFonts w:ascii="Calibri" w:cs="Calibri" w:eastAsia="Calibri" w:hAnsi="Calibri"/>
          <w:color w:val="5C6B73"/>
          <w:sz w:val="26"/>
          <w:szCs w:val="26"/>
        </w:rPr>
        <w:t xml:space="preserve">Careem Quik — UAE dark-store network</w:t>
      </w:r>
    </w:p>
    <w:p>
      <w:pPr>
        <w:spacing w:after="500" w:before="0" w:line="276"/>
      </w:pPr>
      <w:r>
        <w:rPr>
          <w:rFonts w:ascii="Calibri" w:cs="Calibri" w:eastAsia="Calibri" w:hAnsi="Calibri"/>
          <w:color w:val="5C6B73"/>
          <w:sz w:val="20"/>
          <w:szCs w:val="20"/>
        </w:rPr>
        <w:t xml:space="preserve">2025-01-01 to 2026-06-30  ·  546 days  ·  AED</w:t>
      </w:r>
    </w:p>
    <w:tbl>
      <w:tblPr>
        <w:tblW w:type="dxa" w:w="9360"/>
        <w:tblBorders>
          <w:top w:val="single" w:color="E8A33D" w:sz="6"/>
          <w:left w:val="single" w:color="E8A33D" w:sz="6"/>
          <w:bottom w:val="single" w:color="E8A33D" w:sz="6"/>
          <w:right w:val="single" w:color="E8A33D" w:sz="6"/>
          <w:insideH w:val="none"/>
          <w:insideV w:val="none"/>
        </w:tblBorders>
      </w:tblPr>
      <w:tblGrid>
        <w:gridCol w:w="9360"/>
      </w:tblGrid>
      <w:tr>
        <w:tc>
          <w:tcPr>
            <w:tcW w:type="dxa" w:w="9360"/>
            <w:shd w:fill="FEF7E8" w:color="auto" w:val="clear"/>
            <w:tcMar>
              <w:top w:type="dxa" w:w="90"/>
              <w:left w:type="dxa" w:w="110"/>
              <w:bottom w:type="dxa" w:w="90"/>
              <w:right w:type="dxa" w:w="110"/>
            </w:tcMar>
          </w:tcPr>
          <w:p>
            <w:pPr>
              <w:spacing w:after="60" w:before="0" w:line="276"/>
            </w:pPr>
            <w:r>
              <w:rPr>
                <w:rFonts w:ascii="Calibri" w:cs="Calibri" w:eastAsia="Calibri" w:hAnsi="Calibri"/>
                <w:b/>
                <w:bCs/>
                <w:color w:val="1A1A1A"/>
                <w:sz w:val="20"/>
                <w:szCs w:val="20"/>
              </w:rPr>
              <w:t xml:space="preserve">ILLUSTRATIVE — SYNTHETIC DATA</w:t>
            </w:r>
          </w:p>
          <w:p>
            <w:pPr>
              <w:spacing w:after="0" w:before="0" w:line="276"/>
            </w:pPr>
            <w:r>
              <w:rPr>
                <w:rFonts w:ascii="Calibri" w:cs="Calibri" w:eastAsia="Calibri" w:hAnsi="Calibri"/>
                <w:color w:val="5C6B73"/>
                <w:sz w:val="19"/>
                <w:szCs w:val="19"/>
              </w:rPr>
              <w:t xml:space="preserve">This brief demonstrates an analytical method. The underlying data is generated, not observed. No Careem data of any kind has been used and no figure in this document describes a real business.</w:t>
            </w:r>
          </w:p>
        </w:tc>
      </w:tr>
    </w:tbl>
    <w:p>
      <w:pPr>
        <w:spacing w:after="600" w:before="0" w:line="276"/>
      </w:pPr>
      <w:r>
        <w:rPr>
          <w:rFonts w:ascii="Calibri" w:cs="Calibri" w:eastAsia="Calibri" w:hAnsi="Calibri"/>
          <w:color w:val="1A1A1A"/>
          <w:sz w:val="21"/>
          <w:szCs w:val="21"/>
        </w:rPr>
        <w:t xml:space="preserve"/>
      </w:r>
    </w:p>
    <w:p>
      <w:pPr>
        <w:spacing w:after="40" w:before="0" w:line="276"/>
      </w:pPr>
      <w:r>
        <w:rPr>
          <w:rFonts w:ascii="Calibri" w:cs="Calibri" w:eastAsia="Calibri" w:hAnsi="Calibri"/>
          <w:color w:val="5C6B73"/>
          <w:sz w:val="20"/>
          <w:szCs w:val="20"/>
        </w:rPr>
        <w:t xml:space="preserve">Prepared for the Supply Chain Director</w:t>
      </w:r>
    </w:p>
    <w:p>
      <w:pPr>
        <w:spacing w:after="0" w:before="0" w:line="276"/>
      </w:pPr>
      <w:r>
        <w:rPr>
          <w:rFonts w:ascii="Calibri" w:cs="Calibri" w:eastAsia="Calibri" w:hAnsi="Calibri"/>
          <w:color w:val="5C6B73"/>
          <w:sz w:val="20"/>
          <w:szCs w:val="20"/>
        </w:rPr>
        <w:t xml:space="preserve">Data-quality gate: WARN</w:t>
      </w:r>
    </w:p>
    <w:p>
      <w:r>
        <w:br w:type="page"/>
      </w:r>
    </w:p>
    <w:p>
      <w:pPr>
        <w:pStyle w:val="Heading1"/>
        <w:spacing w:after="150" w:before="340"/>
      </w:pPr>
      <w:r>
        <w:rPr>
          <w:rFonts w:ascii="Cambria" w:cs="Cambria" w:eastAsia="Cambria" w:hAnsi="Cambria"/>
          <w:b/>
          <w:bCs/>
          <w:color w:val="046A38"/>
          <w:sz w:val="30"/>
          <w:szCs w:val="30"/>
        </w:rPr>
        <w:t xml:space="preserve">The decision</w:t>
      </w:r>
    </w:p>
    <w:p>
      <w:pPr>
        <w:spacing w:after="120" w:before="0" w:line="276"/>
      </w:pPr>
      <w:r>
        <w:rPr>
          <w:rFonts w:ascii="Calibri" w:cs="Calibri" w:eastAsia="Calibri" w:hAnsi="Calibri"/>
          <w:color w:val="1A1A1A"/>
          <w:sz w:val="21"/>
          <w:szCs w:val="21"/>
        </w:rPr>
        <w:t xml:space="preserve">The network converts </w:t>
      </w:r>
      <w:r>
        <w:rPr>
          <w:rFonts w:ascii="Calibri" w:cs="Calibri" w:eastAsia="Calibri" w:hAnsi="Calibri"/>
          <w:b/>
          <w:bCs/>
          <w:color w:val="1A1A1A"/>
          <w:sz w:val="21"/>
          <w:szCs w:val="21"/>
        </w:rPr>
        <w:t xml:space="preserve">AED 7.45m</w:t>
      </w:r>
      <w:r>
        <w:rPr>
          <w:rFonts w:ascii="Calibri" w:cs="Calibri" w:eastAsia="Calibri" w:hAnsi="Calibri"/>
          <w:color w:val="1A1A1A"/>
          <w:sz w:val="21"/>
          <w:szCs w:val="21"/>
        </w:rPr>
        <w:t xml:space="preserve"> of gross margin a year and gives back </w:t>
      </w:r>
      <w:r>
        <w:rPr>
          <w:rFonts w:ascii="Calibri" w:cs="Calibri" w:eastAsia="Calibri" w:hAnsi="Calibri"/>
          <w:b/>
          <w:bCs/>
          <w:color w:val="D64545"/>
          <w:sz w:val="21"/>
          <w:szCs w:val="21"/>
        </w:rPr>
        <w:t xml:space="preserve">AED 983k</w:t>
      </w:r>
      <w:r>
        <w:rPr>
          <w:rFonts w:ascii="Calibri" w:cs="Calibri" w:eastAsia="Calibri" w:hAnsi="Calibri"/>
          <w:color w:val="1A1A1A"/>
          <w:sz w:val="21"/>
          <w:szCs w:val="21"/>
        </w:rPr>
        <w:t xml:space="preserve"> of it through availability failures, write-off and supplier shortfalls. This brief identifies where that goes and what recovers it.</w:t>
      </w:r>
    </w:p>
    <w:p>
      <w:pPr>
        <w:spacing w:after="120" w:before="0" w:line="276"/>
      </w:pPr>
      <w:r>
        <w:rPr>
          <w:rFonts w:ascii="Calibri" w:cs="Calibri" w:eastAsia="Calibri" w:hAnsi="Calibri"/>
          <w:color w:val="1A1A1A"/>
          <w:sz w:val="21"/>
          <w:szCs w:val="21"/>
        </w:rPr>
        <w:t xml:space="preserve">Six actions are recommended. Together they are worth </w:t>
      </w:r>
      <w:r>
        <w:rPr>
          <w:rFonts w:ascii="Calibri" w:cs="Calibri" w:eastAsia="Calibri" w:hAnsi="Calibri"/>
          <w:b/>
          <w:bCs/>
          <w:color w:val="046A38"/>
          <w:sz w:val="21"/>
          <w:szCs w:val="21"/>
        </w:rPr>
        <w:t xml:space="preserve">AED 727k a year</w:t>
      </w:r>
      <w:r>
        <w:rPr>
          <w:rFonts w:ascii="Calibri" w:cs="Calibri" w:eastAsia="Calibri" w:hAnsi="Calibri"/>
          <w:color w:val="1A1A1A"/>
          <w:sz w:val="21"/>
          <w:szCs w:val="21"/>
        </w:rPr>
        <w:t xml:space="preserve"> net of the cost of doing them, against </w:t>
      </w:r>
      <w:r>
        <w:rPr>
          <w:rFonts w:ascii="Calibri" w:cs="Calibri" w:eastAsia="Calibri" w:hAnsi="Calibri"/>
          <w:b/>
          <w:bCs/>
          <w:color w:val="1A1A1A"/>
          <w:sz w:val="21"/>
          <w:szCs w:val="21"/>
        </w:rPr>
        <w:t xml:space="preserve">AED 103k</w:t>
      </w:r>
      <w:r>
        <w:rPr>
          <w:rFonts w:ascii="Calibri" w:cs="Calibri" w:eastAsia="Calibri" w:hAnsi="Calibri"/>
          <w:color w:val="1A1A1A"/>
          <w:sz w:val="21"/>
          <w:szCs w:val="21"/>
        </w:rPr>
        <w:t xml:space="preserve"> of one-off investment. A seventh — the intuitive fix for the network's worst-performing store — is analysed and </w:t>
      </w:r>
      <w:r>
        <w:rPr>
          <w:rFonts w:ascii="Calibri" w:cs="Calibri" w:eastAsia="Calibri" w:hAnsi="Calibri"/>
          <w:b/>
          <w:bCs/>
          <w:color w:val="1A1A1A"/>
          <w:sz w:val="21"/>
          <w:szCs w:val="21"/>
        </w:rPr>
        <w:t xml:space="preserve">not recommended</w:t>
      </w:r>
      <w:r>
        <w:rPr>
          <w:rFonts w:ascii="Calibri" w:cs="Calibri" w:eastAsia="Calibri" w:hAnsi="Calibri"/>
          <w:color w:val="1A1A1A"/>
          <w:sz w:val="21"/>
          <w:szCs w:val="21"/>
        </w:rPr>
        <w:t xml:space="preserve">, because it costs more than it saves.</w:t>
      </w:r>
    </w:p>
    <w:p>
      <w:pPr>
        <w:spacing w:after="120" w:before="0" w:line="276"/>
      </w:pPr>
      <w:r>
        <w:rPr>
          <w:rFonts w:ascii="Calibri" w:cs="Calibri" w:eastAsia="Calibri" w:hAnsi="Calibri"/>
          <w:b/>
          <w:bCs/>
          <w:color w:val="1A1A1A"/>
          <w:sz w:val="21"/>
          <w:szCs w:val="21"/>
        </w:rPr>
        <w:t xml:space="preserve">What is being asked: </w:t>
      </w:r>
      <w:r>
        <w:rPr>
          <w:rFonts w:ascii="Calibri" w:cs="Calibri" w:eastAsia="Calibri" w:hAnsi="Calibri"/>
          <w:color w:val="1A1A1A"/>
          <w:sz w:val="21"/>
          <w:szCs w:val="21"/>
        </w:rPr>
        <w:t xml:space="preserve">approval to proceed with R1 and R5a immediately — both are scheduling changes with no incremental headcount — and a mandate to open supplier negotiations behind R2 and R3.</w:t>
      </w:r>
    </w:p>
    <w:tbl>
      <w:tblPr>
        <w:tblW w:type="dxa" w:w="9360"/>
        <w:tblBorders>
          <w:top w:val="single" w:color="DCE2E0" w:sz="1"/>
          <w:left w:val="none"/>
          <w:bottom w:val="single" w:color="DCE2E0" w:sz="1"/>
          <w:right w:val="none"/>
          <w:insideH w:val="single" w:color="DCE2E0" w:sz="1"/>
          <w:insideV w:val="none"/>
        </w:tblBorders>
      </w:tblPr>
      <w:tblGrid>
        <w:gridCol w:w="2340"/>
        <w:gridCol w:w="2340"/>
        <w:gridCol w:w="2340"/>
        <w:gridCol w:w="2340"/>
      </w:tblGrid>
      <w:tr>
        <w:tc>
          <w:tcPr>
            <w:tcW w:type="dxa" w:w="2340"/>
            <w:shd w:fill="F4F6F5" w:color="auto" w:val="clear"/>
            <w:tcMar>
              <w:top w:type="dxa" w:w="90"/>
              <w:left w:type="dxa" w:w="110"/>
              <w:bottom w:type="dxa" w:w="90"/>
              <w:right w:type="dxa" w:w="110"/>
            </w:tcMar>
          </w:tcPr>
          <w:p>
            <w:pPr>
              <w:spacing w:after="40" w:before="0" w:line="276"/>
            </w:pPr>
            <w:r>
              <w:rPr>
                <w:rFonts w:ascii="Calibri" w:cs="Calibri" w:eastAsia="Calibri" w:hAnsi="Calibri"/>
                <w:b/>
                <w:bCs/>
                <w:color w:val="5C6B73"/>
                <w:sz w:val="17"/>
                <w:szCs w:val="17"/>
              </w:rPr>
              <w:t xml:space="preserve">Actions recommended</w:t>
            </w:r>
          </w:p>
        </w:tc>
        <w:tc>
          <w:tcPr>
            <w:tcW w:type="dxa" w:w="2340"/>
            <w:shd w:fill="F4F6F5" w:color="auto" w:val="clear"/>
            <w:tcMar>
              <w:top w:type="dxa" w:w="90"/>
              <w:left w:type="dxa" w:w="110"/>
              <w:bottom w:type="dxa" w:w="90"/>
              <w:right w:type="dxa" w:w="110"/>
            </w:tcMar>
          </w:tcPr>
          <w:p>
            <w:pPr>
              <w:spacing w:after="40" w:before="0" w:line="276"/>
            </w:pPr>
            <w:r>
              <w:rPr>
                <w:rFonts w:ascii="Calibri" w:cs="Calibri" w:eastAsia="Calibri" w:hAnsi="Calibri"/>
                <w:b/>
                <w:bCs/>
                <w:color w:val="5C6B73"/>
                <w:sz w:val="17"/>
                <w:szCs w:val="17"/>
              </w:rPr>
              <w:t xml:space="preserve">Net annual value</w:t>
            </w:r>
          </w:p>
        </w:tc>
        <w:tc>
          <w:tcPr>
            <w:tcW w:type="dxa" w:w="2340"/>
            <w:shd w:fill="F4F6F5" w:color="auto" w:val="clear"/>
            <w:tcMar>
              <w:top w:type="dxa" w:w="90"/>
              <w:left w:type="dxa" w:w="110"/>
              <w:bottom w:type="dxa" w:w="90"/>
              <w:right w:type="dxa" w:w="110"/>
            </w:tcMar>
          </w:tcPr>
          <w:p>
            <w:pPr>
              <w:spacing w:after="40" w:before="0" w:line="276"/>
            </w:pPr>
            <w:r>
              <w:rPr>
                <w:rFonts w:ascii="Calibri" w:cs="Calibri" w:eastAsia="Calibri" w:hAnsi="Calibri"/>
                <w:b/>
                <w:bCs/>
                <w:color w:val="5C6B73"/>
                <w:sz w:val="17"/>
                <w:szCs w:val="17"/>
              </w:rPr>
              <w:t xml:space="preserve">One-off investment</w:t>
            </w:r>
          </w:p>
        </w:tc>
        <w:tc>
          <w:tcPr>
            <w:tcW w:type="dxa" w:w="2340"/>
            <w:shd w:fill="F4F6F5" w:color="auto" w:val="clear"/>
            <w:tcMar>
              <w:top w:type="dxa" w:w="90"/>
              <w:left w:type="dxa" w:w="110"/>
              <w:bottom w:type="dxa" w:w="90"/>
              <w:right w:type="dxa" w:w="110"/>
            </w:tcMar>
          </w:tcPr>
          <w:p>
            <w:pPr>
              <w:spacing w:after="40" w:before="0" w:line="276"/>
            </w:pPr>
            <w:r>
              <w:rPr>
                <w:rFonts w:ascii="Calibri" w:cs="Calibri" w:eastAsia="Calibri" w:hAnsi="Calibri"/>
                <w:b/>
                <w:bCs/>
                <w:color w:val="5C6B73"/>
                <w:sz w:val="17"/>
                <w:szCs w:val="17"/>
              </w:rPr>
              <w:t xml:space="preserve">Identified leakage</w:t>
            </w:r>
          </w:p>
        </w:tc>
      </w:tr>
      <w:tr>
        <w:tc>
          <w:tcPr>
            <w:tcW w:type="dxa" w:w="2340"/>
            <w:tcMar>
              <w:top w:type="dxa" w:w="90"/>
              <w:left w:type="dxa" w:w="110"/>
              <w:bottom w:type="dxa" w:w="90"/>
              <w:right w:type="dxa" w:w="110"/>
            </w:tcMar>
          </w:tcPr>
          <w:p>
            <w:pPr>
              <w:spacing w:after="0" w:before="0" w:line="276"/>
            </w:pPr>
            <w:r>
              <w:rPr>
                <w:rFonts w:ascii="Calibri" w:cs="Calibri" w:eastAsia="Calibri" w:hAnsi="Calibri"/>
                <w:b/>
                <w:bCs/>
                <w:color w:val="046A38"/>
                <w:sz w:val="32"/>
                <w:szCs w:val="32"/>
              </w:rPr>
              <w:t xml:space="preserve">6</w:t>
            </w:r>
          </w:p>
        </w:tc>
        <w:tc>
          <w:tcPr>
            <w:tcW w:type="dxa" w:w="2340"/>
            <w:tcMar>
              <w:top w:type="dxa" w:w="90"/>
              <w:left w:type="dxa" w:w="110"/>
              <w:bottom w:type="dxa" w:w="90"/>
              <w:right w:type="dxa" w:w="110"/>
            </w:tcMar>
          </w:tcPr>
          <w:p>
            <w:pPr>
              <w:spacing w:after="0" w:before="0" w:line="276"/>
            </w:pPr>
            <w:r>
              <w:rPr>
                <w:rFonts w:ascii="Calibri" w:cs="Calibri" w:eastAsia="Calibri" w:hAnsi="Calibri"/>
                <w:b/>
                <w:bCs/>
                <w:color w:val="046A38"/>
                <w:sz w:val="32"/>
                <w:szCs w:val="32"/>
              </w:rPr>
              <w:t xml:space="preserve">AED 727k</w:t>
            </w:r>
          </w:p>
        </w:tc>
        <w:tc>
          <w:tcPr>
            <w:tcW w:type="dxa" w:w="2340"/>
            <w:tcMar>
              <w:top w:type="dxa" w:w="90"/>
              <w:left w:type="dxa" w:w="110"/>
              <w:bottom w:type="dxa" w:w="90"/>
              <w:right w:type="dxa" w:w="110"/>
            </w:tcMar>
          </w:tcPr>
          <w:p>
            <w:pPr>
              <w:spacing w:after="0" w:before="0" w:line="276"/>
            </w:pPr>
            <w:r>
              <w:rPr>
                <w:rFonts w:ascii="Calibri" w:cs="Calibri" w:eastAsia="Calibri" w:hAnsi="Calibri"/>
                <w:b/>
                <w:bCs/>
                <w:color w:val="1A1A1A"/>
                <w:sz w:val="32"/>
                <w:szCs w:val="32"/>
              </w:rPr>
              <w:t xml:space="preserve">AED 103k</w:t>
            </w:r>
          </w:p>
        </w:tc>
        <w:tc>
          <w:tcPr>
            <w:tcW w:type="dxa" w:w="2340"/>
            <w:tcMar>
              <w:top w:type="dxa" w:w="90"/>
              <w:left w:type="dxa" w:w="110"/>
              <w:bottom w:type="dxa" w:w="90"/>
              <w:right w:type="dxa" w:w="110"/>
            </w:tcMar>
          </w:tcPr>
          <w:p>
            <w:pPr>
              <w:spacing w:after="0" w:before="0" w:line="276"/>
            </w:pPr>
            <w:r>
              <w:rPr>
                <w:rFonts w:ascii="Calibri" w:cs="Calibri" w:eastAsia="Calibri" w:hAnsi="Calibri"/>
                <w:b/>
                <w:bCs/>
                <w:color w:val="D64545"/>
                <w:sz w:val="32"/>
                <w:szCs w:val="32"/>
              </w:rPr>
              <w:t xml:space="preserve">AED 983k</w:t>
            </w:r>
          </w:p>
        </w:tc>
      </w:tr>
    </w:tbl>
    <w:p>
      <w:pPr>
        <w:pStyle w:val="Heading1"/>
        <w:spacing w:after="150" w:before="340"/>
      </w:pPr>
      <w:r>
        <w:rPr>
          <w:rFonts w:ascii="Cambria" w:cs="Cambria" w:eastAsia="Cambria" w:hAnsi="Cambria"/>
          <w:b/>
          <w:bCs/>
          <w:color w:val="046A38"/>
          <w:sz w:val="30"/>
          <w:szCs w:val="30"/>
        </w:rPr>
        <w:t xml:space="preserve">Executive summary</w:t>
      </w:r>
    </w:p>
    <w:p>
      <w:pPr>
        <w:spacing w:after="120" w:before="0" w:line="276"/>
      </w:pPr>
      <w:r>
        <w:rPr>
          <w:rFonts w:ascii="Calibri" w:cs="Calibri" w:eastAsia="Calibri" w:hAnsi="Calibri"/>
          <w:color w:val="1A1A1A"/>
          <w:sz w:val="21"/>
          <w:szCs w:val="21"/>
        </w:rPr>
        <w:t xml:space="preserve">Findings are ordered by materiality weighted by confidence. Root causes are reported rather than the symptoms they produce, so the same money is not counted twice.</w:t>
      </w:r>
    </w:p>
    <w:p>
      <w:pPr>
        <w:pStyle w:val="ListParagraph"/>
        <w:numPr>
          <w:ilvl w:val="0"/>
          <w:numId w:val="2"/>
        </w:numPr>
        <w:spacing w:after="70" w:line="276"/>
      </w:pPr>
      <w:r>
        <w:rPr>
          <w:rFonts w:ascii="Calibri" w:cs="Calibri" w:eastAsia="Calibri" w:hAnsi="Calibri"/>
          <w:b w:val="false"/>
          <w:bCs w:val="false"/>
          <w:color w:val="1A1A1A"/>
          <w:sz w:val="21"/>
          <w:szCs w:val="21"/>
        </w:rPr>
        <w:t xml:space="preserve">Availability swings 16pp across the week — Thursday 96.4% down to Monday 80.2% — because orders are reviewed Monday and Wednesday but demand peaks Friday and Saturday. </w:t>
      </w:r>
      <w:r>
        <w:rPr>
          <w:rFonts w:ascii="Calibri" w:cs="Calibri" w:eastAsia="Calibri" w:hAnsi="Calibri"/>
          <w:b/>
          <w:bCs/>
          <w:color w:val="046A38"/>
          <w:sz w:val="21"/>
          <w:szCs w:val="21"/>
        </w:rPr>
        <w:t xml:space="preserve">AED 478k/yr</w:t>
      </w:r>
      <w:r>
        <w:rPr>
          <w:rFonts w:ascii="Calibri" w:cs="Calibri" w:eastAsia="Calibri" w:hAnsi="Calibri"/>
          <w:color w:val="5C6B73"/>
          <w:sz w:val="18"/>
          <w:szCs w:val="18"/>
        </w:rPr>
        <w:t xml:space="preserve">  ·  97% confidence  ·  root cause</w:t>
      </w:r>
    </w:p>
    <w:p>
      <w:pPr>
        <w:pStyle w:val="ListParagraph"/>
        <w:numPr>
          <w:ilvl w:val="0"/>
          <w:numId w:val="2"/>
        </w:numPr>
        <w:spacing w:after="70" w:line="276"/>
      </w:pPr>
      <w:r>
        <w:rPr>
          <w:rFonts w:ascii="Calibri" w:cs="Calibri" w:eastAsia="Calibri" w:hAnsi="Calibri"/>
          <w:b w:val="false"/>
          <w:bCs w:val="false"/>
          <w:color w:val="1A1A1A"/>
          <w:sz w:val="21"/>
          <w:szCs w:val="21"/>
        </w:rPr>
        <w:t xml:space="preserve">266 store-SKU lines have a case pack holding more days of stock than the product's own shelf life — 65% of network write-off, AED 204k a year that no store can prevent by ordering better. </w:t>
      </w:r>
      <w:r>
        <w:rPr>
          <w:rFonts w:ascii="Calibri" w:cs="Calibri" w:eastAsia="Calibri" w:hAnsi="Calibri"/>
          <w:b/>
          <w:bCs/>
          <w:color w:val="046A38"/>
          <w:sz w:val="21"/>
          <w:szCs w:val="21"/>
        </w:rPr>
        <w:t xml:space="preserve">AED 204k/yr</w:t>
      </w:r>
      <w:r>
        <w:rPr>
          <w:rFonts w:ascii="Calibri" w:cs="Calibri" w:eastAsia="Calibri" w:hAnsi="Calibri"/>
          <w:color w:val="5C6B73"/>
          <w:sz w:val="18"/>
          <w:szCs w:val="18"/>
        </w:rPr>
        <w:t xml:space="preserve">  ·  87% confidence  ·  root cause</w:t>
      </w:r>
    </w:p>
    <w:p>
      <w:pPr>
        <w:pStyle w:val="ListParagraph"/>
        <w:numPr>
          <w:ilvl w:val="0"/>
          <w:numId w:val="2"/>
        </w:numPr>
        <w:spacing w:after="70" w:line="276"/>
      </w:pPr>
      <w:r>
        <w:rPr>
          <w:rFonts w:ascii="Calibri" w:cs="Calibri" w:eastAsia="Calibri" w:hAnsi="Calibri"/>
          <w:b w:val="false"/>
          <w:bCs w:val="false"/>
          <w:color w:val="1A1A1A"/>
          <w:sz w:val="21"/>
          <w:szCs w:val="21"/>
        </w:rPr>
        <w:t xml:space="preserve">Network fill rate is 90.5% against a 97% target — closing the gap is worth AED 0.71m a year. </w:t>
      </w:r>
      <w:r>
        <w:rPr>
          <w:rFonts w:ascii="Calibri" w:cs="Calibri" w:eastAsia="Calibri" w:hAnsi="Calibri"/>
          <w:b/>
          <w:bCs/>
          <w:color w:val="046A38"/>
          <w:sz w:val="21"/>
          <w:szCs w:val="21"/>
        </w:rPr>
        <w:t xml:space="preserve">AED 708k/yr</w:t>
      </w:r>
      <w:r>
        <w:rPr>
          <w:rFonts w:ascii="Calibri" w:cs="Calibri" w:eastAsia="Calibri" w:hAnsi="Calibri"/>
          <w:color w:val="5C6B73"/>
          <w:sz w:val="18"/>
          <w:szCs w:val="18"/>
        </w:rPr>
        <w:t xml:space="preserve">  ·  97% confidence  ·  symptom of SUP-01, SUP-02, CAD-01</w:t>
      </w:r>
    </w:p>
    <w:p>
      <w:pPr>
        <w:pStyle w:val="ListParagraph"/>
        <w:numPr>
          <w:ilvl w:val="0"/>
          <w:numId w:val="2"/>
        </w:numPr>
        <w:spacing w:after="70" w:line="276"/>
      </w:pPr>
      <w:r>
        <w:rPr>
          <w:rFonts w:ascii="Calibri" w:cs="Calibri" w:eastAsia="Calibri" w:hAnsi="Calibri"/>
          <w:b w:val="false"/>
          <w:bCs w:val="false"/>
          <w:color w:val="1A1A1A"/>
          <w:sz w:val="21"/>
          <w:szCs w:val="21"/>
        </w:rPr>
        <w:t xml:space="preserve">Gulf Fresh Produce is the network's least reliable supplier — OTIF 76% against a 95% target, costing about AED 191k a year. </w:t>
      </w:r>
      <w:r>
        <w:rPr>
          <w:rFonts w:ascii="Calibri" w:cs="Calibri" w:eastAsia="Calibri" w:hAnsi="Calibri"/>
          <w:b/>
          <w:bCs/>
          <w:color w:val="046A38"/>
          <w:sz w:val="21"/>
          <w:szCs w:val="21"/>
        </w:rPr>
        <w:t xml:space="preserve">AED 191k/yr</w:t>
      </w:r>
      <w:r>
        <w:rPr>
          <w:rFonts w:ascii="Calibri" w:cs="Calibri" w:eastAsia="Calibri" w:hAnsi="Calibri"/>
          <w:color w:val="5C6B73"/>
          <w:sz w:val="18"/>
          <w:szCs w:val="18"/>
        </w:rPr>
        <w:t xml:space="preserve">  ·  98% confidence  ·  root cause</w:t>
      </w:r>
    </w:p>
    <w:p>
      <w:pPr>
        <w:pStyle w:val="ListParagraph"/>
        <w:numPr>
          <w:ilvl w:val="0"/>
          <w:numId w:val="2"/>
        </w:numPr>
        <w:spacing w:after="70" w:line="276"/>
      </w:pPr>
      <w:r>
        <w:rPr>
          <w:rFonts w:ascii="Calibri" w:cs="Calibri" w:eastAsia="Calibri" w:hAnsi="Calibri"/>
          <w:b w:val="false"/>
          <w:bCs w:val="false"/>
          <w:color w:val="1A1A1A"/>
          <w:sz w:val="21"/>
          <w:szCs w:val="21"/>
        </w:rPr>
        <w:t xml:space="preserve">The slowest 82 of 215 SKUs earn 5.0% of revenue but occupy 26% of shelf slots and account for 35% of write-off. </w:t>
      </w:r>
      <w:r>
        <w:rPr>
          <w:rFonts w:ascii="Calibri" w:cs="Calibri" w:eastAsia="Calibri" w:hAnsi="Calibri"/>
          <w:b/>
          <w:bCs/>
          <w:color w:val="046A38"/>
          <w:sz w:val="21"/>
          <w:szCs w:val="21"/>
        </w:rPr>
        <w:t xml:space="preserve">AED 154k/yr</w:t>
      </w:r>
      <w:r>
        <w:rPr>
          <w:rFonts w:ascii="Calibri" w:cs="Calibri" w:eastAsia="Calibri" w:hAnsi="Calibri"/>
          <w:color w:val="5C6B73"/>
          <w:sz w:val="18"/>
          <w:szCs w:val="18"/>
        </w:rPr>
        <w:t xml:space="preserve">  ·  93% confidence  ·  root cause</w:t>
      </w:r>
    </w:p>
    <w:p>
      <w:pPr>
        <w:pStyle w:val="ListParagraph"/>
        <w:numPr>
          <w:ilvl w:val="0"/>
          <w:numId w:val="2"/>
        </w:numPr>
        <w:spacing w:after="70" w:line="276"/>
      </w:pPr>
      <w:r>
        <w:rPr>
          <w:rFonts w:ascii="Calibri" w:cs="Calibri" w:eastAsia="Calibri" w:hAnsi="Calibri"/>
          <w:b w:val="false"/>
          <w:bCs w:val="false"/>
          <w:color w:val="1A1A1A"/>
          <w:sz w:val="21"/>
          <w:szCs w:val="21"/>
        </w:rPr>
        <w:t xml:space="preserve">Al Nahda delivers in 30 min against a network median of 20 and cancels 8.5% of orders — the constraint is fleet capacity, not stock. </w:t>
      </w:r>
      <w:r>
        <w:rPr>
          <w:rFonts w:ascii="Calibri" w:cs="Calibri" w:eastAsia="Calibri" w:hAnsi="Calibri"/>
          <w:b/>
          <w:bCs/>
          <w:color w:val="046A38"/>
          <w:sz w:val="21"/>
          <w:szCs w:val="21"/>
        </w:rPr>
        <w:t xml:space="preserve">AED 98k/yr</w:t>
      </w:r>
      <w:r>
        <w:rPr>
          <w:rFonts w:ascii="Calibri" w:cs="Calibri" w:eastAsia="Calibri" w:hAnsi="Calibri"/>
          <w:color w:val="5C6B73"/>
          <w:sz w:val="18"/>
          <w:szCs w:val="18"/>
        </w:rPr>
        <w:t xml:space="preserve">  ·  94% confidence  ·  root cause</w:t>
      </w:r>
    </w:p>
    <w:p>
      <w:pPr>
        <w:pStyle w:val="Heading1"/>
        <w:spacing w:after="150" w:before="340"/>
      </w:pPr>
      <w:r>
        <w:rPr>
          <w:rFonts w:ascii="Cambria" w:cs="Cambria" w:eastAsia="Cambria" w:hAnsi="Cambria"/>
          <w:b/>
          <w:bCs/>
          <w:color w:val="046A38"/>
          <w:sz w:val="30"/>
          <w:szCs w:val="30"/>
        </w:rPr>
        <w:t xml:space="preserve">Where the margin goes</w:t>
      </w:r>
    </w:p>
    <w:p>
      <w:pPr>
        <w:spacing w:after="140" w:before="120"/>
        <w:jc w:val="center"/>
      </w:pPr>
      <w:r>
        <w:drawing>
          <wp:inline distT="0" distB="0" distL="0" distR="0">
            <wp:extent cx="584835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3038475"/>
                    </a:xfrm>
                    <a:prstGeom prst="rect">
                      <a:avLst/>
                    </a:prstGeom>
                  </pic:spPr>
                </pic:pic>
              </a:graphicData>
            </a:graphic>
          </wp:inline>
        </w:drawing>
      </w:r>
    </w:p>
    <w:p>
      <w:pPr>
        <w:spacing w:after="200" w:before="0" w:line="276"/>
      </w:pPr>
      <w:r>
        <w:rPr>
          <w:rFonts w:ascii="Calibri" w:cs="Calibri" w:eastAsia="Calibri" w:hAnsi="Calibri"/>
          <w:i/>
          <w:iCs/>
          <w:color w:val="5C6B73"/>
          <w:sz w:val="17"/>
          <w:szCs w:val="17"/>
        </w:rPr>
        <w:t xml:space="preserve">Annualised. Fleet cost is shown as a cost of doing business rather than a leak — it is the price of the service, not a failure of it.</w:t>
      </w:r>
    </w:p>
    <w:tbl>
      <w:tblPr>
        <w:tblW w:type="dxa" w:w="9360"/>
        <w:tblBorders>
          <w:top w:val="single" w:color="DCE2E0" w:sz="1"/>
          <w:left w:val="none"/>
          <w:bottom w:val="single" w:color="DCE2E0" w:sz="1"/>
          <w:right w:val="none"/>
          <w:insideH w:val="single" w:color="DCE2E0" w:sz="1"/>
          <w:insideV w:val="none"/>
        </w:tblBorders>
      </w:tblPr>
      <w:tblGrid>
        <w:gridCol w:w="5160"/>
        <w:gridCol w:w="2400"/>
        <w:gridCol w:w="1800"/>
      </w:tblGrid>
      <w:tr>
        <w:tc>
          <w:tcPr>
            <w:tcW w:type="dxa" w:w="516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5C6B73"/>
                <w:sz w:val="17"/>
                <w:szCs w:val="17"/>
              </w:rPr>
              <w:t xml:space="preserve">Item</w:t>
            </w:r>
          </w:p>
        </w:tc>
        <w:tc>
          <w:tcPr>
            <w:tcW w:type="dxa" w:w="240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5C6B73"/>
                <w:sz w:val="17"/>
                <w:szCs w:val="17"/>
              </w:rPr>
              <w:t xml:space="preserve">Annualised</w:t>
            </w:r>
          </w:p>
        </w:tc>
        <w:tc>
          <w:tcPr>
            <w:tcW w:type="dxa" w:w="180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5C6B73"/>
                <w:sz w:val="17"/>
                <w:szCs w:val="17"/>
              </w:rPr>
              <w:t xml:space="preserve">Type</w:t>
            </w:r>
          </w:p>
        </w:tc>
      </w:tr>
      <w:tr>
        <w:tc>
          <w:tcPr>
            <w:tcW w:type="dxa" w:w="5160"/>
            <w:tcMar>
              <w:top w:type="dxa" w:w="90"/>
              <w:left w:type="dxa" w:w="110"/>
              <w:bottom w:type="dxa" w:w="90"/>
              <w:right w:type="dxa" w:w="110"/>
            </w:tcMar>
          </w:tcPr>
          <w:p>
            <w:pPr>
              <w:spacing w:after="0" w:before="0" w:line="276"/>
            </w:pPr>
            <w:r>
              <w:rPr>
                <w:rFonts w:ascii="Calibri" w:cs="Calibri" w:eastAsia="Calibri" w:hAnsi="Calibri"/>
                <w:color w:val="1A1A1A"/>
                <w:sz w:val="19"/>
                <w:szCs w:val="19"/>
              </w:rPr>
              <w:t xml:space="preserve">Gross margin</w:t>
            </w:r>
          </w:p>
        </w:tc>
        <w:tc>
          <w:tcPr>
            <w:tcW w:type="dxa" w:w="2400"/>
            <w:tcMar>
              <w:top w:type="dxa" w:w="90"/>
              <w:left w:type="dxa" w:w="110"/>
              <w:bottom w:type="dxa" w:w="90"/>
              <w:right w:type="dxa" w:w="110"/>
            </w:tcMar>
          </w:tcPr>
          <w:p>
            <w:pPr>
              <w:spacing w:after="0" w:before="0" w:line="276"/>
            </w:pPr>
            <w:r>
              <w:rPr>
                <w:rFonts w:ascii="Calibri" w:cs="Calibri" w:eastAsia="Calibri" w:hAnsi="Calibri"/>
                <w:b w:val="false"/>
                <w:bCs w:val="false"/>
                <w:color w:val="1A1A1A"/>
                <w:sz w:val="19"/>
                <w:szCs w:val="19"/>
              </w:rPr>
              <w:t xml:space="preserve">AED 7.45m</w:t>
            </w:r>
          </w:p>
        </w:tc>
        <w:tc>
          <w:tcPr>
            <w:tcW w:type="dxa" w:w="1800"/>
            <w:tcMar>
              <w:top w:type="dxa" w:w="90"/>
              <w:left w:type="dxa" w:w="110"/>
              <w:bottom w:type="dxa" w:w="90"/>
              <w:right w:type="dxa" w:w="110"/>
            </w:tcMar>
          </w:tcPr>
          <w:p>
            <w:pPr>
              <w:spacing w:after="0" w:before="0" w:line="276"/>
            </w:pPr>
            <w:r>
              <w:rPr>
                <w:rFonts w:ascii="Calibri" w:cs="Calibri" w:eastAsia="Calibri" w:hAnsi="Calibri"/>
                <w:color w:val="5C6B73"/>
                <w:sz w:val="18"/>
                <w:szCs w:val="18"/>
              </w:rPr>
              <w:t xml:space="preserve">positive</w:t>
            </w:r>
          </w:p>
        </w:tc>
      </w:tr>
      <w:tr>
        <w:tc>
          <w:tcPr>
            <w:tcW w:type="dxa" w:w="5160"/>
            <w:tcMar>
              <w:top w:type="dxa" w:w="90"/>
              <w:left w:type="dxa" w:w="110"/>
              <w:bottom w:type="dxa" w:w="90"/>
              <w:right w:type="dxa" w:w="110"/>
            </w:tcMar>
          </w:tcPr>
          <w:p>
            <w:pPr>
              <w:spacing w:after="0" w:before="0" w:line="276"/>
            </w:pPr>
            <w:r>
              <w:rPr>
                <w:rFonts w:ascii="Calibri" w:cs="Calibri" w:eastAsia="Calibri" w:hAnsi="Calibri"/>
                <w:color w:val="1A1A1A"/>
                <w:sz w:val="19"/>
                <w:szCs w:val="19"/>
              </w:rPr>
              <w:t xml:space="preserve">Lost margin — unavailability</w:t>
            </w:r>
          </w:p>
        </w:tc>
        <w:tc>
          <w:tcPr>
            <w:tcW w:type="dxa" w:w="2400"/>
            <w:tcMar>
              <w:top w:type="dxa" w:w="90"/>
              <w:left w:type="dxa" w:w="110"/>
              <w:bottom w:type="dxa" w:w="90"/>
              <w:right w:type="dxa" w:w="110"/>
            </w:tcMar>
          </w:tcPr>
          <w:p>
            <w:pPr>
              <w:spacing w:after="0" w:before="0" w:line="276"/>
            </w:pPr>
            <w:r>
              <w:rPr>
                <w:rFonts w:ascii="Calibri" w:cs="Calibri" w:eastAsia="Calibri" w:hAnsi="Calibri"/>
                <w:b w:val="false"/>
                <w:bCs w:val="false"/>
                <w:color w:val="D64545"/>
                <w:sz w:val="19"/>
                <w:szCs w:val="19"/>
              </w:rPr>
              <w:t xml:space="preserve">-AED 1.03m</w:t>
            </w:r>
          </w:p>
        </w:tc>
        <w:tc>
          <w:tcPr>
            <w:tcW w:type="dxa" w:w="1800"/>
            <w:tcMar>
              <w:top w:type="dxa" w:w="90"/>
              <w:left w:type="dxa" w:w="110"/>
              <w:bottom w:type="dxa" w:w="90"/>
              <w:right w:type="dxa" w:w="110"/>
            </w:tcMar>
          </w:tcPr>
          <w:p>
            <w:pPr>
              <w:spacing w:after="0" w:before="0" w:line="276"/>
            </w:pPr>
            <w:r>
              <w:rPr>
                <w:rFonts w:ascii="Calibri" w:cs="Calibri" w:eastAsia="Calibri" w:hAnsi="Calibri"/>
                <w:color w:val="5C6B73"/>
                <w:sz w:val="18"/>
                <w:szCs w:val="18"/>
              </w:rPr>
              <w:t xml:space="preserve">leak</w:t>
            </w:r>
          </w:p>
        </w:tc>
      </w:tr>
      <w:tr>
        <w:tc>
          <w:tcPr>
            <w:tcW w:type="dxa" w:w="5160"/>
            <w:tcMar>
              <w:top w:type="dxa" w:w="90"/>
              <w:left w:type="dxa" w:w="110"/>
              <w:bottom w:type="dxa" w:w="90"/>
              <w:right w:type="dxa" w:w="110"/>
            </w:tcMar>
          </w:tcPr>
          <w:p>
            <w:pPr>
              <w:spacing w:after="0" w:before="0" w:line="276"/>
            </w:pPr>
            <w:r>
              <w:rPr>
                <w:rFonts w:ascii="Calibri" w:cs="Calibri" w:eastAsia="Calibri" w:hAnsi="Calibri"/>
                <w:color w:val="1A1A1A"/>
                <w:sz w:val="19"/>
                <w:szCs w:val="19"/>
              </w:rPr>
              <w:t xml:space="preserve">Waste — expiry write-off</w:t>
            </w:r>
          </w:p>
        </w:tc>
        <w:tc>
          <w:tcPr>
            <w:tcW w:type="dxa" w:w="2400"/>
            <w:tcMar>
              <w:top w:type="dxa" w:w="90"/>
              <w:left w:type="dxa" w:w="110"/>
              <w:bottom w:type="dxa" w:w="90"/>
              <w:right w:type="dxa" w:w="110"/>
            </w:tcMar>
          </w:tcPr>
          <w:p>
            <w:pPr>
              <w:spacing w:after="0" w:before="0" w:line="276"/>
            </w:pPr>
            <w:r>
              <w:rPr>
                <w:rFonts w:ascii="Calibri" w:cs="Calibri" w:eastAsia="Calibri" w:hAnsi="Calibri"/>
                <w:b w:val="false"/>
                <w:bCs w:val="false"/>
                <w:color w:val="D64545"/>
                <w:sz w:val="19"/>
                <w:szCs w:val="19"/>
              </w:rPr>
              <w:t xml:space="preserve">-AED 524k</w:t>
            </w:r>
          </w:p>
        </w:tc>
        <w:tc>
          <w:tcPr>
            <w:tcW w:type="dxa" w:w="1800"/>
            <w:tcMar>
              <w:top w:type="dxa" w:w="90"/>
              <w:left w:type="dxa" w:w="110"/>
              <w:bottom w:type="dxa" w:w="90"/>
              <w:right w:type="dxa" w:w="110"/>
            </w:tcMar>
          </w:tcPr>
          <w:p>
            <w:pPr>
              <w:spacing w:after="0" w:before="0" w:line="276"/>
            </w:pPr>
            <w:r>
              <w:rPr>
                <w:rFonts w:ascii="Calibri" w:cs="Calibri" w:eastAsia="Calibri" w:hAnsi="Calibri"/>
                <w:color w:val="5C6B73"/>
                <w:sz w:val="18"/>
                <w:szCs w:val="18"/>
              </w:rPr>
              <w:t xml:space="preserve">leak</w:t>
            </w:r>
          </w:p>
        </w:tc>
      </w:tr>
      <w:tr>
        <w:tc>
          <w:tcPr>
            <w:tcW w:type="dxa" w:w="5160"/>
            <w:tcMar>
              <w:top w:type="dxa" w:w="90"/>
              <w:left w:type="dxa" w:w="110"/>
              <w:bottom w:type="dxa" w:w="90"/>
              <w:right w:type="dxa" w:w="110"/>
            </w:tcMar>
          </w:tcPr>
          <w:p>
            <w:pPr>
              <w:spacing w:after="0" w:before="0" w:line="276"/>
            </w:pPr>
            <w:r>
              <w:rPr>
                <w:rFonts w:ascii="Calibri" w:cs="Calibri" w:eastAsia="Calibri" w:hAnsi="Calibri"/>
                <w:color w:val="1A1A1A"/>
                <w:sz w:val="19"/>
                <w:szCs w:val="19"/>
              </w:rPr>
              <w:t xml:space="preserve">Cancelled-order cost</w:t>
            </w:r>
          </w:p>
        </w:tc>
        <w:tc>
          <w:tcPr>
            <w:tcW w:type="dxa" w:w="2400"/>
            <w:tcMar>
              <w:top w:type="dxa" w:w="90"/>
              <w:left w:type="dxa" w:w="110"/>
              <w:bottom w:type="dxa" w:w="90"/>
              <w:right w:type="dxa" w:w="110"/>
            </w:tcMar>
          </w:tcPr>
          <w:p>
            <w:pPr>
              <w:spacing w:after="0" w:before="0" w:line="276"/>
            </w:pPr>
            <w:r>
              <w:rPr>
                <w:rFonts w:ascii="Calibri" w:cs="Calibri" w:eastAsia="Calibri" w:hAnsi="Calibri"/>
                <w:b w:val="false"/>
                <w:bCs w:val="false"/>
                <w:color w:val="D64545"/>
                <w:sz w:val="19"/>
                <w:szCs w:val="19"/>
              </w:rPr>
              <w:t xml:space="preserve">-AED 119k</w:t>
            </w:r>
          </w:p>
        </w:tc>
        <w:tc>
          <w:tcPr>
            <w:tcW w:type="dxa" w:w="1800"/>
            <w:tcMar>
              <w:top w:type="dxa" w:w="90"/>
              <w:left w:type="dxa" w:w="110"/>
              <w:bottom w:type="dxa" w:w="90"/>
              <w:right w:type="dxa" w:w="110"/>
            </w:tcMar>
          </w:tcPr>
          <w:p>
            <w:pPr>
              <w:spacing w:after="0" w:before="0" w:line="276"/>
            </w:pPr>
            <w:r>
              <w:rPr>
                <w:rFonts w:ascii="Calibri" w:cs="Calibri" w:eastAsia="Calibri" w:hAnsi="Calibri"/>
                <w:color w:val="5C6B73"/>
                <w:sz w:val="18"/>
                <w:szCs w:val="18"/>
              </w:rPr>
              <w:t xml:space="preserve">leak</w:t>
            </w:r>
          </w:p>
        </w:tc>
      </w:tr>
      <w:tr>
        <w:tc>
          <w:tcPr>
            <w:tcW w:type="dxa" w:w="5160"/>
            <w:tcMar>
              <w:top w:type="dxa" w:w="90"/>
              <w:left w:type="dxa" w:w="110"/>
              <w:bottom w:type="dxa" w:w="90"/>
              <w:right w:type="dxa" w:w="110"/>
            </w:tcMar>
          </w:tcPr>
          <w:p>
            <w:pPr>
              <w:spacing w:after="0" w:before="0" w:line="276"/>
            </w:pPr>
            <w:r>
              <w:rPr>
                <w:rFonts w:ascii="Calibri" w:cs="Calibri" w:eastAsia="Calibri" w:hAnsi="Calibri"/>
                <w:color w:val="1A1A1A"/>
                <w:sz w:val="19"/>
                <w:szCs w:val="19"/>
              </w:rPr>
              <w:t xml:space="preserve">Supplier short-shipment cost</w:t>
            </w:r>
          </w:p>
        </w:tc>
        <w:tc>
          <w:tcPr>
            <w:tcW w:type="dxa" w:w="2400"/>
            <w:tcMar>
              <w:top w:type="dxa" w:w="90"/>
              <w:left w:type="dxa" w:w="110"/>
              <w:bottom w:type="dxa" w:w="90"/>
              <w:right w:type="dxa" w:w="110"/>
            </w:tcMar>
          </w:tcPr>
          <w:p>
            <w:pPr>
              <w:spacing w:after="0" w:before="0" w:line="276"/>
            </w:pPr>
            <w:r>
              <w:rPr>
                <w:rFonts w:ascii="Calibri" w:cs="Calibri" w:eastAsia="Calibri" w:hAnsi="Calibri"/>
                <w:b w:val="false"/>
                <w:bCs w:val="false"/>
                <w:color w:val="D64545"/>
                <w:sz w:val="19"/>
                <w:szCs w:val="19"/>
              </w:rPr>
              <w:t xml:space="preserve">-AED 164k</w:t>
            </w:r>
          </w:p>
        </w:tc>
        <w:tc>
          <w:tcPr>
            <w:tcW w:type="dxa" w:w="1800"/>
            <w:tcMar>
              <w:top w:type="dxa" w:w="90"/>
              <w:left w:type="dxa" w:w="110"/>
              <w:bottom w:type="dxa" w:w="90"/>
              <w:right w:type="dxa" w:w="110"/>
            </w:tcMar>
          </w:tcPr>
          <w:p>
            <w:pPr>
              <w:spacing w:after="0" w:before="0" w:line="276"/>
            </w:pPr>
            <w:r>
              <w:rPr>
                <w:rFonts w:ascii="Calibri" w:cs="Calibri" w:eastAsia="Calibri" w:hAnsi="Calibri"/>
                <w:color w:val="5C6B73"/>
                <w:sz w:val="18"/>
                <w:szCs w:val="18"/>
              </w:rPr>
              <w:t xml:space="preserve">leak</w:t>
            </w:r>
          </w:p>
        </w:tc>
      </w:tr>
      <w:tr>
        <w:tc>
          <w:tcPr>
            <w:tcW w:type="dxa" w:w="5160"/>
            <w:tcMar>
              <w:top w:type="dxa" w:w="90"/>
              <w:left w:type="dxa" w:w="110"/>
              <w:bottom w:type="dxa" w:w="90"/>
              <w:right w:type="dxa" w:w="110"/>
            </w:tcMar>
          </w:tcPr>
          <w:p>
            <w:pPr>
              <w:spacing w:after="0" w:before="0" w:line="276"/>
            </w:pPr>
            <w:r>
              <w:rPr>
                <w:rFonts w:ascii="Calibri" w:cs="Calibri" w:eastAsia="Calibri" w:hAnsi="Calibri"/>
                <w:color w:val="1A1A1A"/>
                <w:sz w:val="19"/>
                <w:szCs w:val="19"/>
              </w:rPr>
              <w:t xml:space="preserve">Inventory holding cost</w:t>
            </w:r>
          </w:p>
        </w:tc>
        <w:tc>
          <w:tcPr>
            <w:tcW w:type="dxa" w:w="2400"/>
            <w:tcMar>
              <w:top w:type="dxa" w:w="90"/>
              <w:left w:type="dxa" w:w="110"/>
              <w:bottom w:type="dxa" w:w="90"/>
              <w:right w:type="dxa" w:w="110"/>
            </w:tcMar>
          </w:tcPr>
          <w:p>
            <w:pPr>
              <w:spacing w:after="0" w:before="0" w:line="276"/>
            </w:pPr>
            <w:r>
              <w:rPr>
                <w:rFonts w:ascii="Calibri" w:cs="Calibri" w:eastAsia="Calibri" w:hAnsi="Calibri"/>
                <w:b w:val="false"/>
                <w:bCs w:val="false"/>
                <w:color w:val="D64545"/>
                <w:sz w:val="19"/>
                <w:szCs w:val="19"/>
              </w:rPr>
              <w:t xml:space="preserve">-AED 71k</w:t>
            </w:r>
          </w:p>
        </w:tc>
        <w:tc>
          <w:tcPr>
            <w:tcW w:type="dxa" w:w="1800"/>
            <w:tcMar>
              <w:top w:type="dxa" w:w="90"/>
              <w:left w:type="dxa" w:w="110"/>
              <w:bottom w:type="dxa" w:w="90"/>
              <w:right w:type="dxa" w:w="110"/>
            </w:tcMar>
          </w:tcPr>
          <w:p>
            <w:pPr>
              <w:spacing w:after="0" w:before="0" w:line="276"/>
            </w:pPr>
            <w:r>
              <w:rPr>
                <w:rFonts w:ascii="Calibri" w:cs="Calibri" w:eastAsia="Calibri" w:hAnsi="Calibri"/>
                <w:color w:val="5C6B73"/>
                <w:sz w:val="18"/>
                <w:szCs w:val="18"/>
              </w:rPr>
              <w:t xml:space="preserve">leak</w:t>
            </w:r>
          </w:p>
        </w:tc>
      </w:tr>
      <w:tr>
        <w:tc>
          <w:tcPr>
            <w:tcW w:type="dxa" w:w="5160"/>
            <w:tcMar>
              <w:top w:type="dxa" w:w="90"/>
              <w:left w:type="dxa" w:w="110"/>
              <w:bottom w:type="dxa" w:w="90"/>
              <w:right w:type="dxa" w:w="110"/>
            </w:tcMar>
          </w:tcPr>
          <w:p>
            <w:pPr>
              <w:spacing w:after="0" w:before="0" w:line="276"/>
            </w:pPr>
            <w:r>
              <w:rPr>
                <w:rFonts w:ascii="Calibri" w:cs="Calibri" w:eastAsia="Calibri" w:hAnsi="Calibri"/>
                <w:color w:val="1A1A1A"/>
                <w:sz w:val="19"/>
                <w:szCs w:val="19"/>
              </w:rPr>
              <w:t xml:space="preserve">Fleet cost</w:t>
            </w:r>
          </w:p>
        </w:tc>
        <w:tc>
          <w:tcPr>
            <w:tcW w:type="dxa" w:w="2400"/>
            <w:tcMar>
              <w:top w:type="dxa" w:w="90"/>
              <w:left w:type="dxa" w:w="110"/>
              <w:bottom w:type="dxa" w:w="90"/>
              <w:right w:type="dxa" w:w="110"/>
            </w:tcMar>
          </w:tcPr>
          <w:p>
            <w:pPr>
              <w:spacing w:after="0" w:before="0" w:line="276"/>
            </w:pPr>
            <w:r>
              <w:rPr>
                <w:rFonts w:ascii="Calibri" w:cs="Calibri" w:eastAsia="Calibri" w:hAnsi="Calibri"/>
                <w:b w:val="false"/>
                <w:bCs w:val="false"/>
                <w:color w:val="1A1A1A"/>
                <w:sz w:val="19"/>
                <w:szCs w:val="19"/>
              </w:rPr>
              <w:t xml:space="preserve">-AED 3.16m</w:t>
            </w:r>
          </w:p>
        </w:tc>
        <w:tc>
          <w:tcPr>
            <w:tcW w:type="dxa" w:w="1800"/>
            <w:tcMar>
              <w:top w:type="dxa" w:w="90"/>
              <w:left w:type="dxa" w:w="110"/>
              <w:bottom w:type="dxa" w:w="90"/>
              <w:right w:type="dxa" w:w="110"/>
            </w:tcMar>
          </w:tcPr>
          <w:p>
            <w:pPr>
              <w:spacing w:after="0" w:before="0" w:line="276"/>
            </w:pPr>
            <w:r>
              <w:rPr>
                <w:rFonts w:ascii="Calibri" w:cs="Calibri" w:eastAsia="Calibri" w:hAnsi="Calibri"/>
                <w:color w:val="5C6B73"/>
                <w:sz w:val="18"/>
                <w:szCs w:val="18"/>
              </w:rPr>
              <w:t xml:space="preserve">cost</w:t>
            </w:r>
          </w:p>
        </w:tc>
      </w:tr>
      <w:tr>
        <w:tc>
          <w:tcPr>
            <w:tcW w:type="dxa" w:w="5160"/>
            <w:tcMar>
              <w:top w:type="dxa" w:w="90"/>
              <w:left w:type="dxa" w:w="110"/>
              <w:bottom w:type="dxa" w:w="90"/>
              <w:right w:type="dxa" w:w="110"/>
            </w:tcMar>
          </w:tcPr>
          <w:p>
            <w:pPr>
              <w:spacing w:after="0" w:before="0" w:line="276"/>
            </w:pPr>
            <w:r>
              <w:rPr>
                <w:rFonts w:ascii="Calibri" w:cs="Calibri" w:eastAsia="Calibri" w:hAnsi="Calibri"/>
                <w:color w:val="1A1A1A"/>
                <w:sz w:val="19"/>
                <w:szCs w:val="19"/>
              </w:rPr>
              <w:t xml:space="preserve">Net contribution</w:t>
            </w:r>
          </w:p>
        </w:tc>
        <w:tc>
          <w:tcPr>
            <w:tcW w:type="dxa" w:w="2400"/>
            <w:tcMar>
              <w:top w:type="dxa" w:w="90"/>
              <w:left w:type="dxa" w:w="110"/>
              <w:bottom w:type="dxa" w:w="90"/>
              <w:right w:type="dxa" w:w="110"/>
            </w:tcMar>
          </w:tcPr>
          <w:p>
            <w:pPr>
              <w:spacing w:after="0" w:before="0" w:line="276"/>
            </w:pPr>
            <w:r>
              <w:rPr>
                <w:rFonts w:ascii="Calibri" w:cs="Calibri" w:eastAsia="Calibri" w:hAnsi="Calibri"/>
                <w:b/>
                <w:bCs/>
                <w:color w:val="1A1A1A"/>
                <w:sz w:val="19"/>
                <w:szCs w:val="19"/>
              </w:rPr>
              <w:t xml:space="preserve">AED 2.37m</w:t>
            </w:r>
          </w:p>
        </w:tc>
        <w:tc>
          <w:tcPr>
            <w:tcW w:type="dxa" w:w="1800"/>
            <w:tcMar>
              <w:top w:type="dxa" w:w="90"/>
              <w:left w:type="dxa" w:w="110"/>
              <w:bottom w:type="dxa" w:w="90"/>
              <w:right w:type="dxa" w:w="110"/>
            </w:tcMar>
          </w:tcPr>
          <w:p>
            <w:pPr>
              <w:spacing w:after="0" w:before="0" w:line="276"/>
            </w:pPr>
            <w:r>
              <w:rPr>
                <w:rFonts w:ascii="Calibri" w:cs="Calibri" w:eastAsia="Calibri" w:hAnsi="Calibri"/>
                <w:color w:val="5C6B73"/>
                <w:sz w:val="18"/>
                <w:szCs w:val="18"/>
              </w:rPr>
              <w:t xml:space="preserve">net</w:t>
            </w:r>
          </w:p>
        </w:tc>
      </w:tr>
    </w:tbl>
    <w:p>
      <w:r>
        <w:br w:type="page"/>
      </w:r>
    </w:p>
    <w:p>
      <w:pPr>
        <w:pStyle w:val="Heading1"/>
        <w:spacing w:after="150" w:before="340"/>
      </w:pPr>
      <w:r>
        <w:rPr>
          <w:rFonts w:ascii="Cambria" w:cs="Cambria" w:eastAsia="Cambria" w:hAnsi="Cambria"/>
          <w:b/>
          <w:bCs/>
          <w:color w:val="046A38"/>
          <w:sz w:val="30"/>
          <w:szCs w:val="30"/>
        </w:rPr>
        <w:t xml:space="preserve">What is actually going wrong</w:t>
      </w:r>
    </w:p>
    <w:p>
      <w:pPr>
        <w:pStyle w:val="Heading2"/>
        <w:spacing w:after="110" w:before="240"/>
      </w:pPr>
      <w:r>
        <w:rPr>
          <w:rFonts w:ascii="Cambria" w:cs="Cambria" w:eastAsia="Cambria" w:hAnsi="Cambria"/>
          <w:b/>
          <w:bCs/>
          <w:color w:val="1A1A1A"/>
          <w:sz w:val="24"/>
          <w:szCs w:val="24"/>
        </w:rPr>
        <w:t xml:space="preserve">Availability swings 16pp across the week — Thursday 96.4% down to Monday 80.2% — because orders are reviewed Monday and Wednesday but demand peaks Friday and Saturday</w:t>
      </w:r>
    </w:p>
    <w:p>
      <w:pPr>
        <w:spacing w:after="120" w:before="0" w:line="276"/>
      </w:pPr>
      <w:r>
        <w:rPr>
          <w:rFonts w:ascii="Calibri" w:cs="Calibri" w:eastAsia="Calibri" w:hAnsi="Calibri"/>
          <w:color w:val="1A1A1A"/>
          <w:sz w:val="21"/>
          <w:szCs w:val="21"/>
        </w:rPr>
        <w:t xml:space="preserve">Worth </w:t>
      </w:r>
      <w:r>
        <w:rPr>
          <w:rFonts w:ascii="Calibri" w:cs="Calibri" w:eastAsia="Calibri" w:hAnsi="Calibri"/>
          <w:b/>
          <w:bCs/>
          <w:color w:val="046A38"/>
          <w:sz w:val="21"/>
          <w:szCs w:val="21"/>
        </w:rPr>
        <w:t xml:space="preserve">AED 478k a year</w:t>
      </w:r>
      <w:r>
        <w:rPr>
          <w:rFonts w:ascii="Calibri" w:cs="Calibri" w:eastAsia="Calibri" w:hAnsi="Calibri"/>
          <w:color w:val="5C6B73"/>
          <w:sz w:val="21"/>
          <w:szCs w:val="21"/>
        </w:rPr>
        <w:t xml:space="preserve"> (range AED 354k to AED 598k)</w:t>
      </w:r>
      <w:r>
        <w:rPr>
          <w:rFonts w:ascii="Calibri" w:cs="Calibri" w:eastAsia="Calibri" w:hAnsi="Calibri"/>
          <w:color w:val="1A1A1A"/>
          <w:sz w:val="21"/>
          <w:szCs w:val="21"/>
        </w:rPr>
        <w:t xml:space="preserve">, at 97% confidence.</w:t>
      </w:r>
    </w:p>
    <w:p>
      <w:pPr>
        <w:spacing w:after="60" w:before="0" w:line="276"/>
      </w:pPr>
      <w:r>
        <w:rPr>
          <w:rFonts w:ascii="Calibri" w:cs="Calibri" w:eastAsia="Calibri" w:hAnsi="Calibri"/>
          <w:b/>
          <w:bCs/>
          <w:color w:val="1A1A1A"/>
          <w:sz w:val="20"/>
          <w:szCs w:val="20"/>
        </w:rPr>
        <w:t xml:space="preserve">Evidence</w:t>
      </w:r>
    </w:p>
    <w:p>
      <w:pPr>
        <w:pStyle w:val="ListParagraph"/>
        <w:numPr>
          <w:ilvl w:val="0"/>
          <w:numId w:val="2"/>
        </w:numPr>
        <w:spacing w:after="70" w:line="276"/>
      </w:pPr>
      <w:r>
        <w:rPr>
          <w:rFonts w:ascii="Calibri" w:cs="Calibri" w:eastAsia="Calibri" w:hAnsi="Calibri"/>
          <w:color w:val="1A1A1A"/>
          <w:sz w:val="21"/>
          <w:szCs w:val="21"/>
        </w:rPr>
        <w:t xml:space="preserve">Best day: </w:t>
      </w:r>
      <w:r>
        <w:rPr>
          <w:rFonts w:ascii="Calibri" w:cs="Calibri" w:eastAsia="Calibri" w:hAnsi="Calibri"/>
          <w:b/>
          <w:bCs/>
          <w:color w:val="1A1A1A"/>
          <w:sz w:val="21"/>
          <w:szCs w:val="21"/>
        </w:rPr>
        <w:t xml:space="preserve">Thursday 96.4%</w:t>
      </w:r>
      <w:r>
        <w:rPr>
          <w:rFonts w:ascii="Calibri" w:cs="Calibri" w:eastAsia="Calibri" w:hAnsi="Calibri"/>
          <w:color w:val="5C6B73"/>
          <w:sz w:val="18"/>
          <w:szCs w:val="18"/>
        </w:rPr>
        <w:t xml:space="preserve"/>
      </w:r>
    </w:p>
    <w:p>
      <w:pPr>
        <w:pStyle w:val="ListParagraph"/>
        <w:numPr>
          <w:ilvl w:val="0"/>
          <w:numId w:val="2"/>
        </w:numPr>
        <w:spacing w:after="70" w:line="276"/>
      </w:pPr>
      <w:r>
        <w:rPr>
          <w:rFonts w:ascii="Calibri" w:cs="Calibri" w:eastAsia="Calibri" w:hAnsi="Calibri"/>
          <w:color w:val="1A1A1A"/>
          <w:sz w:val="21"/>
          <w:szCs w:val="21"/>
        </w:rPr>
        <w:t xml:space="preserve">Worst day: </w:t>
      </w:r>
      <w:r>
        <w:rPr>
          <w:rFonts w:ascii="Calibri" w:cs="Calibri" w:eastAsia="Calibri" w:hAnsi="Calibri"/>
          <w:b/>
          <w:bCs/>
          <w:color w:val="1A1A1A"/>
          <w:sz w:val="21"/>
          <w:szCs w:val="21"/>
        </w:rPr>
        <w:t xml:space="preserve">Monday 80.2%</w:t>
      </w:r>
      <w:r>
        <w:rPr>
          <w:rFonts w:ascii="Calibri" w:cs="Calibri" w:eastAsia="Calibri" w:hAnsi="Calibri"/>
          <w:color w:val="5C6B73"/>
          <w:sz w:val="18"/>
          <w:szCs w:val="18"/>
        </w:rPr>
        <w:t xml:space="preserve"/>
      </w:r>
    </w:p>
    <w:p>
      <w:pPr>
        <w:pStyle w:val="ListParagraph"/>
        <w:numPr>
          <w:ilvl w:val="0"/>
          <w:numId w:val="2"/>
        </w:numPr>
        <w:spacing w:after="70" w:line="276"/>
      </w:pPr>
      <w:r>
        <w:rPr>
          <w:rFonts w:ascii="Calibri" w:cs="Calibri" w:eastAsia="Calibri" w:hAnsi="Calibri"/>
          <w:color w:val="1A1A1A"/>
          <w:sz w:val="21"/>
          <w:szCs w:val="21"/>
        </w:rPr>
        <w:t xml:space="preserve">Replenishment reviewed on: </w:t>
      </w:r>
      <w:r>
        <w:rPr>
          <w:rFonts w:ascii="Calibri" w:cs="Calibri" w:eastAsia="Calibri" w:hAnsi="Calibri"/>
          <w:b/>
          <w:bCs/>
          <w:color w:val="1A1A1A"/>
          <w:sz w:val="21"/>
          <w:szCs w:val="21"/>
        </w:rPr>
        <w:t xml:space="preserve">Monday, Wednesday</w:t>
      </w:r>
      <w:r>
        <w:rPr>
          <w:rFonts w:ascii="Calibri" w:cs="Calibri" w:eastAsia="Calibri" w:hAnsi="Calibri"/>
          <w:color w:val="5C6B73"/>
          <w:sz w:val="18"/>
          <w:szCs w:val="18"/>
        </w:rPr>
        <w:t xml:space="preserve"/>
      </w:r>
    </w:p>
    <w:p>
      <w:pPr>
        <w:pStyle w:val="ListParagraph"/>
        <w:numPr>
          <w:ilvl w:val="0"/>
          <w:numId w:val="2"/>
        </w:numPr>
        <w:spacing w:after="70" w:line="276"/>
      </w:pPr>
      <w:r>
        <w:rPr>
          <w:rFonts w:ascii="Calibri" w:cs="Calibri" w:eastAsia="Calibri" w:hAnsi="Calibri"/>
          <w:color w:val="1A1A1A"/>
          <w:sz w:val="21"/>
          <w:szCs w:val="21"/>
        </w:rPr>
        <w:t xml:space="preserve">Demand peaks on: </w:t>
      </w:r>
      <w:r>
        <w:rPr>
          <w:rFonts w:ascii="Calibri" w:cs="Calibri" w:eastAsia="Calibri" w:hAnsi="Calibri"/>
          <w:b/>
          <w:bCs/>
          <w:color w:val="1A1A1A"/>
          <w:sz w:val="21"/>
          <w:szCs w:val="21"/>
        </w:rPr>
        <w:t xml:space="preserve">Friday, Saturday</w:t>
      </w:r>
      <w:r>
        <w:rPr>
          <w:rFonts w:ascii="Calibri" w:cs="Calibri" w:eastAsia="Calibri" w:hAnsi="Calibri"/>
          <w:color w:val="5C6B73"/>
          <w:sz w:val="18"/>
          <w:szCs w:val="18"/>
        </w:rPr>
        <w:t xml:space="preserve"/>
      </w:r>
    </w:p>
    <w:p>
      <w:pPr>
        <w:pStyle w:val="ListParagraph"/>
        <w:numPr>
          <w:ilvl w:val="0"/>
          <w:numId w:val="2"/>
        </w:numPr>
        <w:spacing w:after="70" w:line="276"/>
      </w:pPr>
      <w:r>
        <w:rPr>
          <w:rFonts w:ascii="Calibri" w:cs="Calibri" w:eastAsia="Calibri" w:hAnsi="Calibri"/>
          <w:color w:val="1A1A1A"/>
          <w:sz w:val="21"/>
          <w:szCs w:val="21"/>
        </w:rPr>
        <w:t xml:space="preserve">Weekend demand vs review-day demand: </w:t>
      </w:r>
      <w:r>
        <w:rPr>
          <w:rFonts w:ascii="Calibri" w:cs="Calibri" w:eastAsia="Calibri" w:hAnsi="Calibri"/>
          <w:b/>
          <w:bCs/>
          <w:color w:val="1A1A1A"/>
          <w:sz w:val="21"/>
          <w:szCs w:val="21"/>
        </w:rPr>
        <w:t xml:space="preserve">1.33 x</w:t>
      </w:r>
      <w:r>
        <w:rPr>
          <w:rFonts w:ascii="Calibri" w:cs="Calibri" w:eastAsia="Calibri" w:hAnsi="Calibri"/>
          <w:color w:val="5C6B73"/>
          <w:sz w:val="18"/>
          <w:szCs w:val="18"/>
        </w:rPr>
        <w:t xml:space="preserve">  (vs order quantities are sized on review-day demand)</w:t>
      </w:r>
    </w:p>
    <w:p>
      <w:pPr>
        <w:pStyle w:val="ListParagraph"/>
        <w:numPr>
          <w:ilvl w:val="0"/>
          <w:numId w:val="2"/>
        </w:numPr>
        <w:spacing w:after="70" w:line="276"/>
      </w:pPr>
      <w:r>
        <w:rPr>
          <w:rFonts w:ascii="Calibri" w:cs="Calibri" w:eastAsia="Calibri" w:hAnsi="Calibri"/>
          <w:color w:val="1A1A1A"/>
          <w:sz w:val="21"/>
          <w:szCs w:val="21"/>
        </w:rPr>
        <w:t xml:space="preserve">Spread: </w:t>
      </w:r>
      <w:r>
        <w:rPr>
          <w:rFonts w:ascii="Calibri" w:cs="Calibri" w:eastAsia="Calibri" w:hAnsi="Calibri"/>
          <w:b/>
          <w:bCs/>
          <w:color w:val="1A1A1A"/>
          <w:sz w:val="21"/>
          <w:szCs w:val="21"/>
        </w:rPr>
        <w:t xml:space="preserve">16.2%</w:t>
      </w:r>
      <w:r>
        <w:rPr>
          <w:rFonts w:ascii="Calibri" w:cs="Calibri" w:eastAsia="Calibri" w:hAnsi="Calibri"/>
          <w:color w:val="5C6B73"/>
          <w:sz w:val="18"/>
          <w:szCs w:val="18"/>
        </w:rPr>
        <w:t xml:space="preserve">  (vs materiality threshold 4pp)</w:t>
      </w:r>
    </w:p>
    <w:p>
      <w:pPr>
        <w:spacing w:after="80" w:before="0" w:line="276"/>
      </w:pPr>
      <w:r>
        <w:rPr>
          <w:rFonts w:ascii="Calibri" w:cs="Calibri" w:eastAsia="Calibri" w:hAnsi="Calibri"/>
          <w:b/>
          <w:bCs/>
          <w:color w:val="1A1A1A"/>
          <w:sz w:val="19"/>
          <w:szCs w:val="19"/>
        </w:rPr>
        <w:t xml:space="preserve">How the number was derived. </w:t>
      </w:r>
      <w:r>
        <w:rPr>
          <w:rFonts w:ascii="Calibri" w:cs="Calibri" w:eastAsia="Calibri" w:hAnsi="Calibri"/>
          <w:color w:val="5C6B73"/>
          <w:sz w:val="19"/>
          <w:szCs w:val="19"/>
        </w:rPr>
        <w:t xml:space="preserve">For every weekday below the weekly mean fill rate, the share of lost margin that would have been recovered at the best day's fill rate (96.4%), summed, penalised and annualised.</w:t>
      </w:r>
    </w:p>
    <w:p>
      <w:pPr>
        <w:spacing w:after="160" w:before="0" w:line="276"/>
      </w:pPr>
      <w:r>
        <w:rPr>
          <w:rFonts w:ascii="Calibri" w:cs="Calibri" w:eastAsia="Calibri" w:hAnsi="Calibri"/>
          <w:b/>
          <w:bCs/>
          <w:color w:val="1A1A1A"/>
          <w:sz w:val="19"/>
          <w:szCs w:val="19"/>
        </w:rPr>
        <w:t xml:space="preserve">Method. </w:t>
      </w:r>
      <w:r>
        <w:rPr>
          <w:rFonts w:ascii="Calibri" w:cs="Calibri" w:eastAsia="Calibri" w:hAnsi="Calibri"/>
          <w:color w:val="5C6B73"/>
          <w:sz w:val="19"/>
          <w:szCs w:val="19"/>
        </w:rPr>
        <w:t xml:space="preserve">Day-of-week fill rate profile against the replenishment review calendar and the demand profile; two-proportion z-test on best vs worst day</w:t>
      </w:r>
    </w:p>
    <w:p>
      <w:pPr>
        <w:spacing w:after="140" w:before="120"/>
        <w:jc w:val="center"/>
      </w:pPr>
      <w:r>
        <w:drawing>
          <wp:inline distT="0" distB="0" distL="0" distR="0">
            <wp:extent cx="54864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857500"/>
                    </a:xfrm>
                    <a:prstGeom prst="rect">
                      <a:avLst/>
                    </a:prstGeom>
                  </pic:spPr>
                </pic:pic>
              </a:graphicData>
            </a:graphic>
          </wp:inline>
        </w:drawing>
      </w:r>
    </w:p>
    <w:p>
      <w:pPr>
        <w:pStyle w:val="Heading2"/>
        <w:spacing w:after="110" w:before="240"/>
      </w:pPr>
      <w:r>
        <w:rPr>
          <w:rFonts w:ascii="Cambria" w:cs="Cambria" w:eastAsia="Cambria" w:hAnsi="Cambria"/>
          <w:b/>
          <w:bCs/>
          <w:color w:val="1A1A1A"/>
          <w:sz w:val="24"/>
          <w:szCs w:val="24"/>
        </w:rPr>
        <w:t xml:space="preserve">266 store-SKU lines have a case pack holding more days of stock than the product's own shelf life — 65% of network write-off, AED 204k a year that no store can prevent by ordering better</w:t>
      </w:r>
    </w:p>
    <w:p>
      <w:pPr>
        <w:spacing w:after="120" w:before="0" w:line="276"/>
      </w:pPr>
      <w:r>
        <w:rPr>
          <w:rFonts w:ascii="Calibri" w:cs="Calibri" w:eastAsia="Calibri" w:hAnsi="Calibri"/>
          <w:color w:val="1A1A1A"/>
          <w:sz w:val="21"/>
          <w:szCs w:val="21"/>
        </w:rPr>
        <w:t xml:space="preserve">Worth </w:t>
      </w:r>
      <w:r>
        <w:rPr>
          <w:rFonts w:ascii="Calibri" w:cs="Calibri" w:eastAsia="Calibri" w:hAnsi="Calibri"/>
          <w:b/>
          <w:bCs/>
          <w:color w:val="046A38"/>
          <w:sz w:val="21"/>
          <w:szCs w:val="21"/>
        </w:rPr>
        <w:t xml:space="preserve">AED 204k a year</w:t>
      </w:r>
      <w:r>
        <w:rPr>
          <w:rFonts w:ascii="Calibri" w:cs="Calibri" w:eastAsia="Calibri" w:hAnsi="Calibri"/>
          <w:color w:val="5C6B73"/>
          <w:sz w:val="21"/>
          <w:szCs w:val="21"/>
        </w:rPr>
        <w:t xml:space="preserve"> (range AED 119k to AED 289k)</w:t>
      </w:r>
      <w:r>
        <w:rPr>
          <w:rFonts w:ascii="Calibri" w:cs="Calibri" w:eastAsia="Calibri" w:hAnsi="Calibri"/>
          <w:color w:val="1A1A1A"/>
          <w:sz w:val="21"/>
          <w:szCs w:val="21"/>
        </w:rPr>
        <w:t xml:space="preserve">, at 87% confidence.</w:t>
      </w:r>
    </w:p>
    <w:p>
      <w:pPr>
        <w:spacing w:after="60" w:before="0" w:line="276"/>
      </w:pPr>
      <w:r>
        <w:rPr>
          <w:rFonts w:ascii="Calibri" w:cs="Calibri" w:eastAsia="Calibri" w:hAnsi="Calibri"/>
          <w:b/>
          <w:bCs/>
          <w:color w:val="1A1A1A"/>
          <w:sz w:val="20"/>
          <w:szCs w:val="20"/>
        </w:rPr>
        <w:t xml:space="preserve">Evidence</w:t>
      </w:r>
    </w:p>
    <w:p>
      <w:pPr>
        <w:pStyle w:val="ListParagraph"/>
        <w:numPr>
          <w:ilvl w:val="0"/>
          <w:numId w:val="2"/>
        </w:numPr>
        <w:spacing w:after="70" w:line="276"/>
      </w:pPr>
      <w:r>
        <w:rPr>
          <w:rFonts w:ascii="Calibri" w:cs="Calibri" w:eastAsia="Calibri" w:hAnsi="Calibri"/>
          <w:color w:val="1A1A1A"/>
          <w:sz w:val="21"/>
          <w:szCs w:val="21"/>
        </w:rPr>
        <w:t xml:space="preserve">Store-SKU lines affected: </w:t>
      </w:r>
      <w:r>
        <w:rPr>
          <w:rFonts w:ascii="Calibri" w:cs="Calibri" w:eastAsia="Calibri" w:hAnsi="Calibri"/>
          <w:b/>
          <w:bCs/>
          <w:color w:val="1A1A1A"/>
          <w:sz w:val="21"/>
          <w:szCs w:val="21"/>
        </w:rPr>
        <w:t xml:space="preserve">266</w:t>
      </w:r>
      <w:r>
        <w:rPr>
          <w:rFonts w:ascii="Calibri" w:cs="Calibri" w:eastAsia="Calibri" w:hAnsi="Calibri"/>
          <w:color w:val="5C6B73"/>
          <w:sz w:val="18"/>
          <w:szCs w:val="18"/>
        </w:rPr>
        <w:t xml:space="preserve">  (vs of 1,350 stocked lines, all selling at or above 0.5 units/day)</w:t>
      </w:r>
    </w:p>
    <w:p>
      <w:pPr>
        <w:pStyle w:val="ListParagraph"/>
        <w:numPr>
          <w:ilvl w:val="0"/>
          <w:numId w:val="2"/>
        </w:numPr>
        <w:spacing w:after="70" w:line="276"/>
      </w:pPr>
      <w:r>
        <w:rPr>
          <w:rFonts w:ascii="Calibri" w:cs="Calibri" w:eastAsia="Calibri" w:hAnsi="Calibri"/>
          <w:color w:val="1A1A1A"/>
          <w:sz w:val="21"/>
          <w:szCs w:val="21"/>
        </w:rPr>
        <w:t xml:space="preserve">Share of network write-off: </w:t>
      </w:r>
      <w:r>
        <w:rPr>
          <w:rFonts w:ascii="Calibri" w:cs="Calibri" w:eastAsia="Calibri" w:hAnsi="Calibri"/>
          <w:b/>
          <w:bCs/>
          <w:color w:val="1A1A1A"/>
          <w:sz w:val="21"/>
          <w:szCs w:val="21"/>
        </w:rPr>
        <w:t xml:space="preserve">65.0%</w:t>
      </w:r>
      <w:r>
        <w:rPr>
          <w:rFonts w:ascii="Calibri" w:cs="Calibri" w:eastAsia="Calibri" w:hAnsi="Calibri"/>
          <w:color w:val="5C6B73"/>
          <w:sz w:val="18"/>
          <w:szCs w:val="18"/>
        </w:rPr>
        <w:t xml:space="preserve"/>
      </w:r>
    </w:p>
    <w:p>
      <w:pPr>
        <w:pStyle w:val="ListParagraph"/>
        <w:numPr>
          <w:ilvl w:val="0"/>
          <w:numId w:val="2"/>
        </w:numPr>
        <w:spacing w:after="70" w:line="276"/>
      </w:pPr>
      <w:r>
        <w:rPr>
          <w:rFonts w:ascii="Calibri" w:cs="Calibri" w:eastAsia="Calibri" w:hAnsi="Calibri"/>
          <w:color w:val="1A1A1A"/>
          <w:sz w:val="21"/>
          <w:szCs w:val="21"/>
        </w:rPr>
        <w:t xml:space="preserve">Categories affected: </w:t>
      </w:r>
      <w:r>
        <w:rPr>
          <w:rFonts w:ascii="Calibri" w:cs="Calibri" w:eastAsia="Calibri" w:hAnsi="Calibri"/>
          <w:b/>
          <w:bCs/>
          <w:color w:val="1A1A1A"/>
          <w:sz w:val="21"/>
          <w:szCs w:val="21"/>
        </w:rPr>
        <w:t xml:space="preserve">Fresh Produce, Bakery, Ready Meals, Dairy &amp; Eggs</w:t>
      </w:r>
      <w:r>
        <w:rPr>
          <w:rFonts w:ascii="Calibri" w:cs="Calibri" w:eastAsia="Calibri" w:hAnsi="Calibri"/>
          <w:color w:val="5C6B73"/>
          <w:sz w:val="18"/>
          <w:szCs w:val="18"/>
        </w:rPr>
        <w:t xml:space="preserve">  (vs all short shelf life)</w:t>
      </w:r>
    </w:p>
    <w:p>
      <w:pPr>
        <w:pStyle w:val="ListParagraph"/>
        <w:numPr>
          <w:ilvl w:val="0"/>
          <w:numId w:val="2"/>
        </w:numPr>
        <w:spacing w:after="70" w:line="276"/>
      </w:pPr>
      <w:r>
        <w:rPr>
          <w:rFonts w:ascii="Calibri" w:cs="Calibri" w:eastAsia="Calibri" w:hAnsi="Calibri"/>
          <w:color w:val="1A1A1A"/>
          <w:sz w:val="21"/>
          <w:szCs w:val="21"/>
        </w:rPr>
        <w:t xml:space="preserve">Median days of cover per case: </w:t>
      </w:r>
      <w:r>
        <w:rPr>
          <w:rFonts w:ascii="Calibri" w:cs="Calibri" w:eastAsia="Calibri" w:hAnsi="Calibri"/>
          <w:b/>
          <w:bCs/>
          <w:color w:val="1A1A1A"/>
          <w:sz w:val="21"/>
          <w:szCs w:val="21"/>
        </w:rPr>
        <w:t xml:space="preserve">9.4 days</w:t>
      </w:r>
      <w:r>
        <w:rPr>
          <w:rFonts w:ascii="Calibri" w:cs="Calibri" w:eastAsia="Calibri" w:hAnsi="Calibri"/>
          <w:color w:val="5C6B73"/>
          <w:sz w:val="18"/>
          <w:szCs w:val="18"/>
        </w:rPr>
        <w:t xml:space="preserve">  (vs median shelf life 5 days)</w:t>
      </w:r>
    </w:p>
    <w:p>
      <w:pPr>
        <w:pStyle w:val="ListParagraph"/>
        <w:numPr>
          <w:ilvl w:val="0"/>
          <w:numId w:val="2"/>
        </w:numPr>
        <w:spacing w:after="70" w:line="276"/>
      </w:pPr>
      <w:r>
        <w:rPr>
          <w:rFonts w:ascii="Calibri" w:cs="Calibri" w:eastAsia="Calibri" w:hAnsi="Calibri"/>
          <w:color w:val="1A1A1A"/>
          <w:sz w:val="21"/>
          <w:szCs w:val="21"/>
        </w:rPr>
        <w:t xml:space="preserve">Largest contributing supplier: </w:t>
      </w:r>
      <w:r>
        <w:rPr>
          <w:rFonts w:ascii="Calibri" w:cs="Calibri" w:eastAsia="Calibri" w:hAnsi="Calibri"/>
          <w:b/>
          <w:bCs/>
          <w:color w:val="1A1A1A"/>
          <w:sz w:val="21"/>
          <w:szCs w:val="21"/>
        </w:rPr>
        <w:t xml:space="preserve">Modern Bakehouse</w:t>
      </w:r>
      <w:r>
        <w:rPr>
          <w:rFonts w:ascii="Calibri" w:cs="Calibri" w:eastAsia="Calibri" w:hAnsi="Calibri"/>
          <w:color w:val="5C6B73"/>
          <w:sz w:val="18"/>
          <w:szCs w:val="18"/>
        </w:rPr>
        <w:t xml:space="preserve">  (vs AED 201,785 of write-off across 22 lines)</w:t>
      </w:r>
    </w:p>
    <w:p>
      <w:pPr>
        <w:pStyle w:val="ListParagraph"/>
        <w:numPr>
          <w:ilvl w:val="0"/>
          <w:numId w:val="2"/>
        </w:numPr>
        <w:spacing w:after="70" w:line="276"/>
      </w:pPr>
      <w:r>
        <w:rPr>
          <w:rFonts w:ascii="Calibri" w:cs="Calibri" w:eastAsia="Calibri" w:hAnsi="Calibri"/>
          <w:color w:val="1A1A1A"/>
          <w:sz w:val="21"/>
          <w:szCs w:val="21"/>
        </w:rPr>
        <w:t xml:space="preserve">Write-off value on affected lines: </w:t>
      </w:r>
      <w:r>
        <w:rPr>
          <w:rFonts w:ascii="Calibri" w:cs="Calibri" w:eastAsia="Calibri" w:hAnsi="Calibri"/>
          <w:b/>
          <w:bCs/>
          <w:color w:val="1A1A1A"/>
          <w:sz w:val="21"/>
          <w:szCs w:val="21"/>
        </w:rPr>
        <w:t xml:space="preserve">509,386.16 AED</w:t>
      </w:r>
      <w:r>
        <w:rPr>
          <w:rFonts w:ascii="Calibri" w:cs="Calibri" w:eastAsia="Calibri" w:hAnsi="Calibri"/>
          <w:color w:val="5C6B73"/>
          <w:sz w:val="18"/>
          <w:szCs w:val="18"/>
        </w:rPr>
        <w:t xml:space="preserve"/>
      </w:r>
    </w:p>
    <w:p>
      <w:pPr>
        <w:spacing w:after="80" w:before="0" w:line="276"/>
      </w:pPr>
      <w:r>
        <w:rPr>
          <w:rFonts w:ascii="Calibri" w:cs="Calibri" w:eastAsia="Calibri" w:hAnsi="Calibri"/>
          <w:b/>
          <w:bCs/>
          <w:color w:val="1A1A1A"/>
          <w:sz w:val="19"/>
          <w:szCs w:val="19"/>
        </w:rPr>
        <w:t xml:space="preserve">How the number was derived. </w:t>
      </w:r>
      <w:r>
        <w:rPr>
          <w:rFonts w:ascii="Calibri" w:cs="Calibri" w:eastAsia="Calibri" w:hAnsi="Calibri"/>
          <w:color w:val="5C6B73"/>
          <w:sz w:val="19"/>
          <w:szCs w:val="19"/>
        </w:rPr>
        <w:t xml:space="preserve">AED 509,386 of write-off over the period sits on lines where one case pack exceeds the full shelf life at observed velocity. 60% of that is treated as addressable by re-specifying pack size; the balance is demand volatility a smaller pack would not have caught. Annualised.</w:t>
      </w:r>
    </w:p>
    <w:p>
      <w:pPr>
        <w:spacing w:after="160" w:before="0" w:line="276"/>
      </w:pPr>
      <w:r>
        <w:rPr>
          <w:rFonts w:ascii="Calibri" w:cs="Calibri" w:eastAsia="Calibri" w:hAnsi="Calibri"/>
          <w:b/>
          <w:bCs/>
          <w:color w:val="1A1A1A"/>
          <w:sz w:val="19"/>
          <w:szCs w:val="19"/>
        </w:rPr>
        <w:t xml:space="preserve">Method. </w:t>
      </w:r>
      <w:r>
        <w:rPr>
          <w:rFonts w:ascii="Calibri" w:cs="Calibri" w:eastAsia="Calibri" w:hAnsi="Calibri"/>
          <w:color w:val="5C6B73"/>
          <w:sz w:val="19"/>
          <w:szCs w:val="19"/>
        </w:rPr>
        <w:t xml:space="preserve">Case pack divided by observed daily velocity, compared against shelf life, at store-SKU grain; write-off attributed to lines where a single minimum lot cannot be sold within its own shelf life AND the line still turns at least 0.5 units/day. The velocity floor keeps this separate from the assortment finding, so the same write-off is not claimed twice</w:t>
      </w:r>
    </w:p>
    <w:p>
      <w:pPr>
        <w:spacing w:after="140" w:before="120"/>
        <w:jc w:val="center"/>
      </w:pPr>
      <w:r>
        <w:drawing>
          <wp:inline distT="0" distB="0" distL="0" distR="0">
            <wp:extent cx="54864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857500"/>
                    </a:xfrm>
                    <a:prstGeom prst="rect">
                      <a:avLst/>
                    </a:prstGeom>
                  </pic:spPr>
                </pic:pic>
              </a:graphicData>
            </a:graphic>
          </wp:inline>
        </w:drawing>
      </w:r>
    </w:p>
    <w:p>
      <w:pPr>
        <w:pStyle w:val="Heading2"/>
        <w:spacing w:after="110" w:before="240"/>
      </w:pPr>
      <w:r>
        <w:rPr>
          <w:rFonts w:ascii="Cambria" w:cs="Cambria" w:eastAsia="Cambria" w:hAnsi="Cambria"/>
          <w:b/>
          <w:bCs/>
          <w:color w:val="1A1A1A"/>
          <w:sz w:val="24"/>
          <w:szCs w:val="24"/>
        </w:rPr>
        <w:t xml:space="preserve">Gulf Fresh Produce is the network's least reliable supplier — OTIF 76% against a 95% target, costing about AED 191k a year</w:t>
      </w:r>
    </w:p>
    <w:p>
      <w:pPr>
        <w:spacing w:after="120" w:before="0" w:line="276"/>
      </w:pPr>
      <w:r>
        <w:rPr>
          <w:rFonts w:ascii="Calibri" w:cs="Calibri" w:eastAsia="Calibri" w:hAnsi="Calibri"/>
          <w:color w:val="1A1A1A"/>
          <w:sz w:val="21"/>
          <w:szCs w:val="21"/>
        </w:rPr>
        <w:t xml:space="preserve">Worth </w:t>
      </w:r>
      <w:r>
        <w:rPr>
          <w:rFonts w:ascii="Calibri" w:cs="Calibri" w:eastAsia="Calibri" w:hAnsi="Calibri"/>
          <w:b/>
          <w:bCs/>
          <w:color w:val="046A38"/>
          <w:sz w:val="21"/>
          <w:szCs w:val="21"/>
        </w:rPr>
        <w:t xml:space="preserve">AED 191k a year</w:t>
      </w:r>
      <w:r>
        <w:rPr>
          <w:rFonts w:ascii="Calibri" w:cs="Calibri" w:eastAsia="Calibri" w:hAnsi="Calibri"/>
          <w:color w:val="5C6B73"/>
          <w:sz w:val="21"/>
          <w:szCs w:val="21"/>
        </w:rPr>
        <w:t xml:space="preserve"> (range AED 70k to AED 249k)</w:t>
      </w:r>
      <w:r>
        <w:rPr>
          <w:rFonts w:ascii="Calibri" w:cs="Calibri" w:eastAsia="Calibri" w:hAnsi="Calibri"/>
          <w:color w:val="1A1A1A"/>
          <w:sz w:val="21"/>
          <w:szCs w:val="21"/>
        </w:rPr>
        <w:t xml:space="preserve">, at 98% confidence.</w:t>
      </w:r>
    </w:p>
    <w:p>
      <w:pPr>
        <w:spacing w:after="60" w:before="0" w:line="276"/>
      </w:pPr>
      <w:r>
        <w:rPr>
          <w:rFonts w:ascii="Calibri" w:cs="Calibri" w:eastAsia="Calibri" w:hAnsi="Calibri"/>
          <w:b/>
          <w:bCs/>
          <w:color w:val="1A1A1A"/>
          <w:sz w:val="20"/>
          <w:szCs w:val="20"/>
        </w:rPr>
        <w:t xml:space="preserve">Evidence</w:t>
      </w:r>
    </w:p>
    <w:p>
      <w:pPr>
        <w:pStyle w:val="ListParagraph"/>
        <w:numPr>
          <w:ilvl w:val="0"/>
          <w:numId w:val="2"/>
        </w:numPr>
        <w:spacing w:after="70" w:line="276"/>
      </w:pPr>
      <w:r>
        <w:rPr>
          <w:rFonts w:ascii="Calibri" w:cs="Calibri" w:eastAsia="Calibri" w:hAnsi="Calibri"/>
          <w:color w:val="1A1A1A"/>
          <w:sz w:val="21"/>
          <w:szCs w:val="21"/>
        </w:rPr>
        <w:t xml:space="preserve">OTIF: </w:t>
      </w:r>
      <w:r>
        <w:rPr>
          <w:rFonts w:ascii="Calibri" w:cs="Calibri" w:eastAsia="Calibri" w:hAnsi="Calibri"/>
          <w:b/>
          <w:bCs/>
          <w:color w:val="1A1A1A"/>
          <w:sz w:val="21"/>
          <w:szCs w:val="21"/>
        </w:rPr>
        <w:t xml:space="preserve">76.2%</w:t>
      </w:r>
      <w:r>
        <w:rPr>
          <w:rFonts w:ascii="Calibri" w:cs="Calibri" w:eastAsia="Calibri" w:hAnsi="Calibri"/>
          <w:color w:val="5C6B73"/>
          <w:sz w:val="18"/>
          <w:szCs w:val="18"/>
        </w:rPr>
        <w:t xml:space="preserve">  (vs target 95%)</w:t>
      </w:r>
    </w:p>
    <w:p>
      <w:pPr>
        <w:pStyle w:val="ListParagraph"/>
        <w:numPr>
          <w:ilvl w:val="0"/>
          <w:numId w:val="2"/>
        </w:numPr>
        <w:spacing w:after="70" w:line="276"/>
      </w:pPr>
      <w:r>
        <w:rPr>
          <w:rFonts w:ascii="Calibri" w:cs="Calibri" w:eastAsia="Calibri" w:hAnsi="Calibri"/>
          <w:color w:val="1A1A1A"/>
          <w:sz w:val="21"/>
          <w:szCs w:val="21"/>
        </w:rPr>
        <w:t xml:space="preserve">On-time rate: </w:t>
      </w:r>
      <w:r>
        <w:rPr>
          <w:rFonts w:ascii="Calibri" w:cs="Calibri" w:eastAsia="Calibri" w:hAnsi="Calibri"/>
          <w:b/>
          <w:bCs/>
          <w:color w:val="1A1A1A"/>
          <w:sz w:val="21"/>
          <w:szCs w:val="21"/>
        </w:rPr>
        <w:t xml:space="preserve">83.6%</w:t>
      </w:r>
      <w:r>
        <w:rPr>
          <w:rFonts w:ascii="Calibri" w:cs="Calibri" w:eastAsia="Calibri" w:hAnsi="Calibri"/>
          <w:color w:val="5C6B73"/>
          <w:sz w:val="18"/>
          <w:szCs w:val="18"/>
        </w:rPr>
        <w:t xml:space="preserve"/>
      </w:r>
    </w:p>
    <w:p>
      <w:pPr>
        <w:pStyle w:val="ListParagraph"/>
        <w:numPr>
          <w:ilvl w:val="0"/>
          <w:numId w:val="2"/>
        </w:numPr>
        <w:spacing w:after="70" w:line="276"/>
      </w:pPr>
      <w:r>
        <w:rPr>
          <w:rFonts w:ascii="Calibri" w:cs="Calibri" w:eastAsia="Calibri" w:hAnsi="Calibri"/>
          <w:color w:val="1A1A1A"/>
          <w:sz w:val="21"/>
          <w:szCs w:val="21"/>
        </w:rPr>
        <w:t xml:space="preserve">In-full rate: </w:t>
      </w:r>
      <w:r>
        <w:rPr>
          <w:rFonts w:ascii="Calibri" w:cs="Calibri" w:eastAsia="Calibri" w:hAnsi="Calibri"/>
          <w:b/>
          <w:bCs/>
          <w:color w:val="1A1A1A"/>
          <w:sz w:val="21"/>
          <w:szCs w:val="21"/>
        </w:rPr>
        <w:t xml:space="preserve">86.7%</w:t>
      </w:r>
      <w:r>
        <w:rPr>
          <w:rFonts w:ascii="Calibri" w:cs="Calibri" w:eastAsia="Calibri" w:hAnsi="Calibri"/>
          <w:color w:val="5C6B73"/>
          <w:sz w:val="18"/>
          <w:szCs w:val="18"/>
        </w:rPr>
        <w:t xml:space="preserve"/>
      </w:r>
    </w:p>
    <w:p>
      <w:pPr>
        <w:pStyle w:val="ListParagraph"/>
        <w:numPr>
          <w:ilvl w:val="0"/>
          <w:numId w:val="2"/>
        </w:numPr>
        <w:spacing w:after="70" w:line="276"/>
      </w:pPr>
      <w:r>
        <w:rPr>
          <w:rFonts w:ascii="Calibri" w:cs="Calibri" w:eastAsia="Calibri" w:hAnsi="Calibri"/>
          <w:color w:val="1A1A1A"/>
          <w:sz w:val="21"/>
          <w:szCs w:val="21"/>
        </w:rPr>
        <w:t xml:space="preserve">Lead time: </w:t>
      </w:r>
      <w:r>
        <w:rPr>
          <w:rFonts w:ascii="Calibri" w:cs="Calibri" w:eastAsia="Calibri" w:hAnsi="Calibri"/>
          <w:b/>
          <w:bCs/>
          <w:color w:val="1A1A1A"/>
          <w:sz w:val="21"/>
          <w:szCs w:val="21"/>
        </w:rPr>
        <w:t xml:space="preserve">2.39 days</w:t>
      </w:r>
      <w:r>
        <w:rPr>
          <w:rFonts w:ascii="Calibri" w:cs="Calibri" w:eastAsia="Calibri" w:hAnsi="Calibri"/>
          <w:color w:val="5C6B73"/>
          <w:sz w:val="18"/>
          <w:szCs w:val="18"/>
        </w:rPr>
        <w:t xml:space="preserve">  (vs promised 2)</w:t>
      </w:r>
    </w:p>
    <w:p>
      <w:pPr>
        <w:pStyle w:val="ListParagraph"/>
        <w:numPr>
          <w:ilvl w:val="0"/>
          <w:numId w:val="2"/>
        </w:numPr>
        <w:spacing w:after="70" w:line="276"/>
      </w:pPr>
      <w:r>
        <w:rPr>
          <w:rFonts w:ascii="Calibri" w:cs="Calibri" w:eastAsia="Calibri" w:hAnsi="Calibri"/>
          <w:color w:val="1A1A1A"/>
          <w:sz w:val="21"/>
          <w:szCs w:val="21"/>
        </w:rPr>
        <w:t xml:space="preserve">Lead-time variability (CV): </w:t>
      </w:r>
      <w:r>
        <w:rPr>
          <w:rFonts w:ascii="Calibri" w:cs="Calibri" w:eastAsia="Calibri" w:hAnsi="Calibri"/>
          <w:b/>
          <w:bCs/>
          <w:color w:val="1A1A1A"/>
          <w:sz w:val="21"/>
          <w:szCs w:val="21"/>
        </w:rPr>
        <w:t xml:space="preserve">41.3%</w:t>
      </w:r>
      <w:r>
        <w:rPr>
          <w:rFonts w:ascii="Calibri" w:cs="Calibri" w:eastAsia="Calibri" w:hAnsi="Calibri"/>
          <w:color w:val="5C6B73"/>
          <w:sz w:val="18"/>
          <w:szCs w:val="18"/>
        </w:rPr>
        <w:t xml:space="preserve">  (vs peer median 0.09)</w:t>
      </w:r>
    </w:p>
    <w:p>
      <w:pPr>
        <w:pStyle w:val="ListParagraph"/>
        <w:numPr>
          <w:ilvl w:val="0"/>
          <w:numId w:val="2"/>
        </w:numPr>
        <w:spacing w:after="70" w:line="276"/>
      </w:pPr>
      <w:r>
        <w:rPr>
          <w:rFonts w:ascii="Calibri" w:cs="Calibri" w:eastAsia="Calibri" w:hAnsi="Calibri"/>
          <w:color w:val="1A1A1A"/>
          <w:sz w:val="21"/>
          <w:szCs w:val="21"/>
        </w:rPr>
        <w:t xml:space="preserve">Units short-shipped: </w:t>
      </w:r>
      <w:r>
        <w:rPr>
          <w:rFonts w:ascii="Calibri" w:cs="Calibri" w:eastAsia="Calibri" w:hAnsi="Calibri"/>
          <w:b/>
          <w:bCs/>
          <w:color w:val="1A1A1A"/>
          <w:sz w:val="21"/>
          <w:szCs w:val="21"/>
        </w:rPr>
        <w:t xml:space="preserve">9,050 units</w:t>
      </w:r>
      <w:r>
        <w:rPr>
          <w:rFonts w:ascii="Calibri" w:cs="Calibri" w:eastAsia="Calibri" w:hAnsi="Calibri"/>
          <w:color w:val="5C6B73"/>
          <w:sz w:val="18"/>
          <w:szCs w:val="18"/>
        </w:rPr>
        <w:t xml:space="preserve"/>
      </w:r>
    </w:p>
    <w:p>
      <w:pPr>
        <w:spacing w:after="80" w:before="0" w:line="276"/>
      </w:pPr>
      <w:r>
        <w:rPr>
          <w:rFonts w:ascii="Calibri" w:cs="Calibri" w:eastAsia="Calibri" w:hAnsi="Calibri"/>
          <w:b/>
          <w:bCs/>
          <w:color w:val="1A1A1A"/>
          <w:sz w:val="19"/>
          <w:szCs w:val="19"/>
        </w:rPr>
        <w:t xml:space="preserve">How the number was derived. </w:t>
      </w:r>
      <w:r>
        <w:rPr>
          <w:rFonts w:ascii="Calibri" w:cs="Calibri" w:eastAsia="Calibri" w:hAnsi="Calibri"/>
          <w:color w:val="5C6B73"/>
          <w:sz w:val="19"/>
          <w:szCs w:val="19"/>
        </w:rPr>
        <w:t xml:space="preserve">Short-shipment cost AED 104,842 over the period (annualised AED 70,087), plus AED 121,217 of annualised lost margin in Fresh Produce attributable to this supplier's categories running 15.2% below the fill rate of categories it does not supply.</w:t>
      </w:r>
    </w:p>
    <w:p>
      <w:pPr>
        <w:spacing w:after="160" w:before="0" w:line="276"/>
      </w:pPr>
      <w:r>
        <w:rPr>
          <w:rFonts w:ascii="Calibri" w:cs="Calibri" w:eastAsia="Calibri" w:hAnsi="Calibri"/>
          <w:b/>
          <w:bCs/>
          <w:color w:val="1A1A1A"/>
          <w:sz w:val="19"/>
          <w:szCs w:val="19"/>
        </w:rPr>
        <w:t xml:space="preserve">Method. </w:t>
      </w:r>
      <w:r>
        <w:rPr>
          <w:rFonts w:ascii="Calibri" w:cs="Calibri" w:eastAsia="Calibri" w:hAnsi="Calibri"/>
          <w:color w:val="5C6B73"/>
          <w:sz w:val="19"/>
          <w:szCs w:val="19"/>
        </w:rPr>
        <w:t xml:space="preserve">OTIF and lead-time CV against target; binary-segmentation changepoint on the monthly lead-time series</w:t>
      </w:r>
    </w:p>
    <w:p>
      <w:pPr>
        <w:spacing w:after="140" w:before="120"/>
        <w:jc w:val="center"/>
      </w:pPr>
      <w:r>
        <w:drawing>
          <wp:inline distT="0" distB="0" distL="0" distR="0">
            <wp:extent cx="54864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857500"/>
                    </a:xfrm>
                    <a:prstGeom prst="rect">
                      <a:avLst/>
                    </a:prstGeom>
                  </pic:spPr>
                </pic:pic>
              </a:graphicData>
            </a:graphic>
          </wp:inline>
        </w:drawing>
      </w:r>
    </w:p>
    <w:p>
      <w:r>
        <w:br w:type="page"/>
      </w:r>
    </w:p>
    <w:p>
      <w:pPr>
        <w:pStyle w:val="Heading1"/>
        <w:spacing w:after="150" w:before="340"/>
      </w:pPr>
      <w:r>
        <w:rPr>
          <w:rFonts w:ascii="Cambria" w:cs="Cambria" w:eastAsia="Cambria" w:hAnsi="Cambria"/>
          <w:b/>
          <w:bCs/>
          <w:color w:val="046A38"/>
          <w:sz w:val="30"/>
          <w:szCs w:val="30"/>
        </w:rPr>
        <w:t xml:space="preserve">Recommended actions</w:t>
      </w:r>
    </w:p>
    <w:tbl>
      <w:tblPr>
        <w:tblW w:type="dxa" w:w="9360"/>
        <w:tblBorders>
          <w:top w:val="single" w:color="DCE2E0" w:sz="1"/>
          <w:left w:val="none"/>
          <w:bottom w:val="single" w:color="DCE2E0" w:sz="1"/>
          <w:right w:val="none"/>
          <w:insideH w:val="single" w:color="DCE2E0" w:sz="1"/>
          <w:insideV w:val="none"/>
        </w:tblBorders>
      </w:tblPr>
      <w:tblGrid>
        <w:gridCol w:w="700"/>
        <w:gridCol w:w="3660"/>
        <w:gridCol w:w="2200"/>
        <w:gridCol w:w="1400"/>
        <w:gridCol w:w="1400"/>
      </w:tblGrid>
      <w:tr>
        <w:tc>
          <w:tcPr>
            <w:tcW w:type="dxa" w:w="70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5C6B73"/>
                <w:sz w:val="17"/>
                <w:szCs w:val="17"/>
              </w:rPr>
              <w:t xml:space="preserve">#</w:t>
            </w:r>
          </w:p>
        </w:tc>
        <w:tc>
          <w:tcPr>
            <w:tcW w:type="dxa" w:w="366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5C6B73"/>
                <w:sz w:val="17"/>
                <w:szCs w:val="17"/>
              </w:rPr>
              <w:t xml:space="preserve">Action</w:t>
            </w:r>
          </w:p>
        </w:tc>
        <w:tc>
          <w:tcPr>
            <w:tcW w:type="dxa" w:w="220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5C6B73"/>
                <w:sz w:val="17"/>
                <w:szCs w:val="17"/>
              </w:rPr>
              <w:t xml:space="preserve">Owner</w:t>
            </w:r>
          </w:p>
        </w:tc>
        <w:tc>
          <w:tcPr>
            <w:tcW w:type="dxa" w:w="140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5C6B73"/>
                <w:sz w:val="17"/>
                <w:szCs w:val="17"/>
              </w:rPr>
              <w:t xml:space="preserve">Net/yr</w:t>
            </w:r>
          </w:p>
        </w:tc>
        <w:tc>
          <w:tcPr>
            <w:tcW w:type="dxa" w:w="140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5C6B73"/>
                <w:sz w:val="17"/>
                <w:szCs w:val="17"/>
              </w:rPr>
              <w:t xml:space="preserve">Payback</w:t>
            </w:r>
          </w:p>
        </w:tc>
      </w:tr>
      <w:tr>
        <w:tc>
          <w:tcPr>
            <w:tcW w:type="dxa" w:w="700"/>
            <w:tcMar>
              <w:top w:type="dxa" w:w="90"/>
              <w:left w:type="dxa" w:w="110"/>
              <w:bottom w:type="dxa" w:w="90"/>
              <w:right w:type="dxa" w:w="110"/>
            </w:tcMar>
          </w:tcPr>
          <w:p>
            <w:pPr>
              <w:spacing w:after="0" w:before="0" w:line="276"/>
            </w:pPr>
            <w:r>
              <w:rPr>
                <w:rFonts w:ascii="Calibri" w:cs="Calibri" w:eastAsia="Calibri" w:hAnsi="Calibri"/>
                <w:b/>
                <w:bCs/>
                <w:color w:val="1A1A1A"/>
                <w:sz w:val="18"/>
                <w:szCs w:val="18"/>
              </w:rPr>
              <w:t xml:space="preserve">R1</w:t>
            </w:r>
          </w:p>
        </w:tc>
        <w:tc>
          <w:tcPr>
            <w:tcW w:type="dxa" w:w="366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Re-time replenishment review and forecast forward, not backward</w:t>
            </w:r>
          </w:p>
        </w:tc>
        <w:tc>
          <w:tcPr>
            <w:tcW w:type="dxa" w:w="2200"/>
            <w:tcMar>
              <w:top w:type="dxa" w:w="90"/>
              <w:left w:type="dxa" w:w="110"/>
              <w:bottom w:type="dxa" w:w="90"/>
              <w:right w:type="dxa" w:w="110"/>
            </w:tcMar>
          </w:tcPr>
          <w:p>
            <w:pPr>
              <w:spacing w:after="0" w:before="0" w:line="276"/>
            </w:pPr>
            <w:r>
              <w:rPr>
                <w:rFonts w:ascii="Calibri" w:cs="Calibri" w:eastAsia="Calibri" w:hAnsi="Calibri"/>
                <w:color w:val="5C6B73"/>
                <w:sz w:val="18"/>
                <w:szCs w:val="18"/>
              </w:rPr>
              <w:t xml:space="preserve">Demand Planning Lead</w:t>
            </w:r>
          </w:p>
        </w:tc>
        <w:tc>
          <w:tcPr>
            <w:tcW w:type="dxa" w:w="1400"/>
            <w:tcMar>
              <w:top w:type="dxa" w:w="90"/>
              <w:left w:type="dxa" w:w="110"/>
              <w:bottom w:type="dxa" w:w="90"/>
              <w:right w:type="dxa" w:w="110"/>
            </w:tcMar>
          </w:tcPr>
          <w:p>
            <w:pPr>
              <w:spacing w:after="0" w:before="0" w:line="276"/>
            </w:pPr>
            <w:r>
              <w:rPr>
                <w:rFonts w:ascii="Calibri" w:cs="Calibri" w:eastAsia="Calibri" w:hAnsi="Calibri"/>
                <w:b/>
                <w:bCs/>
                <w:color w:val="046A38"/>
                <w:sz w:val="18"/>
                <w:szCs w:val="18"/>
              </w:rPr>
              <w:t xml:space="preserve">AED 311k</w:t>
            </w:r>
          </w:p>
        </w:tc>
        <w:tc>
          <w:tcPr>
            <w:tcW w:type="dxa" w:w="140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1.0 mo</w:t>
            </w:r>
          </w:p>
        </w:tc>
      </w:tr>
      <w:tr>
        <w:tc>
          <w:tcPr>
            <w:tcW w:type="dxa" w:w="700"/>
            <w:tcMar>
              <w:top w:type="dxa" w:w="90"/>
              <w:left w:type="dxa" w:w="110"/>
              <w:bottom w:type="dxa" w:w="90"/>
              <w:right w:type="dxa" w:w="110"/>
            </w:tcMar>
          </w:tcPr>
          <w:p>
            <w:pPr>
              <w:spacing w:after="0" w:before="0" w:line="276"/>
            </w:pPr>
            <w:r>
              <w:rPr>
                <w:rFonts w:ascii="Calibri" w:cs="Calibri" w:eastAsia="Calibri" w:hAnsi="Calibri"/>
                <w:b/>
                <w:bCs/>
                <w:color w:val="1A1A1A"/>
                <w:sz w:val="18"/>
                <w:szCs w:val="18"/>
              </w:rPr>
              <w:t xml:space="preserve">R2</w:t>
            </w:r>
          </w:p>
        </w:tc>
        <w:tc>
          <w:tcPr>
            <w:tcW w:type="dxa" w:w="366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Re-specify case packs on short-shelf-life lines</w:t>
            </w:r>
          </w:p>
        </w:tc>
        <w:tc>
          <w:tcPr>
            <w:tcW w:type="dxa" w:w="2200"/>
            <w:tcMar>
              <w:top w:type="dxa" w:w="90"/>
              <w:left w:type="dxa" w:w="110"/>
              <w:bottom w:type="dxa" w:w="90"/>
              <w:right w:type="dxa" w:w="110"/>
            </w:tcMar>
          </w:tcPr>
          <w:p>
            <w:pPr>
              <w:spacing w:after="0" w:before="0" w:line="276"/>
            </w:pPr>
            <w:r>
              <w:rPr>
                <w:rFonts w:ascii="Calibri" w:cs="Calibri" w:eastAsia="Calibri" w:hAnsi="Calibri"/>
                <w:color w:val="5C6B73"/>
                <w:sz w:val="18"/>
                <w:szCs w:val="18"/>
              </w:rPr>
              <w:t xml:space="preserve">Procurement Lead</w:t>
            </w:r>
          </w:p>
        </w:tc>
        <w:tc>
          <w:tcPr>
            <w:tcW w:type="dxa" w:w="1400"/>
            <w:tcMar>
              <w:top w:type="dxa" w:w="90"/>
              <w:left w:type="dxa" w:w="110"/>
              <w:bottom w:type="dxa" w:w="90"/>
              <w:right w:type="dxa" w:w="110"/>
            </w:tcMar>
          </w:tcPr>
          <w:p>
            <w:pPr>
              <w:spacing w:after="0" w:before="0" w:line="276"/>
            </w:pPr>
            <w:r>
              <w:rPr>
                <w:rFonts w:ascii="Calibri" w:cs="Calibri" w:eastAsia="Calibri" w:hAnsi="Calibri"/>
                <w:b/>
                <w:bCs/>
                <w:color w:val="046A38"/>
                <w:sz w:val="18"/>
                <w:szCs w:val="18"/>
              </w:rPr>
              <w:t xml:space="preserve">AED 111k</w:t>
            </w:r>
          </w:p>
        </w:tc>
        <w:tc>
          <w:tcPr>
            <w:tcW w:type="dxa" w:w="140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immediate</w:t>
            </w:r>
          </w:p>
        </w:tc>
      </w:tr>
      <w:tr>
        <w:tc>
          <w:tcPr>
            <w:tcW w:type="dxa" w:w="700"/>
            <w:tcMar>
              <w:top w:type="dxa" w:w="90"/>
              <w:left w:type="dxa" w:w="110"/>
              <w:bottom w:type="dxa" w:w="90"/>
              <w:right w:type="dxa" w:w="110"/>
            </w:tcMar>
          </w:tcPr>
          <w:p>
            <w:pPr>
              <w:spacing w:after="0" w:before="0" w:line="276"/>
            </w:pPr>
            <w:r>
              <w:rPr>
                <w:rFonts w:ascii="Calibri" w:cs="Calibri" w:eastAsia="Calibri" w:hAnsi="Calibri"/>
                <w:b/>
                <w:bCs/>
                <w:color w:val="1A1A1A"/>
                <w:sz w:val="18"/>
                <w:szCs w:val="18"/>
              </w:rPr>
              <w:t xml:space="preserve">R4</w:t>
            </w:r>
          </w:p>
        </w:tc>
        <w:tc>
          <w:tcPr>
            <w:tcW w:type="dxa" w:w="366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Rationalise the slow-moving tail and reallocate the slots</w:t>
            </w:r>
          </w:p>
        </w:tc>
        <w:tc>
          <w:tcPr>
            <w:tcW w:type="dxa" w:w="2200"/>
            <w:tcMar>
              <w:top w:type="dxa" w:w="90"/>
              <w:left w:type="dxa" w:w="110"/>
              <w:bottom w:type="dxa" w:w="90"/>
              <w:right w:type="dxa" w:w="110"/>
            </w:tcMar>
          </w:tcPr>
          <w:p>
            <w:pPr>
              <w:spacing w:after="0" w:before="0" w:line="276"/>
            </w:pPr>
            <w:r>
              <w:rPr>
                <w:rFonts w:ascii="Calibri" w:cs="Calibri" w:eastAsia="Calibri" w:hAnsi="Calibri"/>
                <w:color w:val="5C6B73"/>
                <w:sz w:val="18"/>
                <w:szCs w:val="18"/>
              </w:rPr>
              <w:t xml:space="preserve">Category Manager</w:t>
            </w:r>
          </w:p>
        </w:tc>
        <w:tc>
          <w:tcPr>
            <w:tcW w:type="dxa" w:w="1400"/>
            <w:tcMar>
              <w:top w:type="dxa" w:w="90"/>
              <w:left w:type="dxa" w:w="110"/>
              <w:bottom w:type="dxa" w:w="90"/>
              <w:right w:type="dxa" w:w="110"/>
            </w:tcMar>
          </w:tcPr>
          <w:p>
            <w:pPr>
              <w:spacing w:after="0" w:before="0" w:line="276"/>
            </w:pPr>
            <w:r>
              <w:rPr>
                <w:rFonts w:ascii="Calibri" w:cs="Calibri" w:eastAsia="Calibri" w:hAnsi="Calibri"/>
                <w:b/>
                <w:bCs/>
                <w:color w:val="046A38"/>
                <w:sz w:val="18"/>
                <w:szCs w:val="18"/>
              </w:rPr>
              <w:t xml:space="preserve">AED 107k</w:t>
            </w:r>
          </w:p>
        </w:tc>
        <w:tc>
          <w:tcPr>
            <w:tcW w:type="dxa" w:w="140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2.5 mo</w:t>
            </w:r>
          </w:p>
        </w:tc>
      </w:tr>
      <w:tr>
        <w:tc>
          <w:tcPr>
            <w:tcW w:type="dxa" w:w="700"/>
            <w:tcMar>
              <w:top w:type="dxa" w:w="90"/>
              <w:left w:type="dxa" w:w="110"/>
              <w:bottom w:type="dxa" w:w="90"/>
              <w:right w:type="dxa" w:w="110"/>
            </w:tcMar>
          </w:tcPr>
          <w:p>
            <w:pPr>
              <w:spacing w:after="0" w:before="0" w:line="276"/>
            </w:pPr>
            <w:r>
              <w:rPr>
                <w:rFonts w:ascii="Calibri" w:cs="Calibri" w:eastAsia="Calibri" w:hAnsi="Calibri"/>
                <w:b/>
                <w:bCs/>
                <w:color w:val="1A1A1A"/>
                <w:sz w:val="18"/>
                <w:szCs w:val="18"/>
              </w:rPr>
              <w:t xml:space="preserve">R3</w:t>
            </w:r>
          </w:p>
        </w:tc>
        <w:tc>
          <w:tcPr>
            <w:tcW w:type="dxa" w:w="366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Put Gulf Fresh Produce on a formal performance plan and dual-source</w:t>
            </w:r>
          </w:p>
        </w:tc>
        <w:tc>
          <w:tcPr>
            <w:tcW w:type="dxa" w:w="2200"/>
            <w:tcMar>
              <w:top w:type="dxa" w:w="90"/>
              <w:left w:type="dxa" w:w="110"/>
              <w:bottom w:type="dxa" w:w="90"/>
              <w:right w:type="dxa" w:w="110"/>
            </w:tcMar>
          </w:tcPr>
          <w:p>
            <w:pPr>
              <w:spacing w:after="0" w:before="0" w:line="276"/>
            </w:pPr>
            <w:r>
              <w:rPr>
                <w:rFonts w:ascii="Calibri" w:cs="Calibri" w:eastAsia="Calibri" w:hAnsi="Calibri"/>
                <w:color w:val="5C6B73"/>
                <w:sz w:val="18"/>
                <w:szCs w:val="18"/>
              </w:rPr>
              <w:t xml:space="preserve">Procurement Lead</w:t>
            </w:r>
          </w:p>
        </w:tc>
        <w:tc>
          <w:tcPr>
            <w:tcW w:type="dxa" w:w="1400"/>
            <w:tcMar>
              <w:top w:type="dxa" w:w="90"/>
              <w:left w:type="dxa" w:w="110"/>
              <w:bottom w:type="dxa" w:w="90"/>
              <w:right w:type="dxa" w:w="110"/>
            </w:tcMar>
          </w:tcPr>
          <w:p>
            <w:pPr>
              <w:spacing w:after="0" w:before="0" w:line="276"/>
            </w:pPr>
            <w:r>
              <w:rPr>
                <w:rFonts w:ascii="Calibri" w:cs="Calibri" w:eastAsia="Calibri" w:hAnsi="Calibri"/>
                <w:b/>
                <w:bCs/>
                <w:color w:val="046A38"/>
                <w:sz w:val="18"/>
                <w:szCs w:val="18"/>
              </w:rPr>
              <w:t xml:space="preserve">AED 83k</w:t>
            </w:r>
          </w:p>
        </w:tc>
        <w:tc>
          <w:tcPr>
            <w:tcW w:type="dxa" w:w="140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immediate</w:t>
            </w:r>
          </w:p>
        </w:tc>
      </w:tr>
      <w:tr>
        <w:tc>
          <w:tcPr>
            <w:tcW w:type="dxa" w:w="700"/>
            <w:tcMar>
              <w:top w:type="dxa" w:w="90"/>
              <w:left w:type="dxa" w:w="110"/>
              <w:bottom w:type="dxa" w:w="90"/>
              <w:right w:type="dxa" w:w="110"/>
            </w:tcMar>
          </w:tcPr>
          <w:p>
            <w:pPr>
              <w:spacing w:after="0" w:before="0" w:line="276"/>
            </w:pPr>
            <w:r>
              <w:rPr>
                <w:rFonts w:ascii="Calibri" w:cs="Calibri" w:eastAsia="Calibri" w:hAnsi="Calibri"/>
                <w:b/>
                <w:bCs/>
                <w:color w:val="1A1A1A"/>
                <w:sz w:val="18"/>
                <w:szCs w:val="18"/>
              </w:rPr>
              <w:t xml:space="preserve">R5a</w:t>
            </w:r>
          </w:p>
        </w:tc>
        <w:tc>
          <w:tcPr>
            <w:tcW w:type="dxa" w:w="366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Re-time captain shifts at Al Nahda to the demand peak</w:t>
            </w:r>
          </w:p>
        </w:tc>
        <w:tc>
          <w:tcPr>
            <w:tcW w:type="dxa" w:w="2200"/>
            <w:tcMar>
              <w:top w:type="dxa" w:w="90"/>
              <w:left w:type="dxa" w:w="110"/>
              <w:bottom w:type="dxa" w:w="90"/>
              <w:right w:type="dxa" w:w="110"/>
            </w:tcMar>
          </w:tcPr>
          <w:p>
            <w:pPr>
              <w:spacing w:after="0" w:before="0" w:line="276"/>
            </w:pPr>
            <w:r>
              <w:rPr>
                <w:rFonts w:ascii="Calibri" w:cs="Calibri" w:eastAsia="Calibri" w:hAnsi="Calibri"/>
                <w:color w:val="5C6B73"/>
                <w:sz w:val="18"/>
                <w:szCs w:val="18"/>
              </w:rPr>
              <w:t xml:space="preserve">Fleet Operations Manager</w:t>
            </w:r>
          </w:p>
        </w:tc>
        <w:tc>
          <w:tcPr>
            <w:tcW w:type="dxa" w:w="1400"/>
            <w:tcMar>
              <w:top w:type="dxa" w:w="90"/>
              <w:left w:type="dxa" w:w="110"/>
              <w:bottom w:type="dxa" w:w="90"/>
              <w:right w:type="dxa" w:w="110"/>
            </w:tcMar>
          </w:tcPr>
          <w:p>
            <w:pPr>
              <w:spacing w:after="0" w:before="0" w:line="276"/>
            </w:pPr>
            <w:r>
              <w:rPr>
                <w:rFonts w:ascii="Calibri" w:cs="Calibri" w:eastAsia="Calibri" w:hAnsi="Calibri"/>
                <w:b/>
                <w:bCs/>
                <w:color w:val="046A38"/>
                <w:sz w:val="18"/>
                <w:szCs w:val="18"/>
              </w:rPr>
              <w:t xml:space="preserve">AED 73k</w:t>
            </w:r>
          </w:p>
        </w:tc>
        <w:tc>
          <w:tcPr>
            <w:tcW w:type="dxa" w:w="140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2.5 mo</w:t>
            </w:r>
          </w:p>
        </w:tc>
      </w:tr>
      <w:tr>
        <w:tc>
          <w:tcPr>
            <w:tcW w:type="dxa" w:w="700"/>
            <w:tcMar>
              <w:top w:type="dxa" w:w="90"/>
              <w:left w:type="dxa" w:w="110"/>
              <w:bottom w:type="dxa" w:w="90"/>
              <w:right w:type="dxa" w:w="110"/>
            </w:tcMar>
          </w:tcPr>
          <w:p>
            <w:pPr>
              <w:spacing w:after="0" w:before="0" w:line="276"/>
            </w:pPr>
            <w:r>
              <w:rPr>
                <w:rFonts w:ascii="Calibri" w:cs="Calibri" w:eastAsia="Calibri" w:hAnsi="Calibri"/>
                <w:b/>
                <w:bCs/>
                <w:color w:val="1A1A1A"/>
                <w:sz w:val="18"/>
                <w:szCs w:val="18"/>
              </w:rPr>
              <w:t xml:space="preserve">R6</w:t>
            </w:r>
          </w:p>
        </w:tc>
        <w:tc>
          <w:tcPr>
            <w:tcW w:type="dxa" w:w="366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Build a Ramadan operating playbook</w:t>
            </w:r>
          </w:p>
        </w:tc>
        <w:tc>
          <w:tcPr>
            <w:tcW w:type="dxa" w:w="2200"/>
            <w:tcMar>
              <w:top w:type="dxa" w:w="90"/>
              <w:left w:type="dxa" w:w="110"/>
              <w:bottom w:type="dxa" w:w="90"/>
              <w:right w:type="dxa" w:w="110"/>
            </w:tcMar>
          </w:tcPr>
          <w:p>
            <w:pPr>
              <w:spacing w:after="0" w:before="0" w:line="276"/>
            </w:pPr>
            <w:r>
              <w:rPr>
                <w:rFonts w:ascii="Calibri" w:cs="Calibri" w:eastAsia="Calibri" w:hAnsi="Calibri"/>
                <w:color w:val="5C6B73"/>
                <w:sz w:val="18"/>
                <w:szCs w:val="18"/>
              </w:rPr>
              <w:t xml:space="preserve">Supply Chain Director</w:t>
            </w:r>
          </w:p>
        </w:tc>
        <w:tc>
          <w:tcPr>
            <w:tcW w:type="dxa" w:w="1400"/>
            <w:tcMar>
              <w:top w:type="dxa" w:w="90"/>
              <w:left w:type="dxa" w:w="110"/>
              <w:bottom w:type="dxa" w:w="90"/>
              <w:right w:type="dxa" w:w="110"/>
            </w:tcMar>
          </w:tcPr>
          <w:p>
            <w:pPr>
              <w:spacing w:after="0" w:before="0" w:line="276"/>
            </w:pPr>
            <w:r>
              <w:rPr>
                <w:rFonts w:ascii="Calibri" w:cs="Calibri" w:eastAsia="Calibri" w:hAnsi="Calibri"/>
                <w:b/>
                <w:bCs/>
                <w:color w:val="046A38"/>
                <w:sz w:val="18"/>
                <w:szCs w:val="18"/>
              </w:rPr>
              <w:t xml:space="preserve">AED 42k</w:t>
            </w:r>
          </w:p>
        </w:tc>
        <w:tc>
          <w:tcPr>
            <w:tcW w:type="dxa" w:w="140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11.5 mo</w:t>
            </w:r>
          </w:p>
        </w:tc>
      </w:tr>
    </w:tbl>
    <w:p>
      <w:pPr>
        <w:spacing w:after="140" w:before="120"/>
        <w:jc w:val="center"/>
      </w:pPr>
      <w:r>
        <w:drawing>
          <wp:inline distT="0" distB="0" distL="0" distR="0">
            <wp:extent cx="566737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2952750"/>
                    </a:xfrm>
                    <a:prstGeom prst="rect">
                      <a:avLst/>
                    </a:prstGeom>
                  </pic:spPr>
                </pic:pic>
              </a:graphicData>
            </a:graphic>
          </wp:inline>
        </w:drawing>
      </w:r>
    </w:p>
    <w:p>
      <w:pPr>
        <w:pStyle w:val="Heading2"/>
        <w:spacing w:after="110" w:before="240"/>
      </w:pPr>
      <w:r>
        <w:rPr>
          <w:rFonts w:ascii="Cambria" w:cs="Cambria" w:eastAsia="Cambria" w:hAnsi="Cambria"/>
          <w:b/>
          <w:bCs/>
          <w:color w:val="1A1A1A"/>
          <w:sz w:val="24"/>
          <w:szCs w:val="24"/>
        </w:rPr>
        <w:t xml:space="preserve">R1 · Re-time replenishment review and forecast forward, not backward</w:t>
      </w:r>
    </w:p>
    <w:p>
      <w:pPr>
        <w:spacing w:after="100" w:before="0" w:line="276"/>
      </w:pPr>
      <w:r>
        <w:rPr>
          <w:rFonts w:ascii="Calibri" w:cs="Calibri" w:eastAsia="Calibri" w:hAnsi="Calibri"/>
          <w:color w:val="5C6B73"/>
          <w:sz w:val="18"/>
          <w:szCs w:val="18"/>
        </w:rPr>
        <w:t xml:space="preserve">Demand Planning Lead  ·  immediate  ·  medium effort  ·  addresses CAD-01, SVC-01</w:t>
      </w:r>
    </w:p>
    <w:p>
      <w:pPr>
        <w:spacing w:after="120" w:before="0" w:line="276"/>
      </w:pPr>
      <w:r>
        <w:rPr>
          <w:rFonts w:ascii="Calibri" w:cs="Calibri" w:eastAsia="Calibri" w:hAnsi="Calibri"/>
          <w:color w:val="1A1A1A"/>
          <w:sz w:val="21"/>
          <w:szCs w:val="21"/>
        </w:rPr>
        <w:t xml:space="preserve">Two changes to the same process. First, move the replenishment review off Monday, Wednesday so that at least one review lands within 48 hours of the Friday and Saturday peak. Second — and this is the larger of the two — size order quantities against forecast demand over the full cover period rather than against the demand rate observed on the review day itself. Review days are currently the quietest days of the week, so every order is sized to a demand level the following weekend will exceed by 133%.</w:t>
      </w:r>
    </w:p>
    <w:tbl>
      <w:tblPr>
        <w:tblW w:type="dxa" w:w="7020"/>
        <w:tblBorders>
          <w:top w:val="single" w:color="DCE2E0" w:sz="1"/>
          <w:left w:val="none"/>
          <w:bottom w:val="single" w:color="DCE2E0" w:sz="1"/>
          <w:right w:val="none"/>
          <w:insideH w:val="single" w:color="DCE2E0" w:sz="1"/>
          <w:insideV w:val="none"/>
        </w:tblBorders>
      </w:tblPr>
      <w:tblGrid>
        <w:gridCol w:w="4680"/>
        <w:gridCol w:w="2340"/>
      </w:tblGrid>
      <w:tr>
        <w:tc>
          <w:tcPr>
            <w:tcW w:type="dxa" w:w="468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Benefit, after capture rate</w:t>
            </w:r>
          </w:p>
        </w:tc>
        <w:tc>
          <w:tcPr>
            <w:tcW w:type="dxa" w:w="234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AED 311k</w:t>
            </w:r>
          </w:p>
        </w:tc>
      </w:tr>
      <w:tr>
        <w:tc>
          <w:tcPr>
            <w:tcW w:type="dxa" w:w="468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Cost of acting</w:t>
            </w:r>
          </w:p>
        </w:tc>
        <w:tc>
          <w:tcPr>
            <w:tcW w:type="dxa" w:w="234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AED 25k</w:t>
            </w:r>
          </w:p>
        </w:tc>
      </w:tr>
      <w:tr>
        <w:tc>
          <w:tcPr>
            <w:tcW w:type="dxa" w:w="468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1A1A1A"/>
                <w:sz w:val="18"/>
                <w:szCs w:val="18"/>
              </w:rPr>
              <w:t xml:space="preserve">Net annual</w:t>
            </w:r>
          </w:p>
        </w:tc>
        <w:tc>
          <w:tcPr>
            <w:tcW w:type="dxa" w:w="234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046A38"/>
                <w:sz w:val="18"/>
                <w:szCs w:val="18"/>
              </w:rPr>
              <w:t xml:space="preserve">AED 311k</w:t>
            </w:r>
          </w:p>
        </w:tc>
      </w:tr>
    </w:tbl>
    <w:p>
      <w:pPr>
        <w:spacing w:after="120" w:before="120" w:line="276"/>
      </w:pPr>
      <w:r>
        <w:rPr>
          <w:rFonts w:ascii="Calibri" w:cs="Calibri" w:eastAsia="Calibri" w:hAnsi="Calibri"/>
          <w:b/>
          <w:bCs/>
          <w:color w:val="1A1A1A"/>
          <w:sz w:val="19"/>
          <w:szCs w:val="19"/>
        </w:rPr>
        <w:t xml:space="preserve">Why. </w:t>
      </w:r>
      <w:r>
        <w:rPr>
          <w:rFonts w:ascii="Calibri" w:cs="Calibri" w:eastAsia="Calibri" w:hAnsi="Calibri"/>
          <w:color w:val="1A1A1A"/>
          <w:sz w:val="19"/>
          <w:szCs w:val="19"/>
        </w:rPr>
        <w:t xml:space="preserve">This is the largest single recoverable item and the cheapest to act on, because it is a scheduling decision rather than a capital or contractual one.</w:t>
      </w:r>
    </w:p>
    <w:p>
      <w:pPr>
        <w:spacing w:after="120" w:before="0" w:line="276"/>
      </w:pPr>
      <w:r>
        <w:rPr>
          <w:rFonts w:ascii="Calibri" w:cs="Calibri" w:eastAsia="Calibri" w:hAnsi="Calibri"/>
          <w:b/>
          <w:bCs/>
          <w:color w:val="D64545"/>
          <w:sz w:val="19"/>
          <w:szCs w:val="19"/>
        </w:rPr>
        <w:t xml:space="preserve">Risk. </w:t>
      </w:r>
      <w:r>
        <w:rPr>
          <w:rFonts w:ascii="Calibri" w:cs="Calibri" w:eastAsia="Calibri" w:hAnsi="Calibri"/>
          <w:color w:val="1A1A1A"/>
          <w:sz w:val="19"/>
          <w:szCs w:val="19"/>
        </w:rPr>
        <w:t xml:space="preserve">Ordering to a forward forecast raises average stock, so waste will rise on short-shelf-life lines unless the safety-stock factor is reduced at the same time. Sequence this after, or alongside, the pack-size work.</w:t>
      </w:r>
    </w:p>
    <w:p>
      <w:pPr>
        <w:spacing w:after="120" w:before="0" w:line="276"/>
      </w:pPr>
      <w:r>
        <w:rPr>
          <w:rFonts w:ascii="Calibri" w:cs="Calibri" w:eastAsia="Calibri" w:hAnsi="Calibri"/>
          <w:b/>
          <w:bCs/>
          <w:color w:val="1A1A1A"/>
          <w:sz w:val="19"/>
          <w:szCs w:val="19"/>
        </w:rPr>
        <w:t xml:space="preserve">Success metric. </w:t>
      </w:r>
      <w:r>
        <w:rPr>
          <w:rFonts w:ascii="Calibri" w:cs="Calibri" w:eastAsia="Calibri" w:hAnsi="Calibri"/>
          <w:color w:val="1A1A1A"/>
          <w:sz w:val="19"/>
          <w:szCs w:val="19"/>
        </w:rPr>
        <w:t xml:space="preserve">Weekly fill-rate spread (best day minus worst day) below 5pp within two months; Monday fill rate above 92%. Reviewed weekly.</w:t>
      </w:r>
    </w:p>
    <w:p>
      <w:pPr>
        <w:spacing w:after="50" w:before="0" w:line="276"/>
      </w:pPr>
      <w:r>
        <w:rPr>
          <w:rFonts w:ascii="Calibri" w:cs="Calibri" w:eastAsia="Calibri" w:hAnsi="Calibri"/>
          <w:b/>
          <w:bCs/>
          <w:color w:val="1A1A1A"/>
          <w:sz w:val="19"/>
          <w:szCs w:val="19"/>
        </w:rPr>
        <w:t xml:space="preserve">Assumptions</w:t>
      </w:r>
    </w:p>
    <w:p>
      <w:pPr>
        <w:pStyle w:val="ListParagraph"/>
        <w:numPr>
          <w:ilvl w:val="0"/>
          <w:numId w:val="2"/>
        </w:numPr>
        <w:spacing w:after="70" w:line="276"/>
      </w:pPr>
      <w:r>
        <w:rPr>
          <w:rFonts w:ascii="Calibri" w:cs="Calibri" w:eastAsia="Calibri" w:hAnsi="Calibri"/>
          <w:color w:val="5C6B73"/>
          <w:sz w:val="18"/>
          <w:szCs w:val="18"/>
        </w:rPr>
        <w:t xml:space="preserve">Capture rate 65% — a re-timed review recovers most but not all of the weekly swing; some of it is supplier lead-time noise that no calendar fixes.</w:t>
      </w:r>
    </w:p>
    <w:p>
      <w:pPr>
        <w:pStyle w:val="ListParagraph"/>
        <w:numPr>
          <w:ilvl w:val="0"/>
          <w:numId w:val="2"/>
        </w:numPr>
        <w:spacing w:after="70" w:line="276"/>
      </w:pPr>
      <w:r>
        <w:rPr>
          <w:rFonts w:ascii="Calibri" w:cs="Calibri" w:eastAsia="Calibri" w:hAnsi="Calibri"/>
          <w:color w:val="5C6B73"/>
          <w:sz w:val="18"/>
          <w:szCs w:val="18"/>
        </w:rPr>
        <w:t xml:space="preserve">One-off cost AED 25,000 for system configuration, supplier renegotiation of order windows, and planner training.</w:t>
      </w:r>
    </w:p>
    <w:p>
      <w:pPr>
        <w:pStyle w:val="Heading2"/>
        <w:spacing w:after="110" w:before="240"/>
      </w:pPr>
      <w:r>
        <w:rPr>
          <w:rFonts w:ascii="Cambria" w:cs="Cambria" w:eastAsia="Cambria" w:hAnsi="Cambria"/>
          <w:b/>
          <w:bCs/>
          <w:color w:val="1A1A1A"/>
          <w:sz w:val="24"/>
          <w:szCs w:val="24"/>
        </w:rPr>
        <w:t xml:space="preserve">R2 · Re-specify case packs on short-shelf-life lines</w:t>
      </w:r>
    </w:p>
    <w:p>
      <w:pPr>
        <w:spacing w:after="100" w:before="0" w:line="276"/>
      </w:pPr>
      <w:r>
        <w:rPr>
          <w:rFonts w:ascii="Calibri" w:cs="Calibri" w:eastAsia="Calibri" w:hAnsi="Calibri"/>
          <w:color w:val="5C6B73"/>
          <w:sz w:val="18"/>
          <w:szCs w:val="18"/>
        </w:rPr>
        <w:t xml:space="preserve">Procurement Lead  ·  near term  ·  high effort  ·  addresses LOT-01, WST-01, WST-02, WST-03, WST-04</w:t>
      </w:r>
    </w:p>
    <w:p>
      <w:pPr>
        <w:spacing w:after="120" w:before="0" w:line="276"/>
      </w:pPr>
      <w:r>
        <w:rPr>
          <w:rFonts w:ascii="Calibri" w:cs="Calibri" w:eastAsia="Calibri" w:hAnsi="Calibri"/>
          <w:color w:val="1A1A1A"/>
          <w:sz w:val="21"/>
          <w:szCs w:val="21"/>
        </w:rPr>
        <w:t xml:space="preserve">Renegotiate minimum order quantity on the store-SKU lines where a single case cannot be sold within the product's shelf life. Target a pack size giving no more than 50% of shelf life in cover at current velocity. Open with Modern Bakehouse, which accounts for the largest share of the affected write-off. Where a supplier will not break the pack, the alternative is cross-docking a single delivery across two or three stores rather than forcing full cases into each.</w:t>
      </w:r>
    </w:p>
    <w:tbl>
      <w:tblPr>
        <w:tblW w:type="dxa" w:w="7020"/>
        <w:tblBorders>
          <w:top w:val="single" w:color="DCE2E0" w:sz="1"/>
          <w:left w:val="none"/>
          <w:bottom w:val="single" w:color="DCE2E0" w:sz="1"/>
          <w:right w:val="none"/>
          <w:insideH w:val="single" w:color="DCE2E0" w:sz="1"/>
          <w:insideV w:val="none"/>
        </w:tblBorders>
      </w:tblPr>
      <w:tblGrid>
        <w:gridCol w:w="4680"/>
        <w:gridCol w:w="2340"/>
      </w:tblGrid>
      <w:tr>
        <w:tc>
          <w:tcPr>
            <w:tcW w:type="dxa" w:w="468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Benefit, after capture rate</w:t>
            </w:r>
          </w:p>
        </w:tc>
        <w:tc>
          <w:tcPr>
            <w:tcW w:type="dxa" w:w="234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AED 123k</w:t>
            </w:r>
          </w:p>
        </w:tc>
      </w:tr>
      <w:tr>
        <w:tc>
          <w:tcPr>
            <w:tcW w:type="dxa" w:w="468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Cost of acting</w:t>
            </w:r>
          </w:p>
        </w:tc>
        <w:tc>
          <w:tcPr>
            <w:tcW w:type="dxa" w:w="234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AED 12k</w:t>
            </w:r>
          </w:p>
        </w:tc>
      </w:tr>
      <w:tr>
        <w:tc>
          <w:tcPr>
            <w:tcW w:type="dxa" w:w="468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1A1A1A"/>
                <w:sz w:val="18"/>
                <w:szCs w:val="18"/>
              </w:rPr>
              <w:t xml:space="preserve">Net annual</w:t>
            </w:r>
          </w:p>
        </w:tc>
        <w:tc>
          <w:tcPr>
            <w:tcW w:type="dxa" w:w="234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046A38"/>
                <w:sz w:val="18"/>
                <w:szCs w:val="18"/>
              </w:rPr>
              <w:t xml:space="preserve">AED 111k</w:t>
            </w:r>
          </w:p>
        </w:tc>
      </w:tr>
    </w:tbl>
    <w:p>
      <w:pPr>
        <w:spacing w:after="120" w:before="120" w:line="276"/>
      </w:pPr>
      <w:r>
        <w:rPr>
          <w:rFonts w:ascii="Calibri" w:cs="Calibri" w:eastAsia="Calibri" w:hAnsi="Calibri"/>
          <w:b/>
          <w:bCs/>
          <w:color w:val="1A1A1A"/>
          <w:sz w:val="19"/>
          <w:szCs w:val="19"/>
        </w:rPr>
        <w:t xml:space="preserve">Why. </w:t>
      </w:r>
      <w:r>
        <w:rPr>
          <w:rFonts w:ascii="Calibri" w:cs="Calibri" w:eastAsia="Calibri" w:hAnsi="Calibri"/>
          <w:color w:val="1A1A1A"/>
          <w:sz w:val="19"/>
          <w:szCs w:val="19"/>
        </w:rPr>
        <w:t xml:space="preserve">The write-off on these lines is not an execution failure. No amount of store discipline recovers it, because the stock is guaranteed to expire from the moment it is ordered. It is a single procurement decision with a single owner.</w:t>
      </w:r>
    </w:p>
    <w:p>
      <w:pPr>
        <w:spacing w:after="120" w:before="0" w:line="276"/>
      </w:pPr>
      <w:r>
        <w:rPr>
          <w:rFonts w:ascii="Calibri" w:cs="Calibri" w:eastAsia="Calibri" w:hAnsi="Calibri"/>
          <w:b/>
          <w:bCs/>
          <w:color w:val="D64545"/>
          <w:sz w:val="19"/>
          <w:szCs w:val="19"/>
        </w:rPr>
        <w:t xml:space="preserve">Risk. </w:t>
      </w:r>
      <w:r>
        <w:rPr>
          <w:rFonts w:ascii="Calibri" w:cs="Calibri" w:eastAsia="Calibri" w:hAnsi="Calibri"/>
          <w:color w:val="1A1A1A"/>
          <w:sz w:val="19"/>
          <w:szCs w:val="19"/>
        </w:rPr>
        <w:t xml:space="preserve">Suppliers will price smaller lots higher, and may resist on handling grounds. If the achieved premium exceeds 1.5% the case weakens quickly — this should be re-tested against actual quoted terms before committing.</w:t>
      </w:r>
    </w:p>
    <w:p>
      <w:pPr>
        <w:spacing w:after="120" w:before="0" w:line="276"/>
      </w:pPr>
      <w:r>
        <w:rPr>
          <w:rFonts w:ascii="Calibri" w:cs="Calibri" w:eastAsia="Calibri" w:hAnsi="Calibri"/>
          <w:b/>
          <w:bCs/>
          <w:color w:val="1A1A1A"/>
          <w:sz w:val="19"/>
          <w:szCs w:val="19"/>
        </w:rPr>
        <w:t xml:space="preserve">Success metric. </w:t>
      </w:r>
      <w:r>
        <w:rPr>
          <w:rFonts w:ascii="Calibri" w:cs="Calibri" w:eastAsia="Calibri" w:hAnsi="Calibri"/>
          <w:color w:val="1A1A1A"/>
          <w:sz w:val="19"/>
          <w:szCs w:val="19"/>
        </w:rPr>
        <w:t xml:space="preserve">Waste rate on affected lines below 4% within one quarter; no fill-rate deterioration on the same lines. Reviewed monthly.</w:t>
      </w:r>
    </w:p>
    <w:p>
      <w:pPr>
        <w:spacing w:after="50" w:before="0" w:line="276"/>
      </w:pPr>
      <w:r>
        <w:rPr>
          <w:rFonts w:ascii="Calibri" w:cs="Calibri" w:eastAsia="Calibri" w:hAnsi="Calibri"/>
          <w:b/>
          <w:bCs/>
          <w:color w:val="1A1A1A"/>
          <w:sz w:val="19"/>
          <w:szCs w:val="19"/>
        </w:rPr>
        <w:t xml:space="preserve">Assumptions</w:t>
      </w:r>
    </w:p>
    <w:p>
      <w:pPr>
        <w:pStyle w:val="ListParagraph"/>
        <w:numPr>
          <w:ilvl w:val="0"/>
          <w:numId w:val="2"/>
        </w:numPr>
        <w:spacing w:after="70" w:line="276"/>
      </w:pPr>
      <w:r>
        <w:rPr>
          <w:rFonts w:ascii="Calibri" w:cs="Calibri" w:eastAsia="Calibri" w:hAnsi="Calibri"/>
          <w:color w:val="5C6B73"/>
          <w:sz w:val="18"/>
          <w:szCs w:val="18"/>
        </w:rPr>
        <w:t xml:space="preserve">Capture rate 60% — a right-sized pack removes the guaranteed expiry but not waste caused by demand volatility.</w:t>
      </w:r>
    </w:p>
    <w:p>
      <w:pPr>
        <w:pStyle w:val="ListParagraph"/>
        <w:numPr>
          <w:ilvl w:val="0"/>
          <w:numId w:val="2"/>
        </w:numPr>
        <w:spacing w:after="70" w:line="276"/>
      </w:pPr>
      <w:r>
        <w:rPr>
          <w:rFonts w:ascii="Calibri" w:cs="Calibri" w:eastAsia="Calibri" w:hAnsi="Calibri"/>
          <w:color w:val="5C6B73"/>
          <w:sz w:val="18"/>
          <w:szCs w:val="18"/>
        </w:rPr>
        <w:t xml:space="preserve">Unit-cost premium of 1.5% on AED 803,936 of annual purchase value on affected lines. THIS IS THE WEAKEST ASSUMPTION IN THE ANALYSIS — it is a placeholder until suppliers quote.</w:t>
      </w:r>
    </w:p>
    <w:p>
      <w:pPr>
        <w:pStyle w:val="Heading2"/>
        <w:spacing w:after="110" w:before="240"/>
      </w:pPr>
      <w:r>
        <w:rPr>
          <w:rFonts w:ascii="Cambria" w:cs="Cambria" w:eastAsia="Cambria" w:hAnsi="Cambria"/>
          <w:b/>
          <w:bCs/>
          <w:color w:val="1A1A1A"/>
          <w:sz w:val="24"/>
          <w:szCs w:val="24"/>
        </w:rPr>
        <w:t xml:space="preserve">R4 · Rationalise the slow-moving tail and reallocate the slots</w:t>
      </w:r>
    </w:p>
    <w:p>
      <w:pPr>
        <w:spacing w:after="100" w:before="0" w:line="276"/>
      </w:pPr>
      <w:r>
        <w:rPr>
          <w:rFonts w:ascii="Calibri" w:cs="Calibri" w:eastAsia="Calibri" w:hAnsi="Calibri"/>
          <w:color w:val="5C6B73"/>
          <w:sz w:val="18"/>
          <w:szCs w:val="18"/>
        </w:rPr>
        <w:t xml:space="preserve">Category Manager  ·  near term  ·  medium effort  ·  addresses AST-01</w:t>
      </w:r>
    </w:p>
    <w:p>
      <w:pPr>
        <w:spacing w:after="120" w:before="0" w:line="276"/>
      </w:pPr>
      <w:r>
        <w:rPr>
          <w:rFonts w:ascii="Calibri" w:cs="Calibri" w:eastAsia="Calibri" w:hAnsi="Calibri"/>
          <w:color w:val="1A1A1A"/>
          <w:sz w:val="21"/>
          <w:szCs w:val="21"/>
        </w:rPr>
        <w:t xml:space="preserve">Delist the slowest-moving lines across 348 store-SKU slots, protecting any line that is a known basket-builder or a category-completeness requirement. Reallocate freed slots to the top revenue decile, where availability is currently the binding constraint. Run it market by market rather than network-wide so the demand-migration assumption can be tested on the first market before the rest follow.</w:t>
      </w:r>
    </w:p>
    <w:tbl>
      <w:tblPr>
        <w:tblW w:type="dxa" w:w="7020"/>
        <w:tblBorders>
          <w:top w:val="single" w:color="DCE2E0" w:sz="1"/>
          <w:left w:val="none"/>
          <w:bottom w:val="single" w:color="DCE2E0" w:sz="1"/>
          <w:right w:val="none"/>
          <w:insideH w:val="single" w:color="DCE2E0" w:sz="1"/>
          <w:insideV w:val="none"/>
        </w:tblBorders>
      </w:tblPr>
      <w:tblGrid>
        <w:gridCol w:w="4680"/>
        <w:gridCol w:w="2340"/>
      </w:tblGrid>
      <w:tr>
        <w:tc>
          <w:tcPr>
            <w:tcW w:type="dxa" w:w="468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Benefit, after capture rate</w:t>
            </w:r>
          </w:p>
        </w:tc>
        <w:tc>
          <w:tcPr>
            <w:tcW w:type="dxa" w:w="234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AED 107k</w:t>
            </w:r>
          </w:p>
        </w:tc>
      </w:tr>
      <w:tr>
        <w:tc>
          <w:tcPr>
            <w:tcW w:type="dxa" w:w="468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Cost of acting</w:t>
            </w:r>
          </w:p>
        </w:tc>
        <w:tc>
          <w:tcPr>
            <w:tcW w:type="dxa" w:w="234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AED 23k</w:t>
            </w:r>
          </w:p>
        </w:tc>
      </w:tr>
      <w:tr>
        <w:tc>
          <w:tcPr>
            <w:tcW w:type="dxa" w:w="468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1A1A1A"/>
                <w:sz w:val="18"/>
                <w:szCs w:val="18"/>
              </w:rPr>
              <w:t xml:space="preserve">Net annual</w:t>
            </w:r>
          </w:p>
        </w:tc>
        <w:tc>
          <w:tcPr>
            <w:tcW w:type="dxa" w:w="234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046A38"/>
                <w:sz w:val="18"/>
                <w:szCs w:val="18"/>
              </w:rPr>
              <w:t xml:space="preserve">AED 107k</w:t>
            </w:r>
          </w:p>
        </w:tc>
      </w:tr>
    </w:tbl>
    <w:p>
      <w:pPr>
        <w:spacing w:after="120" w:before="120" w:line="276"/>
      </w:pPr>
      <w:r>
        <w:rPr>
          <w:rFonts w:ascii="Calibri" w:cs="Calibri" w:eastAsia="Calibri" w:hAnsi="Calibri"/>
          <w:b/>
          <w:bCs/>
          <w:color w:val="1A1A1A"/>
          <w:sz w:val="19"/>
          <w:szCs w:val="19"/>
        </w:rPr>
        <w:t xml:space="preserve">Why. </w:t>
      </w:r>
      <w:r>
        <w:rPr>
          <w:rFonts w:ascii="Calibri" w:cs="Calibri" w:eastAsia="Calibri" w:hAnsi="Calibri"/>
          <w:color w:val="1A1A1A"/>
          <w:sz w:val="19"/>
          <w:szCs w:val="19"/>
        </w:rPr>
        <w:t xml:space="preserve">The tail consumes slot capacity and write-off out of all proportion to what it earns, and those slots are the same constraint limiting availability on the lines that do sell.</w:t>
      </w:r>
    </w:p>
    <w:p>
      <w:pPr>
        <w:spacing w:after="120" w:before="0" w:line="276"/>
      </w:pPr>
      <w:r>
        <w:rPr>
          <w:rFonts w:ascii="Calibri" w:cs="Calibri" w:eastAsia="Calibri" w:hAnsi="Calibri"/>
          <w:b/>
          <w:bCs/>
          <w:color w:val="D64545"/>
          <w:sz w:val="19"/>
          <w:szCs w:val="19"/>
        </w:rPr>
        <w:t xml:space="preserve">Risk. </w:t>
      </w:r>
      <w:r>
        <w:rPr>
          <w:rFonts w:ascii="Calibri" w:cs="Calibri" w:eastAsia="Calibri" w:hAnsi="Calibri"/>
          <w:color w:val="1A1A1A"/>
          <w:sz w:val="19"/>
          <w:szCs w:val="19"/>
        </w:rPr>
        <w:t xml:space="preserve">Range perception. Customers do not experience a delist as an efficiency gain, and quick-commerce baskets are sensitive to one-missing-item abandonment. The 50% demand-migration assumption behind the benefit is unverified and is the number most likely to be wrong.</w:t>
      </w:r>
    </w:p>
    <w:p>
      <w:pPr>
        <w:spacing w:after="120" w:before="0" w:line="276"/>
      </w:pPr>
      <w:r>
        <w:rPr>
          <w:rFonts w:ascii="Calibri" w:cs="Calibri" w:eastAsia="Calibri" w:hAnsi="Calibri"/>
          <w:b/>
          <w:bCs/>
          <w:color w:val="1A1A1A"/>
          <w:sz w:val="19"/>
          <w:szCs w:val="19"/>
        </w:rPr>
        <w:t xml:space="preserve">Success metric. </w:t>
      </w:r>
      <w:r>
        <w:rPr>
          <w:rFonts w:ascii="Calibri" w:cs="Calibri" w:eastAsia="Calibri" w:hAnsi="Calibri"/>
          <w:color w:val="1A1A1A"/>
          <w:sz w:val="19"/>
          <w:szCs w:val="19"/>
        </w:rPr>
        <w:t xml:space="preserve">Slot productivity (revenue per slot) up 10% within two quarters with no fall in basket size or order frequency. Reviewed monthly.</w:t>
      </w:r>
    </w:p>
    <w:p>
      <w:pPr>
        <w:spacing w:after="50" w:before="0" w:line="276"/>
      </w:pPr>
      <w:r>
        <w:rPr>
          <w:rFonts w:ascii="Calibri" w:cs="Calibri" w:eastAsia="Calibri" w:hAnsi="Calibri"/>
          <w:b/>
          <w:bCs/>
          <w:color w:val="1A1A1A"/>
          <w:sz w:val="19"/>
          <w:szCs w:val="19"/>
        </w:rPr>
        <w:t xml:space="preserve">Assumptions</w:t>
      </w:r>
    </w:p>
    <w:p>
      <w:pPr>
        <w:pStyle w:val="ListParagraph"/>
        <w:numPr>
          <w:ilvl w:val="0"/>
          <w:numId w:val="2"/>
        </w:numPr>
        <w:spacing w:after="70" w:line="276"/>
      </w:pPr>
      <w:r>
        <w:rPr>
          <w:rFonts w:ascii="Calibri" w:cs="Calibri" w:eastAsia="Calibri" w:hAnsi="Calibri"/>
          <w:color w:val="5C6B73"/>
          <w:sz w:val="18"/>
          <w:szCs w:val="18"/>
        </w:rPr>
        <w:t xml:space="preserve">Capture rate 70% of the modelled slot and waste saving.</w:t>
      </w:r>
    </w:p>
    <w:p>
      <w:pPr>
        <w:pStyle w:val="ListParagraph"/>
        <w:numPr>
          <w:ilvl w:val="0"/>
          <w:numId w:val="2"/>
        </w:numPr>
        <w:spacing w:after="70" w:line="276"/>
      </w:pPr>
      <w:r>
        <w:rPr>
          <w:rFonts w:ascii="Calibri" w:cs="Calibri" w:eastAsia="Calibri" w:hAnsi="Calibri"/>
          <w:color w:val="5C6B73"/>
          <w:sz w:val="18"/>
          <w:szCs w:val="18"/>
        </w:rPr>
        <w:t xml:space="preserve">Half the demand on delisted lines migrates to remaining range. Unverified — a basket-affinity analysis should precede execution.</w:t>
      </w:r>
    </w:p>
    <w:p>
      <w:pPr>
        <w:pStyle w:val="ListParagraph"/>
        <w:numPr>
          <w:ilvl w:val="0"/>
          <w:numId w:val="2"/>
        </w:numPr>
        <w:spacing w:after="70" w:line="276"/>
      </w:pPr>
      <w:r>
        <w:rPr>
          <w:rFonts w:ascii="Calibri" w:cs="Calibri" w:eastAsia="Calibri" w:hAnsi="Calibri"/>
          <w:color w:val="5C6B73"/>
          <w:sz w:val="18"/>
          <w:szCs w:val="18"/>
        </w:rPr>
        <w:t xml:space="preserve">Range reset costs AED 65/slot.</w:t>
      </w:r>
    </w:p>
    <w:p>
      <w:pPr>
        <w:pStyle w:val="Heading2"/>
        <w:spacing w:after="110" w:before="240"/>
      </w:pPr>
      <w:r>
        <w:rPr>
          <w:rFonts w:ascii="Cambria" w:cs="Cambria" w:eastAsia="Cambria" w:hAnsi="Cambria"/>
          <w:b/>
          <w:bCs/>
          <w:color w:val="1A1A1A"/>
          <w:sz w:val="24"/>
          <w:szCs w:val="24"/>
        </w:rPr>
        <w:t xml:space="preserve">R3 · Put Gulf Fresh Produce on a formal performance plan and dual-source</w:t>
      </w:r>
    </w:p>
    <w:p>
      <w:pPr>
        <w:spacing w:after="100" w:before="0" w:line="276"/>
      </w:pPr>
      <w:r>
        <w:rPr>
          <w:rFonts w:ascii="Calibri" w:cs="Calibri" w:eastAsia="Calibri" w:hAnsi="Calibri"/>
          <w:color w:val="5C6B73"/>
          <w:sz w:val="18"/>
          <w:szCs w:val="18"/>
        </w:rPr>
        <w:t xml:space="preserve">Procurement Lead  ·  near term  ·  medium effort  ·  addresses SUP-01</w:t>
      </w:r>
    </w:p>
    <w:p>
      <w:pPr>
        <w:spacing w:after="120" w:before="0" w:line="276"/>
      </w:pPr>
      <w:r>
        <w:rPr>
          <w:rFonts w:ascii="Calibri" w:cs="Calibri" w:eastAsia="Calibri" w:hAnsi="Calibri"/>
          <w:color w:val="1A1A1A"/>
          <w:sz w:val="21"/>
          <w:szCs w:val="21"/>
        </w:rPr>
        <w:t xml:space="preserve">Three steps. (1) Raise a supplier performance plan with a contractual OTIF floor and weekly reporting; the degradation is recent and datable — performance changed in 2026-02: lead time moved from 2.05 to 3.23 days and its standard deviation from 0.28 to 1.48. (2) Dual-source roughly 40% of volume on the highest-velocity lines this supplier covers, to cap exposure while the plan runs. (3) Until on-time performance recovers, raise the safety-stock factor on affected lines to absorb the observed lead-time variability of 2-day promise against 2.39-day actual.</w:t>
      </w:r>
    </w:p>
    <w:tbl>
      <w:tblPr>
        <w:tblW w:type="dxa" w:w="7020"/>
        <w:tblBorders>
          <w:top w:val="single" w:color="DCE2E0" w:sz="1"/>
          <w:left w:val="none"/>
          <w:bottom w:val="single" w:color="DCE2E0" w:sz="1"/>
          <w:right w:val="none"/>
          <w:insideH w:val="single" w:color="DCE2E0" w:sz="1"/>
          <w:insideV w:val="none"/>
        </w:tblBorders>
      </w:tblPr>
      <w:tblGrid>
        <w:gridCol w:w="4680"/>
        <w:gridCol w:w="2340"/>
      </w:tblGrid>
      <w:tr>
        <w:tc>
          <w:tcPr>
            <w:tcW w:type="dxa" w:w="468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Benefit, after capture rate</w:t>
            </w:r>
          </w:p>
        </w:tc>
        <w:tc>
          <w:tcPr>
            <w:tcW w:type="dxa" w:w="234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AED 105k</w:t>
            </w:r>
          </w:p>
        </w:tc>
      </w:tr>
      <w:tr>
        <w:tc>
          <w:tcPr>
            <w:tcW w:type="dxa" w:w="468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Cost of acting</w:t>
            </w:r>
          </w:p>
        </w:tc>
        <w:tc>
          <w:tcPr>
            <w:tcW w:type="dxa" w:w="234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AED 22k</w:t>
            </w:r>
          </w:p>
        </w:tc>
      </w:tr>
      <w:tr>
        <w:tc>
          <w:tcPr>
            <w:tcW w:type="dxa" w:w="468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1A1A1A"/>
                <w:sz w:val="18"/>
                <w:szCs w:val="18"/>
              </w:rPr>
              <w:t xml:space="preserve">Net annual</w:t>
            </w:r>
          </w:p>
        </w:tc>
        <w:tc>
          <w:tcPr>
            <w:tcW w:type="dxa" w:w="234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046A38"/>
                <w:sz w:val="18"/>
                <w:szCs w:val="18"/>
              </w:rPr>
              <w:t xml:space="preserve">AED 83k</w:t>
            </w:r>
          </w:p>
        </w:tc>
      </w:tr>
    </w:tbl>
    <w:p>
      <w:pPr>
        <w:spacing w:after="120" w:before="120" w:line="276"/>
      </w:pPr>
      <w:r>
        <w:rPr>
          <w:rFonts w:ascii="Calibri" w:cs="Calibri" w:eastAsia="Calibri" w:hAnsi="Calibri"/>
          <w:b/>
          <w:bCs/>
          <w:color w:val="1A1A1A"/>
          <w:sz w:val="19"/>
          <w:szCs w:val="19"/>
        </w:rPr>
        <w:t xml:space="preserve">Why. </w:t>
      </w:r>
      <w:r>
        <w:rPr>
          <w:rFonts w:ascii="Calibri" w:cs="Calibri" w:eastAsia="Calibri" w:hAnsi="Calibri"/>
          <w:color w:val="1A1A1A"/>
          <w:sz w:val="19"/>
          <w:szCs w:val="19"/>
        </w:rPr>
        <w:t xml:space="preserve">This is a datable change in a single supplier's behaviour, not a gradual drift, which makes it both diagnosable and negotiable.</w:t>
      </w:r>
    </w:p>
    <w:p>
      <w:pPr>
        <w:spacing w:after="120" w:before="0" w:line="276"/>
      </w:pPr>
      <w:r>
        <w:rPr>
          <w:rFonts w:ascii="Calibri" w:cs="Calibri" w:eastAsia="Calibri" w:hAnsi="Calibri"/>
          <w:b/>
          <w:bCs/>
          <w:color w:val="D64545"/>
          <w:sz w:val="19"/>
          <w:szCs w:val="19"/>
        </w:rPr>
        <w:t xml:space="preserve">Risk. </w:t>
      </w:r>
      <w:r>
        <w:rPr>
          <w:rFonts w:ascii="Calibri" w:cs="Calibri" w:eastAsia="Calibri" w:hAnsi="Calibri"/>
          <w:color w:val="1A1A1A"/>
          <w:sz w:val="19"/>
          <w:szCs w:val="19"/>
        </w:rPr>
        <w:t xml:space="preserve">Dual-sourcing fresh produce splits volume and may weaken terms with both suppliers. Temporary safety-stock uplift raises waste on a short-shelf-life category — this is a deliberate trade of waste for availability and should be time-boxed.</w:t>
      </w:r>
    </w:p>
    <w:p>
      <w:pPr>
        <w:spacing w:after="120" w:before="0" w:line="276"/>
      </w:pPr>
      <w:r>
        <w:rPr>
          <w:rFonts w:ascii="Calibri" w:cs="Calibri" w:eastAsia="Calibri" w:hAnsi="Calibri"/>
          <w:b/>
          <w:bCs/>
          <w:color w:val="1A1A1A"/>
          <w:sz w:val="19"/>
          <w:szCs w:val="19"/>
        </w:rPr>
        <w:t xml:space="preserve">Success metric. </w:t>
      </w:r>
      <w:r>
        <w:rPr>
          <w:rFonts w:ascii="Calibri" w:cs="Calibri" w:eastAsia="Calibri" w:hAnsi="Calibri"/>
          <w:color w:val="1A1A1A"/>
          <w:sz w:val="19"/>
          <w:szCs w:val="19"/>
        </w:rPr>
        <w:t xml:space="preserve">OTIF above 90% within one quarter; lead-time CV below 0.35. Reviewed weekly.</w:t>
      </w:r>
    </w:p>
    <w:p>
      <w:pPr>
        <w:spacing w:after="50" w:before="0" w:line="276"/>
      </w:pPr>
      <w:r>
        <w:rPr>
          <w:rFonts w:ascii="Calibri" w:cs="Calibri" w:eastAsia="Calibri" w:hAnsi="Calibri"/>
          <w:b/>
          <w:bCs/>
          <w:color w:val="1A1A1A"/>
          <w:sz w:val="19"/>
          <w:szCs w:val="19"/>
        </w:rPr>
        <w:t xml:space="preserve">Assumptions</w:t>
      </w:r>
    </w:p>
    <w:p>
      <w:pPr>
        <w:pStyle w:val="ListParagraph"/>
        <w:numPr>
          <w:ilvl w:val="0"/>
          <w:numId w:val="2"/>
        </w:numPr>
        <w:spacing w:after="70" w:line="276"/>
      </w:pPr>
      <w:r>
        <w:rPr>
          <w:rFonts w:ascii="Calibri" w:cs="Calibri" w:eastAsia="Calibri" w:hAnsi="Calibri"/>
          <w:color w:val="5C6B73"/>
          <w:sz w:val="18"/>
          <w:szCs w:val="18"/>
        </w:rPr>
        <w:t xml:space="preserve">Capture rate 55% — supplier remediation is slow and partial; a plan rarely restores full performance inside a year.</w:t>
      </w:r>
    </w:p>
    <w:p>
      <w:pPr>
        <w:pStyle w:val="ListParagraph"/>
        <w:numPr>
          <w:ilvl w:val="0"/>
          <w:numId w:val="2"/>
        </w:numPr>
        <w:spacing w:after="70" w:line="276"/>
      </w:pPr>
      <w:r>
        <w:rPr>
          <w:rFonts w:ascii="Calibri" w:cs="Calibri" w:eastAsia="Calibri" w:hAnsi="Calibri"/>
          <w:color w:val="5C6B73"/>
          <w:sz w:val="18"/>
          <w:szCs w:val="18"/>
        </w:rPr>
        <w:t xml:space="preserve">Dual-source premium 3.0% on 40% of AED 1,854,658 annual spend with this supplier.</w:t>
      </w:r>
    </w:p>
    <w:p>
      <w:pPr>
        <w:pStyle w:val="Heading2"/>
        <w:spacing w:after="110" w:before="240"/>
      </w:pPr>
      <w:r>
        <w:rPr>
          <w:rFonts w:ascii="Cambria" w:cs="Cambria" w:eastAsia="Cambria" w:hAnsi="Cambria"/>
          <w:b/>
          <w:bCs/>
          <w:color w:val="1A1A1A"/>
          <w:sz w:val="24"/>
          <w:szCs w:val="24"/>
        </w:rPr>
        <w:t xml:space="preserve">R5a · Re-time captain shifts at Al Nahda to the demand peak</w:t>
      </w:r>
    </w:p>
    <w:p>
      <w:pPr>
        <w:spacing w:after="100" w:before="0" w:line="276"/>
      </w:pPr>
      <w:r>
        <w:rPr>
          <w:rFonts w:ascii="Calibri" w:cs="Calibri" w:eastAsia="Calibri" w:hAnsi="Calibri"/>
          <w:color w:val="5C6B73"/>
          <w:sz w:val="18"/>
          <w:szCs w:val="18"/>
        </w:rPr>
        <w:t xml:space="preserve">Fleet Operations Manager  ·  immediate  ·  low effort  ·  addresses FLT-01</w:t>
      </w:r>
    </w:p>
    <w:p>
      <w:pPr>
        <w:spacing w:after="120" w:before="0" w:line="276"/>
      </w:pPr>
      <w:r>
        <w:rPr>
          <w:rFonts w:ascii="Calibri" w:cs="Calibri" w:eastAsia="Calibri" w:hAnsi="Calibri"/>
          <w:color w:val="1A1A1A"/>
          <w:sz w:val="21"/>
          <w:szCs w:val="21"/>
        </w:rPr>
        <w:t xml:space="preserve">35% of this store's orders fall in four hours (18:00, 19:00, 20:00, 21:00), and delivery time in those hours averages 35 min against 30 min outside them. Rebuild the shift pattern so captain hours track that curve, before adding any headcount. This is a rostering change, not a hiring decision.</w:t>
      </w:r>
    </w:p>
    <w:tbl>
      <w:tblPr>
        <w:tblW w:type="dxa" w:w="7020"/>
        <w:tblBorders>
          <w:top w:val="single" w:color="DCE2E0" w:sz="1"/>
          <w:left w:val="none"/>
          <w:bottom w:val="single" w:color="DCE2E0" w:sz="1"/>
          <w:right w:val="none"/>
          <w:insideH w:val="single" w:color="DCE2E0" w:sz="1"/>
          <w:insideV w:val="none"/>
        </w:tblBorders>
      </w:tblPr>
      <w:tblGrid>
        <w:gridCol w:w="4680"/>
        <w:gridCol w:w="2340"/>
      </w:tblGrid>
      <w:tr>
        <w:tc>
          <w:tcPr>
            <w:tcW w:type="dxa" w:w="468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Benefit, after capture rate</w:t>
            </w:r>
          </w:p>
        </w:tc>
        <w:tc>
          <w:tcPr>
            <w:tcW w:type="dxa" w:w="234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AED 73k</w:t>
            </w:r>
          </w:p>
        </w:tc>
      </w:tr>
      <w:tr>
        <w:tc>
          <w:tcPr>
            <w:tcW w:type="dxa" w:w="468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Cost of acting</w:t>
            </w:r>
          </w:p>
        </w:tc>
        <w:tc>
          <w:tcPr>
            <w:tcW w:type="dxa" w:w="234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AED 15k</w:t>
            </w:r>
          </w:p>
        </w:tc>
      </w:tr>
      <w:tr>
        <w:tc>
          <w:tcPr>
            <w:tcW w:type="dxa" w:w="468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1A1A1A"/>
                <w:sz w:val="18"/>
                <w:szCs w:val="18"/>
              </w:rPr>
              <w:t xml:space="preserve">Net annual</w:t>
            </w:r>
          </w:p>
        </w:tc>
        <w:tc>
          <w:tcPr>
            <w:tcW w:type="dxa" w:w="234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046A38"/>
                <w:sz w:val="18"/>
                <w:szCs w:val="18"/>
              </w:rPr>
              <w:t xml:space="preserve">AED 73k</w:t>
            </w:r>
          </w:p>
        </w:tc>
      </w:tr>
    </w:tbl>
    <w:p>
      <w:pPr>
        <w:spacing w:after="120" w:before="120" w:line="276"/>
      </w:pPr>
      <w:r>
        <w:rPr>
          <w:rFonts w:ascii="Calibri" w:cs="Calibri" w:eastAsia="Calibri" w:hAnsi="Calibri"/>
          <w:b/>
          <w:bCs/>
          <w:color w:val="1A1A1A"/>
          <w:sz w:val="19"/>
          <w:szCs w:val="19"/>
        </w:rPr>
        <w:t xml:space="preserve">Why. </w:t>
      </w:r>
      <w:r>
        <w:rPr>
          <w:rFonts w:ascii="Calibri" w:cs="Calibri" w:eastAsia="Calibri" w:hAnsi="Calibri"/>
          <w:color w:val="1A1A1A"/>
          <w:sz w:val="19"/>
          <w:szCs w:val="19"/>
        </w:rPr>
        <w:t xml:space="preserve">Do this first because it is cheap and reversible, and because it tests whether the constraint is genuinely total capacity or merely its distribution across the day.</w:t>
      </w:r>
    </w:p>
    <w:p>
      <w:pPr>
        <w:spacing w:after="120" w:before="0" w:line="276"/>
      </w:pPr>
      <w:r>
        <w:rPr>
          <w:rFonts w:ascii="Calibri" w:cs="Calibri" w:eastAsia="Calibri" w:hAnsi="Calibri"/>
          <w:b/>
          <w:bCs/>
          <w:color w:val="D64545"/>
          <w:sz w:val="19"/>
          <w:szCs w:val="19"/>
        </w:rPr>
        <w:t xml:space="preserve">Risk. </w:t>
      </w:r>
      <w:r>
        <w:rPr>
          <w:rFonts w:ascii="Calibri" w:cs="Calibri" w:eastAsia="Calibri" w:hAnsi="Calibri"/>
          <w:color w:val="1A1A1A"/>
          <w:sz w:val="19"/>
          <w:szCs w:val="19"/>
        </w:rPr>
        <w:t xml:space="preserve">Captain availability may not be elastic to the required hours, and late-evening shifts may need a pay differential that is not costed here.</w:t>
      </w:r>
    </w:p>
    <w:p>
      <w:pPr>
        <w:spacing w:after="120" w:before="0" w:line="276"/>
      </w:pPr>
      <w:r>
        <w:rPr>
          <w:rFonts w:ascii="Calibri" w:cs="Calibri" w:eastAsia="Calibri" w:hAnsi="Calibri"/>
          <w:b/>
          <w:bCs/>
          <w:color w:val="1A1A1A"/>
          <w:sz w:val="19"/>
          <w:szCs w:val="19"/>
        </w:rPr>
        <w:t xml:space="preserve">Success metric. </w:t>
      </w:r>
      <w:r>
        <w:rPr>
          <w:rFonts w:ascii="Calibri" w:cs="Calibri" w:eastAsia="Calibri" w:hAnsi="Calibri"/>
          <w:color w:val="1A1A1A"/>
          <w:sz w:val="19"/>
          <w:szCs w:val="19"/>
        </w:rPr>
        <w:t xml:space="preserve">Delivery p50 at Al Nahda below 25 min and cancellation rate below 4.0% within six weeks. Reviewed weekly.</w:t>
      </w:r>
    </w:p>
    <w:p>
      <w:pPr>
        <w:spacing w:after="50" w:before="0" w:line="276"/>
      </w:pPr>
      <w:r>
        <w:rPr>
          <w:rFonts w:ascii="Calibri" w:cs="Calibri" w:eastAsia="Calibri" w:hAnsi="Calibri"/>
          <w:b/>
          <w:bCs/>
          <w:color w:val="1A1A1A"/>
          <w:sz w:val="19"/>
          <w:szCs w:val="19"/>
        </w:rPr>
        <w:t xml:space="preserve">Assumptions</w:t>
      </w:r>
    </w:p>
    <w:p>
      <w:pPr>
        <w:pStyle w:val="ListParagraph"/>
        <w:numPr>
          <w:ilvl w:val="0"/>
          <w:numId w:val="2"/>
        </w:numPr>
        <w:spacing w:after="70" w:line="276"/>
      </w:pPr>
      <w:r>
        <w:rPr>
          <w:rFonts w:ascii="Calibri" w:cs="Calibri" w:eastAsia="Calibri" w:hAnsi="Calibri"/>
          <w:color w:val="5C6B73"/>
          <w:sz w:val="18"/>
          <w:szCs w:val="18"/>
        </w:rPr>
        <w:t xml:space="preserve">Capture rate 75% — re-timing addresses the peak-hour constraint but not total daily capacity.</w:t>
      </w:r>
    </w:p>
    <w:p>
      <w:pPr>
        <w:pStyle w:val="ListParagraph"/>
        <w:numPr>
          <w:ilvl w:val="0"/>
          <w:numId w:val="2"/>
        </w:numPr>
        <w:spacing w:after="70" w:line="276"/>
      </w:pPr>
      <w:r>
        <w:rPr>
          <w:rFonts w:ascii="Calibri" w:cs="Calibri" w:eastAsia="Calibri" w:hAnsi="Calibri"/>
          <w:color w:val="5C6B73"/>
          <w:sz w:val="18"/>
          <w:szCs w:val="18"/>
        </w:rPr>
        <w:t xml:space="preserve">Rescheduling cost AED 15,000, no incremental headcount.</w:t>
      </w:r>
    </w:p>
    <w:p>
      <w:pPr>
        <w:pStyle w:val="Heading2"/>
        <w:spacing w:after="110" w:before="240"/>
      </w:pPr>
      <w:r>
        <w:rPr>
          <w:rFonts w:ascii="Cambria" w:cs="Cambria" w:eastAsia="Cambria" w:hAnsi="Cambria"/>
          <w:b/>
          <w:bCs/>
          <w:color w:val="1A1A1A"/>
          <w:sz w:val="24"/>
          <w:szCs w:val="24"/>
        </w:rPr>
        <w:t xml:space="preserve">R6 · Build a Ramadan operating playbook</w:t>
      </w:r>
    </w:p>
    <w:p>
      <w:pPr>
        <w:spacing w:after="100" w:before="0" w:line="276"/>
      </w:pPr>
      <w:r>
        <w:rPr>
          <w:rFonts w:ascii="Calibri" w:cs="Calibri" w:eastAsia="Calibri" w:hAnsi="Calibri"/>
          <w:color w:val="5C6B73"/>
          <w:sz w:val="18"/>
          <w:szCs w:val="18"/>
        </w:rPr>
        <w:t xml:space="preserve">Supply Chain Director  ·  structural  ·  medium effort  ·  addresses SEA-01</w:t>
      </w:r>
    </w:p>
    <w:p>
      <w:pPr>
        <w:spacing w:after="120" w:before="0" w:line="276"/>
      </w:pPr>
      <w:r>
        <w:rPr>
          <w:rFonts w:ascii="Calibri" w:cs="Calibri" w:eastAsia="Calibri" w:hAnsi="Calibri"/>
          <w:color w:val="1A1A1A"/>
          <w:sz w:val="21"/>
          <w:szCs w:val="21"/>
        </w:rPr>
        <w:t xml:space="preserve">Codify the peak as a planned event rather than an annual surprise. Volume rises 51% and the daypart mix inverts — 40% of orders fall after 20:00 against 25% normally. The playbook needs three things: a demand uplift applied at category level in the forecast, a replenishment window moved to late night so shelves are full when demand arrives, and captain shifts weighted to the post-Iftar window. Lock it four weeks before the window opens.</w:t>
      </w:r>
    </w:p>
    <w:tbl>
      <w:tblPr>
        <w:tblW w:type="dxa" w:w="7020"/>
        <w:tblBorders>
          <w:top w:val="single" w:color="DCE2E0" w:sz="1"/>
          <w:left w:val="none"/>
          <w:bottom w:val="single" w:color="DCE2E0" w:sz="1"/>
          <w:right w:val="none"/>
          <w:insideH w:val="single" w:color="DCE2E0" w:sz="1"/>
          <w:insideV w:val="none"/>
        </w:tblBorders>
      </w:tblPr>
      <w:tblGrid>
        <w:gridCol w:w="4680"/>
        <w:gridCol w:w="2340"/>
      </w:tblGrid>
      <w:tr>
        <w:tc>
          <w:tcPr>
            <w:tcW w:type="dxa" w:w="468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Benefit, after capture rate</w:t>
            </w:r>
          </w:p>
        </w:tc>
        <w:tc>
          <w:tcPr>
            <w:tcW w:type="dxa" w:w="234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AED 42k</w:t>
            </w:r>
          </w:p>
        </w:tc>
      </w:tr>
      <w:tr>
        <w:tc>
          <w:tcPr>
            <w:tcW w:type="dxa" w:w="468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Cost of acting</w:t>
            </w:r>
          </w:p>
        </w:tc>
        <w:tc>
          <w:tcPr>
            <w:tcW w:type="dxa" w:w="234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AED 40k</w:t>
            </w:r>
          </w:p>
        </w:tc>
      </w:tr>
      <w:tr>
        <w:tc>
          <w:tcPr>
            <w:tcW w:type="dxa" w:w="468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1A1A1A"/>
                <w:sz w:val="18"/>
                <w:szCs w:val="18"/>
              </w:rPr>
              <w:t xml:space="preserve">Net annual</w:t>
            </w:r>
          </w:p>
        </w:tc>
        <w:tc>
          <w:tcPr>
            <w:tcW w:type="dxa" w:w="234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046A38"/>
                <w:sz w:val="18"/>
                <w:szCs w:val="18"/>
              </w:rPr>
              <w:t xml:space="preserve">AED 42k</w:t>
            </w:r>
          </w:p>
        </w:tc>
      </w:tr>
    </w:tbl>
    <w:p>
      <w:pPr>
        <w:spacing w:after="120" w:before="120" w:line="276"/>
      </w:pPr>
      <w:r>
        <w:rPr>
          <w:rFonts w:ascii="Calibri" w:cs="Calibri" w:eastAsia="Calibri" w:hAnsi="Calibri"/>
          <w:b/>
          <w:bCs/>
          <w:color w:val="1A1A1A"/>
          <w:sz w:val="19"/>
          <w:szCs w:val="19"/>
        </w:rPr>
        <w:t xml:space="preserve">Why. </w:t>
      </w:r>
      <w:r>
        <w:rPr>
          <w:rFonts w:ascii="Calibri" w:cs="Calibri" w:eastAsia="Calibri" w:hAnsi="Calibri"/>
          <w:color w:val="1A1A1A"/>
          <w:sz w:val="19"/>
          <w:szCs w:val="19"/>
        </w:rPr>
        <w:t xml:space="preserve">This is the only finding in the set that is fully predictable in advance, which makes it the cheapest kind of problem to solve.</w:t>
      </w:r>
    </w:p>
    <w:p>
      <w:pPr>
        <w:spacing w:after="120" w:before="0" w:line="276"/>
      </w:pPr>
      <w:r>
        <w:rPr>
          <w:rFonts w:ascii="Calibri" w:cs="Calibri" w:eastAsia="Calibri" w:hAnsi="Calibri"/>
          <w:b/>
          <w:bCs/>
          <w:color w:val="D64545"/>
          <w:sz w:val="19"/>
          <w:szCs w:val="19"/>
        </w:rPr>
        <w:t xml:space="preserve">Risk. </w:t>
      </w:r>
      <w:r>
        <w:rPr>
          <w:rFonts w:ascii="Calibri" w:cs="Calibri" w:eastAsia="Calibri" w:hAnsi="Calibri"/>
          <w:color w:val="1A1A1A"/>
          <w:sz w:val="19"/>
          <w:szCs w:val="19"/>
        </w:rPr>
        <w:t xml:space="preserve">The window moves roughly eleven days earlier each year, so a playbook tied to calendar dates rather than the lunar date will drift. Two observed cycles is a thin basis for a category-level uplift factor.</w:t>
      </w:r>
    </w:p>
    <w:p>
      <w:pPr>
        <w:spacing w:after="120" w:before="0" w:line="276"/>
      </w:pPr>
      <w:r>
        <w:rPr>
          <w:rFonts w:ascii="Calibri" w:cs="Calibri" w:eastAsia="Calibri" w:hAnsi="Calibri"/>
          <w:b/>
          <w:bCs/>
          <w:color w:val="1A1A1A"/>
          <w:sz w:val="19"/>
          <w:szCs w:val="19"/>
        </w:rPr>
        <w:t xml:space="preserve">Success metric. </w:t>
      </w:r>
      <w:r>
        <w:rPr>
          <w:rFonts w:ascii="Calibri" w:cs="Calibri" w:eastAsia="Calibri" w:hAnsi="Calibri"/>
          <w:color w:val="1A1A1A"/>
          <w:sz w:val="19"/>
          <w:szCs w:val="19"/>
        </w:rPr>
        <w:t xml:space="preserve">Fill rate inside the peak window within 2pp of the annual average, versus the current shortfall. Reviewed annual, with a post-event review.</w:t>
      </w:r>
    </w:p>
    <w:p>
      <w:pPr>
        <w:spacing w:after="50" w:before="0" w:line="276"/>
      </w:pPr>
      <w:r>
        <w:rPr>
          <w:rFonts w:ascii="Calibri" w:cs="Calibri" w:eastAsia="Calibri" w:hAnsi="Calibri"/>
          <w:b/>
          <w:bCs/>
          <w:color w:val="1A1A1A"/>
          <w:sz w:val="19"/>
          <w:szCs w:val="19"/>
        </w:rPr>
        <w:t xml:space="preserve">Assumptions</w:t>
      </w:r>
    </w:p>
    <w:p>
      <w:pPr>
        <w:pStyle w:val="ListParagraph"/>
        <w:numPr>
          <w:ilvl w:val="0"/>
          <w:numId w:val="2"/>
        </w:numPr>
        <w:spacing w:after="70" w:line="276"/>
      </w:pPr>
      <w:r>
        <w:rPr>
          <w:rFonts w:ascii="Calibri" w:cs="Calibri" w:eastAsia="Calibri" w:hAnsi="Calibri"/>
          <w:color w:val="5C6B73"/>
          <w:sz w:val="18"/>
          <w:szCs w:val="18"/>
        </w:rPr>
        <w:t xml:space="preserve">Capture rate 50% — planning improves availability but a 51% surge will not be fully absorbed in the first year.</w:t>
      </w:r>
    </w:p>
    <w:p>
      <w:pPr>
        <w:pStyle w:val="ListParagraph"/>
        <w:numPr>
          <w:ilvl w:val="0"/>
          <w:numId w:val="2"/>
        </w:numPr>
        <w:spacing w:after="70" w:line="276"/>
      </w:pPr>
      <w:r>
        <w:rPr>
          <w:rFonts w:ascii="Calibri" w:cs="Calibri" w:eastAsia="Calibri" w:hAnsi="Calibri"/>
          <w:color w:val="5C6B73"/>
          <w:sz w:val="18"/>
          <w:szCs w:val="18"/>
        </w:rPr>
        <w:t xml:space="preserve">Playbook development cost AED 40,000.</w:t>
      </w:r>
    </w:p>
    <w:p>
      <w:pPr>
        <w:pStyle w:val="ListParagraph"/>
        <w:numPr>
          <w:ilvl w:val="0"/>
          <w:numId w:val="2"/>
        </w:numPr>
        <w:spacing w:after="70" w:line="276"/>
      </w:pPr>
      <w:r>
        <w:rPr>
          <w:rFonts w:ascii="Calibri" w:cs="Calibri" w:eastAsia="Calibri" w:hAnsi="Calibri"/>
          <w:color w:val="5C6B73"/>
          <w:sz w:val="18"/>
          <w:szCs w:val="18"/>
        </w:rPr>
        <w:t xml:space="preserve">Based on two observed cycles. Treat the uplift factor as provisional and re-fit after the next one.</w:t>
      </w:r>
    </w:p>
    <w:p>
      <w:pPr>
        <w:pStyle w:val="Heading1"/>
        <w:spacing w:after="150" w:before="340"/>
      </w:pPr>
      <w:r>
        <w:rPr>
          <w:rFonts w:ascii="Cambria" w:cs="Cambria" w:eastAsia="Cambria" w:hAnsi="Cambria"/>
          <w:b/>
          <w:bCs/>
          <w:color w:val="046A38"/>
          <w:sz w:val="30"/>
          <w:szCs w:val="30"/>
        </w:rPr>
        <w:t xml:space="preserve">Considered and not recommended</w:t>
      </w:r>
    </w:p>
    <w:p>
      <w:pPr>
        <w:pStyle w:val="Heading2"/>
        <w:spacing w:after="110" w:before="240"/>
      </w:pPr>
      <w:r>
        <w:rPr>
          <w:rFonts w:ascii="Cambria" w:cs="Cambria" w:eastAsia="Cambria" w:hAnsi="Cambria"/>
          <w:b/>
          <w:bCs/>
          <w:color w:val="1A1A1A"/>
          <w:sz w:val="24"/>
          <w:szCs w:val="24"/>
        </w:rPr>
        <w:t xml:space="preserve">R5b · Add 2.5 captain shifts/day at Al Nahda</w:t>
      </w:r>
    </w:p>
    <w:p>
      <w:pPr>
        <w:spacing w:after="120" w:before="0" w:line="276"/>
      </w:pPr>
      <w:r>
        <w:rPr>
          <w:rFonts w:ascii="Calibri" w:cs="Calibri" w:eastAsia="Calibri" w:hAnsi="Calibri"/>
          <w:color w:val="1A1A1A"/>
          <w:sz w:val="21"/>
          <w:szCs w:val="21"/>
        </w:rPr>
        <w:t xml:space="preserve">Benefit </w:t>
      </w:r>
      <w:r>
        <w:rPr>
          <w:rFonts w:ascii="Calibri" w:cs="Calibri" w:eastAsia="Calibri" w:hAnsi="Calibri"/>
          <w:b/>
          <w:bCs/>
          <w:color w:val="1A1A1A"/>
          <w:sz w:val="21"/>
          <w:szCs w:val="21"/>
        </w:rPr>
        <w:t xml:space="preserve">AED 83k/yr</w:t>
      </w:r>
      <w:r>
        <w:rPr>
          <w:rFonts w:ascii="Calibri" w:cs="Calibri" w:eastAsia="Calibri" w:hAnsi="Calibri"/>
          <w:color w:val="1A1A1A"/>
          <w:sz w:val="21"/>
          <w:szCs w:val="21"/>
        </w:rPr>
        <w:t xml:space="preserve"> against a cost of </w:t>
      </w:r>
      <w:r>
        <w:rPr>
          <w:rFonts w:ascii="Calibri" w:cs="Calibri" w:eastAsia="Calibri" w:hAnsi="Calibri"/>
          <w:b/>
          <w:bCs/>
          <w:color w:val="D64545"/>
          <w:sz w:val="21"/>
          <w:szCs w:val="21"/>
        </w:rPr>
        <w:t xml:space="preserve">AED 111k/yr</w:t>
      </w:r>
      <w:r>
        <w:rPr>
          <w:rFonts w:ascii="Calibri" w:cs="Calibri" w:eastAsia="Calibri" w:hAnsi="Calibri"/>
          <w:color w:val="1A1A1A"/>
          <w:sz w:val="21"/>
          <w:szCs w:val="21"/>
        </w:rPr>
        <w:t xml:space="preserve"> — net </w:t>
      </w:r>
      <w:r>
        <w:rPr>
          <w:rFonts w:ascii="Calibri" w:cs="Calibri" w:eastAsia="Calibri" w:hAnsi="Calibri"/>
          <w:b/>
          <w:bCs/>
          <w:color w:val="D64545"/>
          <w:sz w:val="21"/>
          <w:szCs w:val="21"/>
        </w:rPr>
        <w:t xml:space="preserve">-AED 28k/yr</w:t>
      </w:r>
      <w:r>
        <w:rPr>
          <w:rFonts w:ascii="Calibri" w:cs="Calibri" w:eastAsia="Calibri" w:hAnsi="Calibri"/>
          <w:color w:val="1A1A1A"/>
          <w:sz w:val="21"/>
          <w:szCs w:val="21"/>
        </w:rPr>
        <w:t xml:space="preserve">.</w:t>
      </w:r>
    </w:p>
    <w:p>
      <w:pPr>
        <w:spacing w:after="120" w:before="0" w:line="276"/>
      </w:pPr>
      <w:r>
        <w:rPr>
          <w:rFonts w:ascii="Calibri" w:cs="Calibri" w:eastAsia="Calibri" w:hAnsi="Calibri"/>
          <w:color w:val="1A1A1A"/>
          <w:sz w:val="21"/>
          <w:szCs w:val="21"/>
        </w:rPr>
        <w:t xml:space="preserve">Presented for completeness and because it is the intuitive answer. On these numbers it does not pay: the cost of the capacity exceeds the value of the cancellations it would prevent. Worth revisiting only if the rostering change fails, or if the lost lifetime value of repeatedly failed customers is judged materially higher than the single-order margin used here.</w:t>
      </w:r>
    </w:p>
    <w:p>
      <w:pPr>
        <w:pStyle w:val="Heading1"/>
        <w:spacing w:after="150" w:before="340"/>
      </w:pPr>
      <w:r>
        <w:rPr>
          <w:rFonts w:ascii="Cambria" w:cs="Cambria" w:eastAsia="Cambria" w:hAnsi="Cambria"/>
          <w:b/>
          <w:bCs/>
          <w:color w:val="046A38"/>
          <w:sz w:val="30"/>
          <w:szCs w:val="30"/>
        </w:rPr>
        <w:t xml:space="preserve">What we would measure</w:t>
      </w:r>
    </w:p>
    <w:p>
      <w:pPr>
        <w:spacing w:after="120" w:before="0" w:line="276"/>
      </w:pPr>
      <w:r>
        <w:rPr>
          <w:rFonts w:ascii="Calibri" w:cs="Calibri" w:eastAsia="Calibri" w:hAnsi="Calibri"/>
          <w:color w:val="1A1A1A"/>
          <w:sz w:val="21"/>
          <w:szCs w:val="21"/>
        </w:rPr>
        <w:t xml:space="preserve">Each action carries a leading indicator that moves before the financial result does. If the indicator has not moved by the review point, the action is not working and should be stopped rather than extended.</w:t>
      </w:r>
    </w:p>
    <w:tbl>
      <w:tblPr>
        <w:tblW w:type="dxa" w:w="9360"/>
        <w:tblBorders>
          <w:top w:val="single" w:color="DCE2E0" w:sz="1"/>
          <w:left w:val="none"/>
          <w:bottom w:val="single" w:color="DCE2E0" w:sz="1"/>
          <w:right w:val="none"/>
          <w:insideH w:val="single" w:color="DCE2E0" w:sz="1"/>
          <w:insideV w:val="none"/>
        </w:tblBorders>
      </w:tblPr>
      <w:tblGrid>
        <w:gridCol w:w="900"/>
        <w:gridCol w:w="6060"/>
        <w:gridCol w:w="2400"/>
      </w:tblGrid>
      <w:tr>
        <w:tc>
          <w:tcPr>
            <w:tcW w:type="dxa" w:w="90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5C6B73"/>
                <w:sz w:val="17"/>
                <w:szCs w:val="17"/>
              </w:rPr>
              <w:t xml:space="preserve">#</w:t>
            </w:r>
          </w:p>
        </w:tc>
        <w:tc>
          <w:tcPr>
            <w:tcW w:type="dxa" w:w="606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5C6B73"/>
                <w:sz w:val="17"/>
                <w:szCs w:val="17"/>
              </w:rPr>
              <w:t xml:space="preserve">Leading indicator</w:t>
            </w:r>
          </w:p>
        </w:tc>
        <w:tc>
          <w:tcPr>
            <w:tcW w:type="dxa" w:w="240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5C6B73"/>
                <w:sz w:val="17"/>
                <w:szCs w:val="17"/>
              </w:rPr>
              <w:t xml:space="preserve">Cadence</w:t>
            </w:r>
          </w:p>
        </w:tc>
      </w:tr>
      <w:tr>
        <w:tc>
          <w:tcPr>
            <w:tcW w:type="dxa" w:w="900"/>
            <w:tcMar>
              <w:top w:type="dxa" w:w="90"/>
              <w:left w:type="dxa" w:w="110"/>
              <w:bottom w:type="dxa" w:w="90"/>
              <w:right w:type="dxa" w:w="110"/>
            </w:tcMar>
          </w:tcPr>
          <w:p>
            <w:pPr>
              <w:spacing w:after="0" w:before="0" w:line="276"/>
            </w:pPr>
            <w:r>
              <w:rPr>
                <w:rFonts w:ascii="Calibri" w:cs="Calibri" w:eastAsia="Calibri" w:hAnsi="Calibri"/>
                <w:b/>
                <w:bCs/>
                <w:color w:val="1A1A1A"/>
                <w:sz w:val="18"/>
                <w:szCs w:val="18"/>
              </w:rPr>
              <w:t xml:space="preserve">R1</w:t>
            </w:r>
          </w:p>
        </w:tc>
        <w:tc>
          <w:tcPr>
            <w:tcW w:type="dxa" w:w="606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Weekly fill-rate spread (best day minus worst day) below 5pp within two months; Monday fill rate above 92%</w:t>
            </w:r>
          </w:p>
        </w:tc>
        <w:tc>
          <w:tcPr>
            <w:tcW w:type="dxa" w:w="2400"/>
            <w:tcMar>
              <w:top w:type="dxa" w:w="90"/>
              <w:left w:type="dxa" w:w="110"/>
              <w:bottom w:type="dxa" w:w="90"/>
              <w:right w:type="dxa" w:w="110"/>
            </w:tcMar>
          </w:tcPr>
          <w:p>
            <w:pPr>
              <w:spacing w:after="0" w:before="0" w:line="276"/>
            </w:pPr>
            <w:r>
              <w:rPr>
                <w:rFonts w:ascii="Calibri" w:cs="Calibri" w:eastAsia="Calibri" w:hAnsi="Calibri"/>
                <w:color w:val="5C6B73"/>
                <w:sz w:val="18"/>
                <w:szCs w:val="18"/>
              </w:rPr>
              <w:t xml:space="preserve">weekly</w:t>
            </w:r>
          </w:p>
        </w:tc>
      </w:tr>
      <w:tr>
        <w:tc>
          <w:tcPr>
            <w:tcW w:type="dxa" w:w="900"/>
            <w:tcMar>
              <w:top w:type="dxa" w:w="90"/>
              <w:left w:type="dxa" w:w="110"/>
              <w:bottom w:type="dxa" w:w="90"/>
              <w:right w:type="dxa" w:w="110"/>
            </w:tcMar>
          </w:tcPr>
          <w:p>
            <w:pPr>
              <w:spacing w:after="0" w:before="0" w:line="276"/>
            </w:pPr>
            <w:r>
              <w:rPr>
                <w:rFonts w:ascii="Calibri" w:cs="Calibri" w:eastAsia="Calibri" w:hAnsi="Calibri"/>
                <w:b/>
                <w:bCs/>
                <w:color w:val="1A1A1A"/>
                <w:sz w:val="18"/>
                <w:szCs w:val="18"/>
              </w:rPr>
              <w:t xml:space="preserve">R2</w:t>
            </w:r>
          </w:p>
        </w:tc>
        <w:tc>
          <w:tcPr>
            <w:tcW w:type="dxa" w:w="606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Waste rate on affected lines below 4% within one quarter; no fill-rate deterioration on the same lines</w:t>
            </w:r>
          </w:p>
        </w:tc>
        <w:tc>
          <w:tcPr>
            <w:tcW w:type="dxa" w:w="2400"/>
            <w:tcMar>
              <w:top w:type="dxa" w:w="90"/>
              <w:left w:type="dxa" w:w="110"/>
              <w:bottom w:type="dxa" w:w="90"/>
              <w:right w:type="dxa" w:w="110"/>
            </w:tcMar>
          </w:tcPr>
          <w:p>
            <w:pPr>
              <w:spacing w:after="0" w:before="0" w:line="276"/>
            </w:pPr>
            <w:r>
              <w:rPr>
                <w:rFonts w:ascii="Calibri" w:cs="Calibri" w:eastAsia="Calibri" w:hAnsi="Calibri"/>
                <w:color w:val="5C6B73"/>
                <w:sz w:val="18"/>
                <w:szCs w:val="18"/>
              </w:rPr>
              <w:t xml:space="preserve">monthly</w:t>
            </w:r>
          </w:p>
        </w:tc>
      </w:tr>
      <w:tr>
        <w:tc>
          <w:tcPr>
            <w:tcW w:type="dxa" w:w="900"/>
            <w:tcMar>
              <w:top w:type="dxa" w:w="90"/>
              <w:left w:type="dxa" w:w="110"/>
              <w:bottom w:type="dxa" w:w="90"/>
              <w:right w:type="dxa" w:w="110"/>
            </w:tcMar>
          </w:tcPr>
          <w:p>
            <w:pPr>
              <w:spacing w:after="0" w:before="0" w:line="276"/>
            </w:pPr>
            <w:r>
              <w:rPr>
                <w:rFonts w:ascii="Calibri" w:cs="Calibri" w:eastAsia="Calibri" w:hAnsi="Calibri"/>
                <w:b/>
                <w:bCs/>
                <w:color w:val="1A1A1A"/>
                <w:sz w:val="18"/>
                <w:szCs w:val="18"/>
              </w:rPr>
              <w:t xml:space="preserve">R4</w:t>
            </w:r>
          </w:p>
        </w:tc>
        <w:tc>
          <w:tcPr>
            <w:tcW w:type="dxa" w:w="606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Slot productivity (revenue per slot) up 10% within two quarters with no fall in basket size or order frequency</w:t>
            </w:r>
          </w:p>
        </w:tc>
        <w:tc>
          <w:tcPr>
            <w:tcW w:type="dxa" w:w="2400"/>
            <w:tcMar>
              <w:top w:type="dxa" w:w="90"/>
              <w:left w:type="dxa" w:w="110"/>
              <w:bottom w:type="dxa" w:w="90"/>
              <w:right w:type="dxa" w:w="110"/>
            </w:tcMar>
          </w:tcPr>
          <w:p>
            <w:pPr>
              <w:spacing w:after="0" w:before="0" w:line="276"/>
            </w:pPr>
            <w:r>
              <w:rPr>
                <w:rFonts w:ascii="Calibri" w:cs="Calibri" w:eastAsia="Calibri" w:hAnsi="Calibri"/>
                <w:color w:val="5C6B73"/>
                <w:sz w:val="18"/>
                <w:szCs w:val="18"/>
              </w:rPr>
              <w:t xml:space="preserve">monthly</w:t>
            </w:r>
          </w:p>
        </w:tc>
      </w:tr>
      <w:tr>
        <w:tc>
          <w:tcPr>
            <w:tcW w:type="dxa" w:w="900"/>
            <w:tcMar>
              <w:top w:type="dxa" w:w="90"/>
              <w:left w:type="dxa" w:w="110"/>
              <w:bottom w:type="dxa" w:w="90"/>
              <w:right w:type="dxa" w:w="110"/>
            </w:tcMar>
          </w:tcPr>
          <w:p>
            <w:pPr>
              <w:spacing w:after="0" w:before="0" w:line="276"/>
            </w:pPr>
            <w:r>
              <w:rPr>
                <w:rFonts w:ascii="Calibri" w:cs="Calibri" w:eastAsia="Calibri" w:hAnsi="Calibri"/>
                <w:b/>
                <w:bCs/>
                <w:color w:val="1A1A1A"/>
                <w:sz w:val="18"/>
                <w:szCs w:val="18"/>
              </w:rPr>
              <w:t xml:space="preserve">R3</w:t>
            </w:r>
          </w:p>
        </w:tc>
        <w:tc>
          <w:tcPr>
            <w:tcW w:type="dxa" w:w="606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OTIF above 90% within one quarter; lead-time CV below 0.35</w:t>
            </w:r>
          </w:p>
        </w:tc>
        <w:tc>
          <w:tcPr>
            <w:tcW w:type="dxa" w:w="2400"/>
            <w:tcMar>
              <w:top w:type="dxa" w:w="90"/>
              <w:left w:type="dxa" w:w="110"/>
              <w:bottom w:type="dxa" w:w="90"/>
              <w:right w:type="dxa" w:w="110"/>
            </w:tcMar>
          </w:tcPr>
          <w:p>
            <w:pPr>
              <w:spacing w:after="0" w:before="0" w:line="276"/>
            </w:pPr>
            <w:r>
              <w:rPr>
                <w:rFonts w:ascii="Calibri" w:cs="Calibri" w:eastAsia="Calibri" w:hAnsi="Calibri"/>
                <w:color w:val="5C6B73"/>
                <w:sz w:val="18"/>
                <w:szCs w:val="18"/>
              </w:rPr>
              <w:t xml:space="preserve">weekly</w:t>
            </w:r>
          </w:p>
        </w:tc>
      </w:tr>
      <w:tr>
        <w:tc>
          <w:tcPr>
            <w:tcW w:type="dxa" w:w="900"/>
            <w:tcMar>
              <w:top w:type="dxa" w:w="90"/>
              <w:left w:type="dxa" w:w="110"/>
              <w:bottom w:type="dxa" w:w="90"/>
              <w:right w:type="dxa" w:w="110"/>
            </w:tcMar>
          </w:tcPr>
          <w:p>
            <w:pPr>
              <w:spacing w:after="0" w:before="0" w:line="276"/>
            </w:pPr>
            <w:r>
              <w:rPr>
                <w:rFonts w:ascii="Calibri" w:cs="Calibri" w:eastAsia="Calibri" w:hAnsi="Calibri"/>
                <w:b/>
                <w:bCs/>
                <w:color w:val="1A1A1A"/>
                <w:sz w:val="18"/>
                <w:szCs w:val="18"/>
              </w:rPr>
              <w:t xml:space="preserve">R5a</w:t>
            </w:r>
          </w:p>
        </w:tc>
        <w:tc>
          <w:tcPr>
            <w:tcW w:type="dxa" w:w="606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Delivery p50 at Al Nahda below 25 min and cancellation rate below 4.0% within six weeks</w:t>
            </w:r>
          </w:p>
        </w:tc>
        <w:tc>
          <w:tcPr>
            <w:tcW w:type="dxa" w:w="2400"/>
            <w:tcMar>
              <w:top w:type="dxa" w:w="90"/>
              <w:left w:type="dxa" w:w="110"/>
              <w:bottom w:type="dxa" w:w="90"/>
              <w:right w:type="dxa" w:w="110"/>
            </w:tcMar>
          </w:tcPr>
          <w:p>
            <w:pPr>
              <w:spacing w:after="0" w:before="0" w:line="276"/>
            </w:pPr>
            <w:r>
              <w:rPr>
                <w:rFonts w:ascii="Calibri" w:cs="Calibri" w:eastAsia="Calibri" w:hAnsi="Calibri"/>
                <w:color w:val="5C6B73"/>
                <w:sz w:val="18"/>
                <w:szCs w:val="18"/>
              </w:rPr>
              <w:t xml:space="preserve">weekly</w:t>
            </w:r>
          </w:p>
        </w:tc>
      </w:tr>
      <w:tr>
        <w:tc>
          <w:tcPr>
            <w:tcW w:type="dxa" w:w="900"/>
            <w:tcMar>
              <w:top w:type="dxa" w:w="90"/>
              <w:left w:type="dxa" w:w="110"/>
              <w:bottom w:type="dxa" w:w="90"/>
              <w:right w:type="dxa" w:w="110"/>
            </w:tcMar>
          </w:tcPr>
          <w:p>
            <w:pPr>
              <w:spacing w:after="0" w:before="0" w:line="276"/>
            </w:pPr>
            <w:r>
              <w:rPr>
                <w:rFonts w:ascii="Calibri" w:cs="Calibri" w:eastAsia="Calibri" w:hAnsi="Calibri"/>
                <w:b/>
                <w:bCs/>
                <w:color w:val="1A1A1A"/>
                <w:sz w:val="18"/>
                <w:szCs w:val="18"/>
              </w:rPr>
              <w:t xml:space="preserve">R6</w:t>
            </w:r>
          </w:p>
        </w:tc>
        <w:tc>
          <w:tcPr>
            <w:tcW w:type="dxa" w:w="606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Fill rate inside the peak window within 2pp of the annual average, versus the current shortfall</w:t>
            </w:r>
          </w:p>
        </w:tc>
        <w:tc>
          <w:tcPr>
            <w:tcW w:type="dxa" w:w="2400"/>
            <w:tcMar>
              <w:top w:type="dxa" w:w="90"/>
              <w:left w:type="dxa" w:w="110"/>
              <w:bottom w:type="dxa" w:w="90"/>
              <w:right w:type="dxa" w:w="110"/>
            </w:tcMar>
          </w:tcPr>
          <w:p>
            <w:pPr>
              <w:spacing w:after="0" w:before="0" w:line="276"/>
            </w:pPr>
            <w:r>
              <w:rPr>
                <w:rFonts w:ascii="Calibri" w:cs="Calibri" w:eastAsia="Calibri" w:hAnsi="Calibri"/>
                <w:color w:val="5C6B73"/>
                <w:sz w:val="18"/>
                <w:szCs w:val="18"/>
              </w:rPr>
              <w:t xml:space="preserve">annual, with a post-event review</w:t>
            </w:r>
          </w:p>
        </w:tc>
      </w:tr>
    </w:tbl>
    <w:p>
      <w:r>
        <w:br w:type="page"/>
      </w:r>
    </w:p>
    <w:p>
      <w:pPr>
        <w:pStyle w:val="Heading1"/>
        <w:spacing w:after="150" w:before="340"/>
      </w:pPr>
      <w:r>
        <w:rPr>
          <w:rFonts w:ascii="Cambria" w:cs="Cambria" w:eastAsia="Cambria" w:hAnsi="Cambria"/>
          <w:b/>
          <w:bCs/>
          <w:color w:val="046A38"/>
          <w:sz w:val="30"/>
          <w:szCs w:val="30"/>
        </w:rPr>
        <w:t xml:space="preserve">Appendix</w:t>
      </w:r>
    </w:p>
    <w:p>
      <w:pPr>
        <w:pStyle w:val="Heading2"/>
        <w:spacing w:after="110" w:before="240"/>
      </w:pPr>
      <w:r>
        <w:rPr>
          <w:rFonts w:ascii="Cambria" w:cs="Cambria" w:eastAsia="Cambria" w:hAnsi="Cambria"/>
          <w:b/>
          <w:bCs/>
          <w:color w:val="1A1A1A"/>
          <w:sz w:val="24"/>
          <w:szCs w:val="24"/>
        </w:rPr>
        <w:t xml:space="preserve">Method</w:t>
      </w:r>
    </w:p>
    <w:p>
      <w:pPr>
        <w:spacing w:after="120" w:before="0" w:line="276"/>
      </w:pPr>
      <w:r>
        <w:rPr>
          <w:rFonts w:ascii="Calibri" w:cs="Calibri" w:eastAsia="Calibri" w:hAnsi="Calibri"/>
          <w:color w:val="1A1A1A"/>
          <w:sz w:val="21"/>
          <w:szCs w:val="21"/>
        </w:rPr>
        <w:t xml:space="preserve">Data was loaded from nine related tables and profiled. A quality gate ran eight families of check — key uniqueness, referential integrity, null rates, impossible values, ledger balance, three cross-table reconciliations and date coverage — before any analysis was permitted. KPIs were computed once, at every grain, so that no two sections of this document can disagree. Eight detectors then interrogated those KPIs, each returning findings with their own evidence, statistical method and confidence.</w:t>
      </w:r>
    </w:p>
    <w:p>
      <w:pPr>
        <w:spacing w:after="120" w:before="0" w:line="276"/>
      </w:pPr>
      <w:r>
        <w:rPr>
          <w:rFonts w:ascii="Calibri" w:cs="Calibri" w:eastAsia="Calibri" w:hAnsi="Calibri"/>
          <w:color w:val="1A1A1A"/>
          <w:sz w:val="21"/>
          <w:szCs w:val="21"/>
        </w:rPr>
        <w:t xml:space="preserve">Confidence combines three components as a geometric mean: statistical strength, sample adequacy, and the quality score of the source tables. The geometric mean is deliberate — one weak component drags the result down and no strong component can rescue it.</w:t>
      </w:r>
    </w:p>
    <w:p>
      <w:pPr>
        <w:pStyle w:val="Heading2"/>
        <w:spacing w:after="110" w:before="240"/>
      </w:pPr>
      <w:r>
        <w:rPr>
          <w:rFonts w:ascii="Cambria" w:cs="Cambria" w:eastAsia="Cambria" w:hAnsi="Cambria"/>
          <w:b/>
          <w:bCs/>
          <w:color w:val="1A1A1A"/>
          <w:sz w:val="24"/>
          <w:szCs w:val="24"/>
        </w:rPr>
        <w:t xml:space="preserve">Data quality</w:t>
      </w:r>
    </w:p>
    <w:p>
      <w:pPr>
        <w:spacing w:after="120" w:before="0" w:line="276"/>
      </w:pPr>
      <w:r>
        <w:rPr>
          <w:rFonts w:ascii="Calibri" w:cs="Calibri" w:eastAsia="Calibri" w:hAnsi="Calibri"/>
          <w:color w:val="1A1A1A"/>
          <w:sz w:val="21"/>
          <w:szCs w:val="21"/>
        </w:rPr>
        <w:t xml:space="preserve">Gate result: WARN. 8 issue(s) found and 5 repair(s) applied before analysis. Repairs are deterministic and disclosed; no data was invented.</w:t>
      </w:r>
    </w:p>
    <w:p>
      <w:pPr>
        <w:pStyle w:val="ListParagraph"/>
        <w:numPr>
          <w:ilvl w:val="0"/>
          <w:numId w:val="2"/>
        </w:numPr>
        <w:spacing w:after="70" w:line="276"/>
      </w:pPr>
      <w:r>
        <w:rPr>
          <w:rFonts w:ascii="Calibri" w:cs="Calibri" w:eastAsia="Calibri" w:hAnsi="Calibri"/>
          <w:color w:val="5C6B73"/>
          <w:sz w:val="18"/>
          <w:szCs w:val="18"/>
        </w:rPr>
        <w:t xml:space="preserve">orders: removed 1,916 exact duplicate rows</w:t>
      </w:r>
    </w:p>
    <w:p>
      <w:pPr>
        <w:pStyle w:val="ListParagraph"/>
        <w:numPr>
          <w:ilvl w:val="0"/>
          <w:numId w:val="2"/>
        </w:numPr>
        <w:spacing w:after="70" w:line="276"/>
      </w:pPr>
      <w:r>
        <w:rPr>
          <w:rFonts w:ascii="Calibri" w:cs="Calibri" w:eastAsia="Calibri" w:hAnsi="Calibri"/>
          <w:color w:val="5C6B73"/>
          <w:sz w:val="18"/>
          <w:szCs w:val="18"/>
        </w:rPr>
        <w:t xml:space="preserve">orders: collapsed 19 rows sharing a primary key ['order_id'] (kept first)</w:t>
      </w:r>
    </w:p>
    <w:p>
      <w:pPr>
        <w:pStyle w:val="ListParagraph"/>
        <w:numPr>
          <w:ilvl w:val="0"/>
          <w:numId w:val="2"/>
        </w:numPr>
        <w:spacing w:after="70" w:line="276"/>
      </w:pPr>
      <w:r>
        <w:rPr>
          <w:rFonts w:ascii="Calibri" w:cs="Calibri" w:eastAsia="Calibri" w:hAnsi="Calibri"/>
          <w:color w:val="5C6B73"/>
          <w:sz w:val="18"/>
          <w:szCs w:val="18"/>
        </w:rPr>
        <w:t xml:space="preserve">order_items: removed 708 exact duplicate rows</w:t>
      </w:r>
    </w:p>
    <w:p>
      <w:pPr>
        <w:pStyle w:val="ListParagraph"/>
        <w:numPr>
          <w:ilvl w:val="0"/>
          <w:numId w:val="2"/>
        </w:numPr>
        <w:spacing w:after="70" w:line="276"/>
      </w:pPr>
      <w:r>
        <w:rPr>
          <w:rFonts w:ascii="Calibri" w:cs="Calibri" w:eastAsia="Calibri" w:hAnsi="Calibri"/>
          <w:color w:val="5C6B73"/>
          <w:sz w:val="18"/>
          <w:szCs w:val="18"/>
        </w:rPr>
        <w:t xml:space="preserve">inventory_daily.closing_units: clamped 2,211 negative values to zero (flagged in closing_units_was_negative)</w:t>
      </w:r>
    </w:p>
    <w:p>
      <w:pPr>
        <w:pStyle w:val="ListParagraph"/>
        <w:numPr>
          <w:ilvl w:val="0"/>
          <w:numId w:val="2"/>
        </w:numPr>
        <w:spacing w:after="70" w:line="276"/>
      </w:pPr>
      <w:r>
        <w:rPr>
          <w:rFonts w:ascii="Calibri" w:cs="Calibri" w:eastAsia="Calibri" w:hAnsi="Calibri"/>
          <w:color w:val="5C6B73"/>
          <w:sz w:val="18"/>
          <w:szCs w:val="18"/>
        </w:rPr>
        <w:t xml:space="preserve">orders.actual_minutes: capped 39 physically impossible values at 120 min (percentile winsorising deliberately avoided — it would suppress genuine slow-service signal)</w:t>
      </w:r>
    </w:p>
    <w:p>
      <w:pPr>
        <w:spacing w:after="60" w:before="140" w:line="276"/>
      </w:pPr>
      <w:r>
        <w:rPr>
          <w:rFonts w:ascii="Calibri" w:cs="Calibri" w:eastAsia="Calibri" w:hAnsi="Calibri"/>
          <w:b/>
          <w:bCs/>
          <w:color w:val="1A1A1A"/>
          <w:sz w:val="19"/>
          <w:szCs w:val="19"/>
        </w:rPr>
        <w:t xml:space="preserve">Checks that ran clean</w:t>
      </w:r>
    </w:p>
    <w:p>
      <w:pPr>
        <w:pStyle w:val="ListParagraph"/>
        <w:numPr>
          <w:ilvl w:val="0"/>
          <w:numId w:val="2"/>
        </w:numPr>
        <w:spacing w:after="70" w:line="276"/>
      </w:pPr>
      <w:r>
        <w:rPr>
          <w:rFonts w:ascii="Calibri" w:cs="Calibri" w:eastAsia="Calibri" w:hAnsi="Calibri"/>
          <w:color w:val="5C6B73"/>
          <w:sz w:val="18"/>
          <w:szCs w:val="18"/>
        </w:rPr>
        <w:t xml:space="preserve">referential_integrity · all — 12 foreign-key relationships validated, no orphans</w:t>
      </w:r>
    </w:p>
    <w:p>
      <w:pPr>
        <w:pStyle w:val="ListParagraph"/>
        <w:numPr>
          <w:ilvl w:val="0"/>
          <w:numId w:val="2"/>
        </w:numPr>
        <w:spacing w:after="70" w:line="276"/>
      </w:pPr>
      <w:r>
        <w:rPr>
          <w:rFonts w:ascii="Calibri" w:cs="Calibri" w:eastAsia="Calibri" w:hAnsi="Calibri"/>
          <w:color w:val="5C6B73"/>
          <w:sz w:val="18"/>
          <w:szCs w:val="18"/>
        </w:rPr>
        <w:t xml:space="preserve">reconciliation · order_items ↔ orders — line values reconcile to basket value across 483,722 orders</w:t>
      </w:r>
    </w:p>
    <w:p>
      <w:pPr>
        <w:pStyle w:val="ListParagraph"/>
        <w:numPr>
          <w:ilvl w:val="0"/>
          <w:numId w:val="2"/>
        </w:numPr>
        <w:spacing w:after="70" w:line="276"/>
      </w:pPr>
      <w:r>
        <w:rPr>
          <w:rFonts w:ascii="Calibri" w:cs="Calibri" w:eastAsia="Calibri" w:hAnsi="Calibri"/>
          <w:color w:val="5C6B73"/>
          <w:sz w:val="18"/>
          <w:szCs w:val="18"/>
        </w:rPr>
        <w:t xml:space="preserve">reconciliation · order_items ↔ inventory_daily — units sold agree between order lines and the stock ledger across 4,360 store-days (0.000% gap)</w:t>
      </w:r>
    </w:p>
    <w:p>
      <w:pPr>
        <w:pStyle w:val="ListParagraph"/>
        <w:numPr>
          <w:ilvl w:val="0"/>
          <w:numId w:val="2"/>
        </w:numPr>
        <w:spacing w:after="70" w:line="276"/>
      </w:pPr>
      <w:r>
        <w:rPr>
          <w:rFonts w:ascii="Calibri" w:cs="Calibri" w:eastAsia="Calibri" w:hAnsi="Calibri"/>
          <w:color w:val="5C6B73"/>
          <w:sz w:val="18"/>
          <w:szCs w:val="18"/>
        </w:rPr>
        <w:t xml:space="preserve">reconciliation · courier_daily ↔ orders — daily order counts agree across 4,360 store-days</w:t>
      </w:r>
    </w:p>
    <w:p>
      <w:pPr>
        <w:pStyle w:val="Heading2"/>
        <w:spacing w:after="110" w:before="240"/>
      </w:pPr>
      <w:r>
        <w:rPr>
          <w:rFonts w:ascii="Cambria" w:cs="Cambria" w:eastAsia="Cambria" w:hAnsi="Cambria"/>
          <w:b/>
          <w:bCs/>
          <w:color w:val="1A1A1A"/>
          <w:sz w:val="24"/>
          <w:szCs w:val="24"/>
        </w:rPr>
        <w:t xml:space="preserve">Assumptions</w:t>
      </w:r>
    </w:p>
    <w:p>
      <w:pPr>
        <w:spacing w:after="120" w:before="0" w:line="276"/>
      </w:pPr>
      <w:r>
        <w:rPr>
          <w:rFonts w:ascii="Calibri" w:cs="Calibri" w:eastAsia="Calibri" w:hAnsi="Calibri"/>
          <w:color w:val="1A1A1A"/>
          <w:sz w:val="21"/>
          <w:szCs w:val="21"/>
        </w:rPr>
        <w:t xml:space="preserve">Every figure converting an operational failure into money rests on one of these. They are declared so they can be challenged.</w:t>
      </w:r>
    </w:p>
    <w:p>
      <w:pPr>
        <w:pStyle w:val="ListParagraph"/>
        <w:numPr>
          <w:ilvl w:val="0"/>
          <w:numId w:val="2"/>
        </w:numPr>
        <w:spacing w:after="70" w:line="276"/>
      </w:pPr>
      <w:r>
        <w:rPr>
          <w:rFonts w:ascii="Calibri" w:cs="Calibri" w:eastAsia="Calibri" w:hAnsi="Calibri"/>
          <w:color w:val="1A1A1A"/>
          <w:sz w:val="18"/>
          <w:szCs w:val="18"/>
        </w:rPr>
        <w:t xml:space="preserve">Stockout penalty: lost margin × 1.35. The uplift represents basket abandonment and reduced repeat rate. Not derived from this data. Sensitivity 1.0–1.7.</w:t>
      </w:r>
    </w:p>
    <w:p>
      <w:pPr>
        <w:pStyle w:val="ListParagraph"/>
        <w:numPr>
          <w:ilvl w:val="0"/>
          <w:numId w:val="2"/>
        </w:numPr>
        <w:spacing w:after="70" w:line="276"/>
      </w:pPr>
      <w:r>
        <w:rPr>
          <w:rFonts w:ascii="Calibri" w:cs="Calibri" w:eastAsia="Calibri" w:hAnsi="Calibri"/>
          <w:color w:val="1A1A1A"/>
          <w:sz w:val="18"/>
          <w:szCs w:val="18"/>
        </w:rPr>
        <w:t xml:space="preserve">Cancelled order cost: AED 11.5 of picking labour and rider time. Sensitivity 8–16.</w:t>
      </w:r>
    </w:p>
    <w:p>
      <w:pPr>
        <w:pStyle w:val="ListParagraph"/>
        <w:numPr>
          <w:ilvl w:val="0"/>
          <w:numId w:val="2"/>
        </w:numPr>
        <w:spacing w:after="70" w:line="276"/>
      </w:pPr>
      <w:r>
        <w:rPr>
          <w:rFonts w:ascii="Calibri" w:cs="Calibri" w:eastAsia="Calibri" w:hAnsi="Calibri"/>
          <w:color w:val="1A1A1A"/>
          <w:sz w:val="18"/>
          <w:szCs w:val="18"/>
        </w:rPr>
        <w:t xml:space="preserve">Inventory holding: 22% annually.</w:t>
      </w:r>
    </w:p>
    <w:p>
      <w:pPr>
        <w:pStyle w:val="ListParagraph"/>
        <w:numPr>
          <w:ilvl w:val="0"/>
          <w:numId w:val="2"/>
        </w:numPr>
        <w:spacing w:after="70" w:line="276"/>
      </w:pPr>
      <w:r>
        <w:rPr>
          <w:rFonts w:ascii="Calibri" w:cs="Calibri" w:eastAsia="Calibri" w:hAnsi="Calibri"/>
          <w:color w:val="1A1A1A"/>
          <w:sz w:val="18"/>
          <w:szCs w:val="18"/>
        </w:rPr>
        <w:t xml:space="preserve">Capture rates run 50% to 85% — never 100%, because some part of every leak is structural.</w:t>
      </w:r>
    </w:p>
    <w:p>
      <w:pPr>
        <w:pStyle w:val="ListParagraph"/>
        <w:numPr>
          <w:ilvl w:val="0"/>
          <w:numId w:val="2"/>
        </w:numPr>
        <w:spacing w:after="70" w:line="276"/>
      </w:pPr>
      <w:r>
        <w:rPr>
          <w:rFonts w:ascii="Calibri" w:cs="Calibri" w:eastAsia="Calibri" w:hAnsi="Calibri"/>
          <w:color w:val="1A1A1A"/>
          <w:sz w:val="18"/>
          <w:szCs w:val="18"/>
        </w:rPr>
        <w:t xml:space="preserve">Materiality floor: AED 60k/yr. Findings below this are recorded but not surfaced.</w:t>
      </w:r>
    </w:p>
    <w:p>
      <w:pPr>
        <w:pStyle w:val="Heading2"/>
        <w:spacing w:after="110" w:before="240"/>
      </w:pPr>
      <w:r>
        <w:rPr>
          <w:rFonts w:ascii="Cambria" w:cs="Cambria" w:eastAsia="Cambria" w:hAnsi="Cambria"/>
          <w:b/>
          <w:bCs/>
          <w:color w:val="1A1A1A"/>
          <w:sz w:val="24"/>
          <w:szCs w:val="24"/>
        </w:rPr>
        <w:t xml:space="preserve">Limitations — what this analysis cannot support</w:t>
      </w:r>
    </w:p>
    <w:p>
      <w:pPr>
        <w:spacing w:after="120" w:before="0" w:line="276"/>
      </w:pPr>
      <w:r>
        <w:rPr>
          <w:rFonts w:ascii="Calibri" w:cs="Calibri" w:eastAsia="Calibri" w:hAnsi="Calibri"/>
          <w:color w:val="1A1A1A"/>
          <w:sz w:val="21"/>
          <w:szCs w:val="21"/>
        </w:rPr>
        <w:t xml:space="preserve">Stating the boundary matters as much as stating the result.</w:t>
      </w:r>
    </w:p>
    <w:p>
      <w:pPr>
        <w:pStyle w:val="ListParagraph"/>
        <w:numPr>
          <w:ilvl w:val="0"/>
          <w:numId w:val="2"/>
        </w:numPr>
        <w:spacing w:after="70" w:line="276"/>
      </w:pPr>
      <w:r>
        <w:rPr>
          <w:rFonts w:ascii="Calibri" w:cs="Calibri" w:eastAsia="Calibri" w:hAnsi="Calibri"/>
          <w:color w:val="1A1A1A"/>
          <w:sz w:val="19"/>
          <w:szCs w:val="19"/>
        </w:rPr>
        <w:t xml:space="preserve">The supplier premium behind R2 is a placeholder, not a quote. If smaller case packs cost more than 1.5% extra per unit, that recommendation weakens quickly and should be re-tested before committing.</w:t>
      </w:r>
    </w:p>
    <w:p>
      <w:pPr>
        <w:pStyle w:val="ListParagraph"/>
        <w:numPr>
          <w:ilvl w:val="0"/>
          <w:numId w:val="2"/>
        </w:numPr>
        <w:spacing w:after="70" w:line="276"/>
      </w:pPr>
      <w:r>
        <w:rPr>
          <w:rFonts w:ascii="Calibri" w:cs="Calibri" w:eastAsia="Calibri" w:hAnsi="Calibri"/>
          <w:color w:val="1A1A1A"/>
          <w:sz w:val="19"/>
          <w:szCs w:val="19"/>
        </w:rPr>
        <w:t xml:space="preserve">The 50% demand-migration assumption behind the assortment recommendation is unverified. A basket-affinity analysis should precede any delisting, because a tail SKU that anchors a basket is not a tail SKU.</w:t>
      </w:r>
    </w:p>
    <w:p>
      <w:pPr>
        <w:pStyle w:val="ListParagraph"/>
        <w:numPr>
          <w:ilvl w:val="0"/>
          <w:numId w:val="2"/>
        </w:numPr>
        <w:spacing w:after="70" w:line="276"/>
      </w:pPr>
      <w:r>
        <w:rPr>
          <w:rFonts w:ascii="Calibri" w:cs="Calibri" w:eastAsia="Calibri" w:hAnsi="Calibri"/>
          <w:color w:val="1A1A1A"/>
          <w:sz w:val="19"/>
          <w:szCs w:val="19"/>
        </w:rPr>
        <w:t xml:space="preserve">Seasonal conclusions rest on two observed cycles. That is enough to establish the pattern exists and not enough to fit a reliable category-level uplift factor.</w:t>
      </w:r>
    </w:p>
    <w:p>
      <w:pPr>
        <w:pStyle w:val="ListParagraph"/>
        <w:numPr>
          <w:ilvl w:val="0"/>
          <w:numId w:val="2"/>
        </w:numPr>
        <w:spacing w:after="70" w:line="276"/>
      </w:pPr>
      <w:r>
        <w:rPr>
          <w:rFonts w:ascii="Calibri" w:cs="Calibri" w:eastAsia="Calibri" w:hAnsi="Calibri"/>
          <w:color w:val="1A1A1A"/>
          <w:sz w:val="19"/>
          <w:szCs w:val="19"/>
        </w:rPr>
        <w:t xml:space="preserve">Customer lifetime value is absent from this dataset, so cancellations are valued at single-order margin. This almost certainly understates the cost of repeated service failure at one store, and it is the assumption most likely to change the fleet conclusion if corrected.</w:t>
      </w:r>
    </w:p>
    <w:p>
      <w:pPr>
        <w:pStyle w:val="ListParagraph"/>
        <w:numPr>
          <w:ilvl w:val="0"/>
          <w:numId w:val="2"/>
        </w:numPr>
        <w:spacing w:after="70" w:line="276"/>
      </w:pPr>
      <w:r>
        <w:rPr>
          <w:rFonts w:ascii="Calibri" w:cs="Calibri" w:eastAsia="Calibri" w:hAnsi="Calibri"/>
          <w:color w:val="1A1A1A"/>
          <w:sz w:val="19"/>
          <w:szCs w:val="19"/>
        </w:rPr>
        <w:t xml:space="preserve">No competitor, price or promotional data is present. Demand is treated as exogenous, which it is not.</w:t>
      </w:r>
    </w:p>
    <w:p>
      <w:pPr>
        <w:pStyle w:val="ListParagraph"/>
        <w:numPr>
          <w:ilvl w:val="0"/>
          <w:numId w:val="2"/>
        </w:numPr>
        <w:spacing w:after="70" w:line="276"/>
      </w:pPr>
      <w:r>
        <w:rPr>
          <w:rFonts w:ascii="Calibri" w:cs="Calibri" w:eastAsia="Calibri" w:hAnsi="Calibri"/>
          <w:color w:val="1A1A1A"/>
          <w:sz w:val="19"/>
          <w:szCs w:val="19"/>
        </w:rPr>
        <w:t xml:space="preserve">The analysis is observational. None of the causal claims have been tested experimentally, and the recommended actions should be piloted before network-wide rollout.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C6B73"/>
        <w:sz w:val="16"/>
        <w:szCs w:val="16"/>
      </w:rPr>
      <w:t xml:space="preserve">Page </w:t>
    </w:r>
    <w:r>
      <w:rPr>
        <w:color w:val="5C6B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76"/>
    </w:pPr>
    <w:r>
      <w:rPr>
        <w:rFonts w:ascii="Calibri" w:cs="Calibri" w:eastAsia="Calibri" w:hAnsi="Calibri"/>
        <w:color w:val="5C6B73"/>
        <w:sz w:val="16"/>
        <w:szCs w:val="16"/>
      </w:rPr>
      <w:t xml:space="preserve">Supply Chain Decision Brief</w:t>
    </w:r>
    <w:r>
      <w:rPr>
        <w:rFonts w:ascii="Calibri" w:cs="Calibri" w:eastAsia="Calibri" w:hAnsi="Calibri"/>
        <w:b/>
        <w:bCs/>
        <w:color w:val="E8A33D"/>
        <w:sz w:val="16"/>
        <w:szCs w:val="16"/>
      </w:rPr>
      <w:t xml:space="preserve">   ·   ILLUSTRATIVE, SYNTHETIC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386c301a9c447d6eb1b135e5662528c929fd87c.png"/><Relationship Id="rId10" Type="http://schemas.openxmlformats.org/officeDocument/2006/relationships/image" Target="media/fded578c41ce698e343e34a5c14ae76cd4a0eacf.png"/><Relationship Id="rId11" Type="http://schemas.openxmlformats.org/officeDocument/2006/relationships/image" Target="media/9f2780b3b6a79a6cac452d44eabde31454302c61.png"/><Relationship Id="rId12" Type="http://schemas.openxmlformats.org/officeDocument/2006/relationships/image" Target="media/5809f3a259f44946e4b7efe97238cb0f2f934bc8.png"/><Relationship Id="rId13" Type="http://schemas.openxmlformats.org/officeDocument/2006/relationships/image" Target="media/57b7ac62bd609c63afa5cd894533a9d79e70ca6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 Chain Decision Brief</dc:title>
  <dc:creator>Decision Brief Generator</dc:creator>
  <cp:lastModifiedBy>Un-named</cp:lastModifiedBy>
  <cp:revision>1</cp:revision>
  <dcterms:created xsi:type="dcterms:W3CDTF">2026-08-03T08:26:48.861Z</dcterms:created>
  <dcterms:modified xsi:type="dcterms:W3CDTF">2026-08-03T08:26:48.861Z</dcterms:modified>
</cp:coreProperties>
</file>

<file path=docProps/custom.xml><?xml version="1.0" encoding="utf-8"?>
<Properties xmlns="http://schemas.openxmlformats.org/officeDocument/2006/custom-properties" xmlns:vt="http://schemas.openxmlformats.org/officeDocument/2006/docPropsVTypes"/>
</file>