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C280B">
      <w:pPr>
        <w:rPr>
          <w:rFonts w:hint="default"/>
        </w:rPr>
      </w:pPr>
      <w:r>
        <w:rPr>
          <w:rFonts w:hint="default"/>
        </w:rPr>
        <w:t>This Mutual Non-Disclosure Agreement (the "Agreement") is entered into as of January 15, 2026 (the "Effective Date"), by and between Acme Corp, a Delaware corporation having its principal place of business at 100 Tech Way, San Francisco, CA ("Disclosing Party"), and Beta Solutions Inc., a New York corporation having its principal place of business at 50 Wall Street, New York, NY ("Receiving Party").</w:t>
      </w:r>
    </w:p>
    <w:p w14:paraId="444F20BC">
      <w:pPr>
        <w:rPr>
          <w:rFonts w:hint="default"/>
        </w:rPr>
      </w:pPr>
    </w:p>
    <w:p w14:paraId="04E20909">
      <w:pPr>
        <w:rPr>
          <w:rFonts w:hint="default"/>
        </w:rPr>
      </w:pPr>
      <w:r>
        <w:rPr>
          <w:rFonts w:hint="default"/>
        </w:rPr>
        <w:t xml:space="preserve">1. Confidential Information. Disclosing Party may disclose proprietary software code, client databases, and financial models (collectively, "Confidential Information") to Receiving Party. </w:t>
      </w:r>
    </w:p>
    <w:p w14:paraId="6D9745BB">
      <w:pPr>
        <w:rPr>
          <w:rFonts w:hint="default"/>
        </w:rPr>
      </w:pPr>
    </w:p>
    <w:p w14:paraId="167BAE35">
      <w:pPr>
        <w:rPr>
          <w:rFonts w:hint="default"/>
        </w:rPr>
      </w:pPr>
      <w:r>
        <w:rPr>
          <w:rFonts w:hint="default"/>
        </w:rPr>
        <w:t xml:space="preserve">2. Term and Obligations. Receiving Party shall protect the Confidential Information using a reasonable standard of care for a period of three (3) years from the Effective Date. </w:t>
      </w:r>
    </w:p>
    <w:p w14:paraId="0E031FBF">
      <w:pPr>
        <w:rPr>
          <w:rFonts w:hint="default"/>
        </w:rPr>
      </w:pPr>
    </w:p>
    <w:p w14:paraId="45EDD04D">
      <w:pPr>
        <w:rPr>
          <w:rFonts w:hint="default"/>
        </w:rPr>
      </w:pPr>
      <w:r>
        <w:rPr>
          <w:rFonts w:hint="default"/>
        </w:rPr>
        <w:t>3. Governing Law. This Agreement shall be governed by and construed in accordance with the laws of the State of California, without regard to its conflict of laws principles. Any legal action or proceeding arising under this Agreement shall be brought exclusively in the state or federal courts located in San Francisco County, California.</w:t>
      </w:r>
    </w:p>
    <w:p w14:paraId="20067D86">
      <w:pPr>
        <w:rPr>
          <w:rFonts w:hint="default"/>
        </w:rPr>
      </w:pPr>
    </w:p>
    <w:p w14:paraId="2C5ABCDD">
      <w:r>
        <w:rPr>
          <w:rFonts w:hint="default"/>
        </w:rPr>
        <w:t>4. Limitation of Liability. In no event shall either party's total aggregate liability exceed $50,000 USD, except in cases of gross negligence or willful misconduct.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90471"/>
    <w:rsid w:val="4D190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2026-10-13T12:34:00Z</dcterms:created>
  <dc:creator>hp</dc:creator>
  <cp:lastModifiedBy>Misbah Khan</cp:lastModifiedBy>
  <dcterms:modified xsi:type="dcterms:W3CDTF">2026-10-13T12:35:09Z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0CCAF8BFA7AA49668B0858FB51B766FA_11</vt:lpwstr>
  </property>
  <property fmtid="{D5CDD505-2E9C-101B-9397-08002B2CF9AE}" pid="4" name="KSOTemplateDocerSaveRecord">
    <vt:lpwstr>eyJoZGlkIjoiNjFkN2MzZWFjZDgzYzZlZWNmOGQ5ZDE3NGQ5NjVlYTEiLCJ1c2VySWQiOiIxOTQxNzk3OTA2Njg0In0=</vt:lpwstr>
  </property>
</Properties>
</file>