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 xml:space="preserve">Angular dispersion boost of high order laser harmonics </w:t>
      </w:r>
      <w:r>
        <w:rPr>
          <w:rFonts w:hint="default"/>
          <w:sz w:val="32"/>
          <w:szCs w:val="32"/>
          <w:lang w:val="en"/>
        </w:rPr>
        <w:t xml:space="preserve">interacting </w:t>
      </w:r>
      <w:bookmarkStart w:id="0" w:name="_GoBack"/>
      <w:bookmarkEnd w:id="0"/>
      <w:r>
        <w:rPr>
          <w:rFonts w:hint="default"/>
          <w:sz w:val="32"/>
          <w:szCs w:val="32"/>
        </w:rPr>
        <w:t>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ilvl w:val="0"/>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ilvl w:val="0"/>
          <w:numId w:val="0"/>
        </w:numPr>
        <w:jc w:val="center"/>
        <w:rPr>
          <w:rFonts w:hint="default"/>
          <w:sz w:val="20"/>
          <w:szCs w:val="20"/>
          <w:vertAlign w:val="baseline"/>
          <w:lang w:val="en"/>
        </w:rPr>
      </w:pPr>
    </w:p>
    <w:p>
      <w:pPr>
        <w:numPr>
          <w:ilvl w:val="0"/>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ilvl w:val="0"/>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ilvl w:val="0"/>
          <w:numId w:val="0"/>
        </w:numPr>
        <w:jc w:val="both"/>
        <w:rPr>
          <w:rFonts w:hint="default"/>
          <w:sz w:val="20"/>
          <w:szCs w:val="20"/>
          <w:vertAlign w:val="baseline"/>
          <w:lang w:val="en"/>
        </w:rPr>
      </w:pPr>
    </w:p>
    <w:p>
      <w:pPr>
        <w:numPr>
          <w:ilvl w:val="0"/>
          <w:numId w:val="0"/>
        </w:numPr>
        <w:jc w:val="left"/>
        <w:rPr>
          <w:rFonts w:hint="default"/>
          <w:b w:val="0"/>
          <w:bCs w:val="0"/>
          <w:i/>
          <w:iCs/>
          <w:sz w:val="20"/>
          <w:szCs w:val="20"/>
          <w:vertAlign w:val="baseline"/>
          <w:lang w:val="en"/>
        </w:rPr>
      </w:pPr>
      <w:r>
        <w:rPr>
          <w:rFonts w:hint="default"/>
          <w:b w:val="0"/>
          <w:bCs w:val="0"/>
          <w:i/>
          <w:iCs/>
          <w:sz w:val="20"/>
          <w:szCs w:val="20"/>
          <w:vertAlign w:val="baseline"/>
          <w:lang w:val="en"/>
        </w:rPr>
        <w:t>Abstract—We propose a nanosphere array target in the plasma phase as an efficient dispersive medium for the intense XUV light which is originated from laser-plasma interactions where various high harmonic generation processes take place. The scattering process is studied with the help of numerical simulations using resonance conditions obtained from the analytical model. We show that the angular distribution of different harmonics after scattering can be good described by a simple interference, in particular for the rectangle symmetry the angular distribution corresponds to the Bragg-Wolfe diffraction theory.</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Limited size targets interacting with intense coherent light is well-studied phenomenon of linear excited surface plasmonic oscillations. Exciting of surface plasmons can lead to significant boost internal and external field on cluster eigenfrequency, that can cause enhancement of scattered field at large angles relative to the direction of incident wave.</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Periodic surface gratings or photonic crystals are excellent tools for light diffraction and direction. However, this method is less effective in the case of extreme ultraviolet (XUV) light due to the high absorption of any material in this frequency range. Within the present work we research the possibility of angluar boost of a radiation in the XUV range by scattering on suitable spherical clusters.</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Similar to the work [1] we develop analytical model for a single cluster based on the Drude dielectic function of the plasma and the Mie scattering theory. The model was constructed in the quasi-static approximation since the ionization time is shorter than the pulse duration, which is much shorter than the plasma expansion time: femtosecond pulse of Ti:Sa laser with wavelength λ</w:t>
      </w:r>
      <w:r>
        <w:rPr>
          <w:rFonts w:hint="default"/>
          <w:b w:val="0"/>
          <w:bCs w:val="0"/>
          <w:sz w:val="20"/>
          <w:szCs w:val="20"/>
          <w:vertAlign w:val="subscript"/>
          <w:lang w:val="en"/>
        </w:rPr>
        <w:t>L</w:t>
      </w:r>
      <w:r>
        <w:rPr>
          <w:rFonts w:hint="default"/>
          <w:b w:val="0"/>
          <w:bCs w:val="0"/>
          <w:sz w:val="20"/>
          <w:szCs w:val="20"/>
          <w:vertAlign w:val="baseline"/>
          <w:lang w:val="en"/>
        </w:rPr>
        <w:t xml:space="preserve"> = 830 nm is in considering, the high harmonics beam generated by a nonlinear medium and the 10th harmonic filtered.</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To investigate the resonance conditions the determination of the scattering coefficients is necessary in general. Since we are only interested in particle sizes smaller than the incident wavelength we use the limiting forms of the Bessel functions</w:t>
      </w:r>
      <w:r>
        <w:rPr>
          <w:rFonts w:hint="default"/>
          <w:b w:val="0"/>
          <w:bCs w:val="0"/>
          <w:sz w:val="20"/>
          <w:szCs w:val="20"/>
          <w:vertAlign w:val="baseline"/>
          <w:lang w:val="ru-RU"/>
        </w:rPr>
        <w:t xml:space="preserve"> </w:t>
      </w:r>
      <w:r>
        <w:rPr>
          <w:rFonts w:hint="default"/>
          <w:b w:val="0"/>
          <w:bCs w:val="0"/>
          <w:sz w:val="20"/>
          <w:szCs w:val="20"/>
          <w:vertAlign w:val="baseline"/>
          <w:lang w:val="en"/>
        </w:rPr>
        <w:t>[2]. Such approximations allow us to estimate the resonance parameters for a target with pre-defined wavelength, in particular the resonance electron density and the radius. In first-order approximation with wavelength λ</w:t>
      </w:r>
      <w:r>
        <w:rPr>
          <w:rFonts w:hint="default"/>
          <w:b w:val="0"/>
          <w:bCs w:val="0"/>
          <w:sz w:val="20"/>
          <w:szCs w:val="20"/>
          <w:vertAlign w:val="subscript"/>
          <w:lang w:val="ru-RU"/>
        </w:rPr>
        <w:t>10</w:t>
      </w:r>
      <w:r>
        <w:rPr>
          <w:rFonts w:hint="default"/>
          <w:b w:val="0"/>
          <w:bCs w:val="0"/>
          <w:sz w:val="20"/>
          <w:szCs w:val="20"/>
          <w:vertAlign w:val="baseline"/>
          <w:lang w:val="en"/>
        </w:rPr>
        <w:t xml:space="preserve"> = λ</w:t>
      </w:r>
      <w:r>
        <w:rPr>
          <w:rFonts w:hint="default"/>
          <w:b w:val="0"/>
          <w:bCs w:val="0"/>
          <w:sz w:val="20"/>
          <w:szCs w:val="20"/>
          <w:vertAlign w:val="subscript"/>
          <w:lang w:val="en"/>
        </w:rPr>
        <w:t>L</w:t>
      </w:r>
      <w:r>
        <w:rPr>
          <w:rFonts w:hint="default"/>
          <w:b w:val="0"/>
          <w:bCs w:val="0"/>
          <w:sz w:val="20"/>
          <w:szCs w:val="20"/>
          <w:vertAlign w:val="baseline"/>
          <w:lang w:val="en"/>
        </w:rPr>
        <w:t xml:space="preserve"> / 10 = 83 nm we need n</w:t>
      </w:r>
      <w:r>
        <w:rPr>
          <w:rFonts w:hint="default"/>
          <w:b w:val="0"/>
          <w:bCs w:val="0"/>
          <w:sz w:val="20"/>
          <w:szCs w:val="20"/>
          <w:vertAlign w:val="subscript"/>
          <w:lang w:val="en"/>
        </w:rPr>
        <w:t>e</w:t>
      </w:r>
      <w:r>
        <w:rPr>
          <w:rFonts w:hint="default"/>
          <w:b w:val="0"/>
          <w:bCs w:val="0"/>
          <w:sz w:val="20"/>
          <w:szCs w:val="20"/>
          <w:vertAlign w:val="subscript"/>
          <w:lang w:val="ru-RU"/>
        </w:rPr>
        <w:t xml:space="preserve"> </w:t>
      </w:r>
      <w:r>
        <w:rPr>
          <w:rFonts w:hint="default"/>
          <w:b w:val="0"/>
          <w:bCs w:val="0"/>
          <w:sz w:val="20"/>
          <w:szCs w:val="20"/>
          <w:vertAlign w:val="baseline"/>
          <w:lang w:val="ru-RU"/>
        </w:rPr>
        <w:t>=</w:t>
      </w:r>
      <w:r>
        <w:rPr>
          <w:rFonts w:hint="default"/>
          <w:b w:val="0"/>
          <w:bCs w:val="0"/>
          <w:sz w:val="20"/>
          <w:szCs w:val="20"/>
          <w:vertAlign w:val="baseline"/>
          <w:lang w:val="en"/>
        </w:rPr>
        <w:t xml:space="preserve"> 5.7 </w:t>
      </w:r>
      <w:r>
        <w:rPr>
          <w:rFonts w:hint="default"/>
          <w:b w:val="0"/>
          <w:bCs w:val="0"/>
          <w:sz w:val="20"/>
          <w:szCs w:val="20"/>
          <w:vertAlign w:val="baseline"/>
          <w:lang w:val="ru-RU"/>
        </w:rPr>
        <w:t xml:space="preserve">* </w:t>
      </w:r>
      <w:r>
        <w:rPr>
          <w:rFonts w:hint="default"/>
          <w:b w:val="0"/>
          <w:bCs w:val="0"/>
          <w:sz w:val="20"/>
          <w:szCs w:val="20"/>
          <w:vertAlign w:val="baseline"/>
          <w:lang w:val="en"/>
        </w:rPr>
        <w:t>10</w:t>
      </w:r>
      <w:r>
        <w:rPr>
          <w:rFonts w:hint="default"/>
          <w:b w:val="0"/>
          <w:bCs w:val="0"/>
          <w:sz w:val="20"/>
          <w:szCs w:val="20"/>
          <w:vertAlign w:val="subscript"/>
          <w:lang w:val="en"/>
        </w:rPr>
        <w:t>23</w:t>
      </w:r>
      <w:r>
        <w:rPr>
          <w:rFonts w:hint="default"/>
          <w:b w:val="0"/>
          <w:bCs w:val="0"/>
          <w:sz w:val="20"/>
          <w:szCs w:val="20"/>
          <w:vertAlign w:val="baseline"/>
          <w:lang w:val="en"/>
        </w:rPr>
        <w:t xml:space="preserve"> cm</w:t>
      </w:r>
      <w:r>
        <w:rPr>
          <w:rFonts w:hint="default"/>
          <w:b w:val="0"/>
          <w:bCs w:val="0"/>
          <w:sz w:val="20"/>
          <w:szCs w:val="20"/>
          <w:vertAlign w:val="subscript"/>
          <w:lang w:val="en"/>
        </w:rPr>
        <w:t>-3</w:t>
      </w:r>
      <w:r>
        <w:rPr>
          <w:rFonts w:hint="default"/>
          <w:b w:val="0"/>
          <w:bCs w:val="0"/>
          <w:sz w:val="20"/>
          <w:szCs w:val="20"/>
          <w:vertAlign w:val="baseline"/>
          <w:lang w:val="en"/>
        </w:rPr>
        <w:t xml:space="preserve"> for ka = 0.7</w:t>
      </w: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 xml:space="preserve">(a </w:t>
      </w:r>
      <w:r>
        <w:rPr>
          <w:rFonts w:hint="default"/>
          <w:b w:val="0"/>
          <w:bCs w:val="0"/>
          <w:sz w:val="20"/>
          <w:szCs w:val="20"/>
          <w:vertAlign w:val="baseline"/>
          <w:lang w:val="ru-RU"/>
        </w:rPr>
        <w:t>=</w:t>
      </w:r>
      <w:r>
        <w:rPr>
          <w:rFonts w:hint="default"/>
          <w:b w:val="0"/>
          <w:bCs w:val="0"/>
          <w:sz w:val="20"/>
          <w:szCs w:val="20"/>
          <w:vertAlign w:val="baseline"/>
          <w:lang w:val="en"/>
        </w:rPr>
        <w:t xml:space="preserve"> 8.9</w:t>
      </w:r>
      <w:r>
        <w:rPr>
          <w:rFonts w:hint="default"/>
          <w:b w:val="0"/>
          <w:bCs w:val="0"/>
          <w:sz w:val="20"/>
          <w:szCs w:val="20"/>
          <w:vertAlign w:val="baseline"/>
          <w:lang w:val="ru-RU"/>
        </w:rPr>
        <w:t>1</w:t>
      </w:r>
      <w:r>
        <w:rPr>
          <w:rFonts w:hint="default"/>
          <w:b w:val="0"/>
          <w:bCs w:val="0"/>
          <w:sz w:val="20"/>
          <w:szCs w:val="20"/>
          <w:vertAlign w:val="baseline"/>
          <w:lang w:val="en"/>
        </w:rPr>
        <w:t xml:space="preserve"> nm) to reach efficient scattering.</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With these parameters of single cluster target we consider the resonance and</w:t>
      </w:r>
      <w:r>
        <w:rPr>
          <w:rFonts w:hint="default"/>
          <w:b w:val="0"/>
          <w:bCs w:val="0"/>
          <w:sz w:val="20"/>
          <w:szCs w:val="20"/>
          <w:vertAlign w:val="baseline"/>
          <w:lang w:val="ru-RU"/>
        </w:rPr>
        <w:t xml:space="preserve"> </w:t>
      </w:r>
      <w:r>
        <w:rPr>
          <w:rFonts w:hint="default"/>
          <w:b w:val="0"/>
          <w:bCs w:val="0"/>
          <w:sz w:val="20"/>
          <w:szCs w:val="20"/>
          <w:vertAlign w:val="baseline"/>
          <w:lang w:val="en"/>
        </w:rPr>
        <w:t>non-resonance case, corresponding to the 1st and 10th harmonic. We found a good scattered field enhancement (about 5 times) in the resonance case in comparison with the non-resonance case.</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Using the same resonance conditions for a single cluster, we simulate diffraction by an array of such clusters using code CELES [3].</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r>
        <w:rPr>
          <w:rFonts w:hint="default"/>
          <w:b w:val="0"/>
          <w:bCs w:val="0"/>
          <w:sz w:val="20"/>
          <w:szCs w:val="20"/>
          <w:vertAlign w:val="baseline"/>
          <w:lang w:val="en"/>
        </w:rPr>
        <w:t>FIGURE 1</w:t>
      </w:r>
    </w:p>
    <w:p>
      <w:pPr>
        <w:numPr>
          <w:ilvl w:val="0"/>
          <w:numId w:val="0"/>
        </w:numPr>
        <w:jc w:val="left"/>
        <w:rPr>
          <w:rFonts w:hint="default"/>
          <w:b w:val="0"/>
          <w:bCs w:val="0"/>
          <w:sz w:val="20"/>
          <w:szCs w:val="20"/>
          <w:vertAlign w:val="baseline"/>
          <w:lang w:val="en"/>
        </w:rPr>
      </w:pPr>
    </w:p>
    <w:p>
      <w:pPr>
        <w:numPr>
          <w:ilvl w:val="0"/>
          <w:numId w:val="0"/>
        </w:numPr>
        <w:jc w:val="left"/>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At Fig. 1 zero and first diffraction order can be observed, also there is weak second and minus first order of the reflected light. From the amplitude of the electric field in the first-order diffraction it can be assumed about 30\% of the radiation volume is directed.</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Obtained results show a significant boost of the scattered field in the resonance case for large angles, which corresponds to the Bragg-Wolfe diffraction theory [2], - the ability to control high harmonics of laser radiation in XUV range using an ionized cluster gas.</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REFERENCES</w:t>
      </w:r>
    </w:p>
    <w:p>
      <w:pPr>
        <w:numPr>
          <w:ilvl w:val="0"/>
          <w:numId w:val="0"/>
        </w:numPr>
        <w:jc w:val="both"/>
        <w:rPr>
          <w:rFonts w:hint="default"/>
          <w:b w:val="0"/>
          <w:bCs w:val="0"/>
          <w:i w:val="0"/>
          <w:i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Roboto Mono">
    <w:panose1 w:val="00000009000000000000"/>
    <w:charset w:val="00"/>
    <w:family w:val="auto"/>
    <w:pitch w:val="default"/>
    <w:sig w:usb0="E00002FF" w:usb1="1000205B" w:usb2="00000020" w:usb3="00000000" w:csb0="2000019F" w:csb1="4F010000"/>
  </w:font>
  <w:font w:name="AnjaliOldLipi">
    <w:panose1 w:val="02000603000000000000"/>
    <w:charset w:val="00"/>
    <w:family w:val="auto"/>
    <w:pitch w:val="default"/>
    <w:sig w:usb0="80800001" w:usb1="00002000" w:usb2="00000000" w:usb3="00000000" w:csb0="00000001" w:csb1="00000000"/>
  </w:font>
  <w:font w:name="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1FF34082"/>
    <w:rsid w:val="363B3971"/>
    <w:rsid w:val="3EFE6E94"/>
    <w:rsid w:val="3FDFB175"/>
    <w:rsid w:val="4BEF8579"/>
    <w:rsid w:val="6BF72269"/>
    <w:rsid w:val="7BEFE277"/>
    <w:rsid w:val="7EEB4B23"/>
    <w:rsid w:val="7F7CC0B7"/>
    <w:rsid w:val="AFBDA42B"/>
    <w:rsid w:val="B6BFB993"/>
    <w:rsid w:val="BEB55220"/>
    <w:rsid w:val="BECF85A9"/>
    <w:rsid w:val="CDB374DA"/>
    <w:rsid w:val="D75F504C"/>
    <w:rsid w:val="DFAF5586"/>
    <w:rsid w:val="EFDDCBA3"/>
    <w:rsid w:val="F4FFF84A"/>
    <w:rsid w:val="F76D743C"/>
    <w:rsid w:val="F7AFF358"/>
    <w:rsid w:val="FDAA169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2022-01-09T21:43:00Z</dcterms:created>
  <dc:creator>misery7100</dc:creator>
  <cp:lastModifiedBy>misery7100</cp:lastModifiedBy>
  <dcterms:modified xsi:type="dcterms:W3CDTF">2022-01-11T20:46:53Z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