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jc w:val="center"/>
        <w:rPr/>
      </w:pPr>
      <w:r>
        <w:t>MILESTONE 5: INTERACTIVE DASHBOARD &amp; DECISION-SUPPORT SYST</w:t>
      </w:r>
      <w:r>
        <w:rPr>
          <w:lang w:val="en-US"/>
        </w:rPr>
        <w:t>EM</w:t>
      </w:r>
      <w:r>
        <w:br/>
      </w:r>
    </w:p>
    <w:p>
      <w:pPr>
        <w:pStyle w:val="style1"/>
        <w:rPr/>
      </w:pPr>
      <w:r>
        <w:t>1. Objective</w:t>
      </w:r>
    </w:p>
    <w:p>
      <w:pPr>
        <w:pStyle w:val="style0"/>
        <w:rPr/>
      </w:pPr>
      <w:r>
        <w:t>The primary goal of Milestone 5 was to design and implement a high-fidelity, interactive dashboard in Power BI. This system functions as a Decision-Support System (DSS), enabling managers to transition from observing raw, unstructured data to making evidence-based strategic decisions. By centralizing key metrics and providing interactive exploration tools, the dashboard facilitates rapid identification of market trends and operational risks.</w:t>
      </w:r>
    </w:p>
    <w:p>
      <w:pPr>
        <w:pStyle w:val="style1"/>
        <w:rPr/>
      </w:pPr>
      <w:r>
        <w:t>2. Technical Implementation</w:t>
      </w:r>
    </w:p>
    <w:p>
      <w:pPr>
        <w:pStyle w:val="style0"/>
        <w:rPr/>
      </w:pPr>
      <w:r>
        <w:t>The implementation relied on a refined dataset featuring decoded categorical variables and corrected transactional metrics. The architecture prioritized low-latency interactivity and data accuracy.</w:t>
      </w:r>
    </w:p>
    <w:p>
      <w:pPr>
        <w:pStyle w:val="style2"/>
        <w:rPr/>
      </w:pPr>
      <w:r>
        <w:t>2.1 Dynamic Slicing and Filtering</w:t>
      </w:r>
    </w:p>
    <w:p>
      <w:pPr>
        <w:pStyle w:val="style0"/>
        <w:rPr/>
      </w:pPr>
      <w:r>
        <w:t>To ensure a highly interactive experience, several slicers were integrated into the interface:</w:t>
      </w:r>
    </w:p>
    <w:p>
      <w:pPr>
        <w:pStyle w:val="style48"/>
        <w:rPr/>
      </w:pPr>
      <w:r>
        <w:t>City Slicer: Allows users to filter all visuals by specific geographic locations (e.g., San Francisco, Los Angeles, Miami).</w:t>
      </w:r>
    </w:p>
    <w:p>
      <w:pPr>
        <w:pStyle w:val="style48"/>
        <w:rPr/>
      </w:pPr>
      <w:r>
        <w:t>Membership Category Slicer: Enables direct side-by-side comparison between Gold and Silver tier members.</w:t>
      </w:r>
    </w:p>
    <w:p>
      <w:pPr>
        <w:pStyle w:val="style48"/>
        <w:rPr/>
      </w:pPr>
      <w:r>
        <w:t>Satisfaction Level Slicer: Facilitates segment isolation based on qualitative sentiment (Satisfied, Neutral, Unsatisfied).</w:t>
      </w:r>
    </w:p>
    <w:p>
      <w:pPr>
        <w:pStyle w:val="style2"/>
        <w:rPr/>
      </w:pPr>
      <w:r>
        <w:t>2.2 Core Visualizations</w:t>
      </w:r>
    </w:p>
    <w:p>
      <w:pPr>
        <w:pStyle w:val="style0"/>
        <w:rPr/>
      </w:pPr>
      <w:r>
        <w:rPr>
          <w:b/>
        </w:rPr>
        <w:t>KPI Cards (The 'Vital Signs'):</w:t>
      </w:r>
    </w:p>
    <w:p>
      <w:pPr>
        <w:pStyle w:val="style48"/>
        <w:rPr/>
      </w:pPr>
      <w:r>
        <w:t>Total Customers: Displays the current count of the active customer base.</w:t>
      </w:r>
    </w:p>
    <w:p>
      <w:pPr>
        <w:pStyle w:val="style48"/>
        <w:rPr/>
      </w:pPr>
      <w:r>
        <w:t>Average Spend: Represents the mean financial value per transaction across the selected segment.</w:t>
      </w:r>
    </w:p>
    <w:p>
      <w:pPr>
        <w:pStyle w:val="style48"/>
        <w:rPr/>
      </w:pPr>
      <w:r>
        <w:t>Total Items: Shows the total volume of products purchased, providing an indicator of inventory throughput.</w:t>
      </w:r>
    </w:p>
    <w:p>
      <w:pPr>
        <w:pStyle w:val="style0"/>
        <w:rPr/>
      </w:pPr>
      <w:r>
        <w:rPr>
          <w:b/>
        </w:rPr>
        <w:t>Comparative and Strategic Visuals:</w:t>
      </w:r>
    </w:p>
    <w:p>
      <w:pPr>
        <w:pStyle w:val="style48"/>
        <w:rPr/>
      </w:pPr>
      <w:r>
        <w:t>Comparative Bar Charts: Used to visualize Average Spend by City or Membership Type, highlighting the most profitable segments.</w:t>
      </w:r>
    </w:p>
    <w:p>
      <w:pPr>
        <w:pStyle w:val="style48"/>
        <w:rPr/>
      </w:pPr>
      <w:r>
        <w:t>The Strategic Scatter Plot: A multi-dimensional visual where the X-axis tracks Average Spend and the Y-axis tracks Items Corrected (Gross Volume). Color legends differentiate by Membership or Satisfaction, identifying high-frequency 'Power Users' versus churn risks.</w:t>
      </w:r>
    </w:p>
    <w:p>
      <w:pPr>
        <w:pStyle w:val="style1"/>
        <w:rPr/>
      </w:pPr>
      <w:r>
        <w:t>3. Data Transformation Layer (The "Invisible" Work)</w:t>
      </w:r>
    </w:p>
    <w:p>
      <w:pPr>
        <w:pStyle w:val="style0"/>
        <w:rPr/>
      </w:pPr>
      <w:r>
        <w:t>For the dashboard to provide intuitive insights, complex Data Analysis Expressions (DAX) were authored to bridge raw binary machine-readable data back into human-readable labels:</w:t>
      </w:r>
    </w:p>
    <w:p>
      <w:pPr>
        <w:pStyle w:val="style48"/>
        <w:rPr/>
      </w:pPr>
      <w:r>
        <w:t>City Decoding: Implemented via SWITCH functions to translate binary indicators (1/0) into descriptive city names.</w:t>
      </w:r>
    </w:p>
    <w:p>
      <w:pPr>
        <w:pStyle w:val="style48"/>
        <w:rPr/>
      </w:pPr>
      <w:r>
        <w:t>Membership Mapping: Transformed binary tiers into 'Gold' and 'Silver' labels, ensuring the interface remains accessible to non-technical stakeholders.</w:t>
      </w:r>
    </w:p>
    <w:p>
      <w:pPr>
        <w:pStyle w:val="style1"/>
        <w:rPr/>
      </w:pPr>
      <w:r>
        <w:t>4. Decision-Support Use Cases</w:t>
      </w:r>
    </w:p>
    <w:p>
      <w:pPr>
        <w:pStyle w:val="style0"/>
        <w:rPr/>
      </w:pPr>
      <w:r>
        <w:t>The system is engineered to provide actionable answers to critical business questions: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Business Question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Dashboard Action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Strategic Outcome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Identify underperforming regions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Filter by 'City'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Localized promotional targeting.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Analyze loyalty program impact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Compare 'Gold' vs 'Silver'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Refinement of membership benefits.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Prevent customer churn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Identify 'Unsatisfied' high-spenders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Immediate customer service intervention.</w:t>
            </w:r>
          </w:p>
        </w:tc>
      </w:tr>
    </w:tbl>
    <w:p>
      <w:pPr>
        <w:pStyle w:val="style1"/>
        <w:rPr/>
      </w:pPr>
      <w:r>
        <w:t>5. UI/UX and Human-Centered Design</w:t>
      </w:r>
    </w:p>
    <w:p>
      <w:pPr>
        <w:pStyle w:val="style0"/>
        <w:rPr/>
      </w:pPr>
      <w:r>
        <w:t>Consistent color palettes (e.g., Green for Gold, Blue for Silver) were used to minimize cognitive load. The layout follows the 'F-Pattern', placing high-priority KPIs in the top-left quadrant for immediate visibility. Cross-Highlighting is enabled, ensuring that an interaction with one chart updates the entire view for synchronized analysis.</w:t>
      </w:r>
    </w:p>
    <w:p>
      <w:pPr>
        <w:pStyle w:val="style1"/>
        <w:rPr/>
      </w:pPr>
      <w:r>
        <w:t>Conclusion</w:t>
      </w:r>
    </w:p>
    <w:p>
      <w:pPr>
        <w:pStyle w:val="style0"/>
        <w:rPr/>
      </w:pPr>
      <w:r>
        <w:t>Milestone 5 successfully transformed abstract datasets into a navigable visual narrative. By prioritizing interactivity and clarity, the system empowers e-commerce managers to mitigate risks and capitalize on trends in real-time.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cf2f1dd1-1413-4755-be9e-7bed0673d75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e645abfc-1288-4530-b274-6fa8cf23b297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1a8628d1-1875-4b22-9c06-ec3ce835d743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09b0b069-15e5-471e-86b4-b8ffcc109fe7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1cc2a4be-a3f0-46bd-b81b-d48d5ce4933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553f3ace-8da8-495e-bbe0-ce0061e8a3f9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49f4f2bd-c23e-4165-a4a0-a0583d6396c4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62ad026-3be2-4d7b-a758-085a9e4088cb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d9924ac-7956-40ef-8ee8-a54cf5c5e926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41f83ce8-0509-4acc-8147-50b379284ff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1e8cfc7-68d8-4583-b567-ee1f2f79939e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e91792af-b46f-44b1-b197-44b7e8410fa3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ac307f86-6f0b-4a9d-a39c-7ffbdf9d9280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2b904dbb-68fa-46f6-a64f-a3cc241f66f7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462</Words>
  <Pages>1</Pages>
  <Characters>3088</Characters>
  <Application>WPS Office</Application>
  <DocSecurity>0</DocSecurity>
  <Paragraphs>44</Paragraphs>
  <ScaleCrop>false</ScaleCrop>
  <LinksUpToDate>false</LinksUpToDate>
  <CharactersWithSpaces>3511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M-KOPA X2</lastModifiedBy>
  <dcterms:modified xsi:type="dcterms:W3CDTF">2026-05-10T14:07:07Z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c1fbc439d158456ba9dff8bd30ae2c7e</vt:lpwstr>
  </property>
</Properties>
</file>