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center"/>
        <w:rPr/>
      </w:pPr>
      <w:r>
        <w:t>MILESTONE 6: INTEGRATED ANALYTICS SYSTEM</w:t>
      </w:r>
    </w:p>
    <w:p>
      <w:pPr>
        <w:pStyle w:val="style0"/>
        <w:jc w:val="center"/>
        <w:rPr/>
      </w:pPr>
      <w:r>
        <w:t>Research Contribution, Advanced Analytics &amp; Decision Support</w:t>
      </w:r>
    </w:p>
    <w:p>
      <w:pPr>
        <w:pStyle w:val="style0"/>
        <w:jc w:val="center"/>
        <w:rPr/>
      </w:pPr>
    </w:p>
    <w:p>
      <w:pPr>
        <w:pStyle w:val="style1"/>
        <w:rPr/>
      </w:pPr>
      <w:r>
        <w:t>1. Executive Summary</w:t>
      </w:r>
    </w:p>
    <w:p>
      <w:pPr>
        <w:pStyle w:val="style0"/>
        <w:rPr/>
      </w:pPr>
      <w:r>
        <w:t>This milestone represents the final integration of the e-commerce analytics system. The objective was to evolve the platform from a descriptive dashboard into a predictive research tool. This was achieved by implementing a novel Retention Score model, resolving complex data anomalies, and designing a human-centered interface for strategic decision-support.</w:t>
      </w:r>
    </w:p>
    <w:p>
      <w:pPr>
        <w:pStyle w:val="style1"/>
        <w:rPr/>
      </w:pPr>
      <w:r>
        <w:t>2. Advanced Data Engineering</w:t>
      </w:r>
    </w:p>
    <w:p>
      <w:pPr>
        <w:pStyle w:val="style0"/>
        <w:rPr/>
      </w:pPr>
      <w:r>
        <w:t>Before implementing advanced models, a rigorous data audit was conducted. A critical anomaly was identified where the 'Items Purchased' field contained negative integers, likely representing returns or data entry errors.</w:t>
      </w:r>
    </w:p>
    <w:p>
      <w:pPr>
        <w:pStyle w:val="style48"/>
        <w:rPr/>
      </w:pPr>
      <w:r>
        <w:t>Technical Resolution:</w:t>
      </w:r>
    </w:p>
    <w:p>
      <w:pPr>
        <w:pStyle w:val="style48"/>
        <w:rPr/>
      </w:pPr>
      <w:r>
        <w:t>To maintain the integrity of the total engagement metrics, an 'Items Corrected' layer was built using the Absolute Value transformation. This ensured that the system accurately reflects gross transactional volume.</w:t>
      </w:r>
    </w:p>
    <w:p>
      <w:pPr>
        <w:pStyle w:val="style0"/>
        <w:rPr/>
      </w:pPr>
      <w:r>
        <w:rPr>
          <w:rFonts w:ascii="Courier New" w:hAnsi="Courier New"/>
          <w:i/>
        </w:rPr>
        <w:t xml:space="preserve">   DAX: Items Corrected = ABS('</w:t>
      </w:r>
      <w:r>
        <w:rPr>
          <w:rFonts w:hAnsi="Courier New"/>
          <w:i/>
          <w:lang w:val="en-US"/>
        </w:rPr>
        <w:t>cleaned_customer_data</w:t>
      </w:r>
      <w:r>
        <w:rPr>
          <w:rFonts w:ascii="Courier New" w:hAnsi="Courier New"/>
          <w:i/>
        </w:rPr>
        <w:t>'[Items Purchased])</w:t>
      </w:r>
    </w:p>
    <w:p>
      <w:pPr>
        <w:pStyle w:val="style1"/>
        <w:rPr/>
      </w:pPr>
      <w:r>
        <w:t>3. Research Contribution: The Weighted Retention Model</w:t>
      </w:r>
    </w:p>
    <w:p>
      <w:pPr>
        <w:pStyle w:val="style0"/>
        <w:rPr/>
      </w:pPr>
      <w:r>
        <w:t>The system's core innovation is the Weighted Retention Score. This model goes beyond historical data by predicting future customer loyalty based on a multi-criteria weighting system.</w:t>
      </w:r>
    </w:p>
    <w:p>
      <w:pPr>
        <w:pStyle w:val="style2"/>
        <w:rPr/>
      </w:pPr>
      <w:r>
        <w:t>3.1 Algorithmic Logic</w:t>
      </w:r>
    </w:p>
    <w:p>
      <w:pPr>
        <w:pStyle w:val="style0"/>
        <w:rPr/>
      </w:pPr>
      <w:r>
        <w:t>The algorithm synthesizes three distinct dimensions: Satisfaction Levels, Membership Tiers, and corrected purchase frequency. Weights are assigned as follows:</w:t>
      </w:r>
    </w:p>
    <w:p>
      <w:pPr>
        <w:pStyle w:val="style48"/>
        <w:rPr/>
      </w:pPr>
      <w:r>
        <w:t>High Weight (3.0): Gold Members with 'Satisfied' status.</w:t>
      </w:r>
    </w:p>
    <w:p>
      <w:pPr>
        <w:pStyle w:val="style48"/>
        <w:rPr/>
      </w:pPr>
      <w:r>
        <w:t>Medium Weight (1.5 - 2.5): Neutral sentiment or Silver members with positive feedback.</w:t>
      </w:r>
    </w:p>
    <w:p>
      <w:pPr>
        <w:pStyle w:val="style48"/>
        <w:rPr/>
      </w:pPr>
      <w:r>
        <w:t>Low Weight (0.5): Any 'Unsatisfied' customer, regardless of membership tier.</w:t>
      </w:r>
    </w:p>
    <w:p>
      <w:pPr>
        <w:pStyle w:val="style2"/>
        <w:rPr/>
      </w:pPr>
      <w:r>
        <w:t>3.2 Final DAX Formula</w:t>
      </w:r>
    </w:p>
    <w:p>
      <w:pPr>
        <w:pStyle w:val="style0"/>
        <w:rPr/>
      </w:pPr>
      <w:r>
        <w:rPr>
          <w:rFonts w:ascii="Courier New" w:hAnsi="Courier New"/>
          <w:sz w:val="18"/>
        </w:rPr>
        <w:t xml:space="preserve">Retention Score =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SWITCH(TRUE(),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'Table'[Membership Category] = "Gold" &amp;&amp; 'Table'[Satisfaction Level] = "Satisfied", 3,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'Table'[Membership Category] = "Silver" &amp;&amp; 'Table'[Satisfaction Level] = "Satisfied", 2.5,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'Table'[Satisfaction Level] = "Neutral", 1.5,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'Table'[Satisfaction Level] = "Unsatisfied", 0.5,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</w:p>
    <w:p>
      <w:pPr>
        <w:pStyle w:val="style1"/>
        <w:rPr/>
      </w:pPr>
      <w:r>
        <w:t>4. Integrated System Visualization</w:t>
      </w:r>
    </w:p>
    <w:p>
      <w:pPr>
        <w:pStyle w:val="style0"/>
        <w:rPr/>
      </w:pPr>
      <w:r>
        <w:t>The Power BI dashboard was redesigned to serve as an Interactive Decision-Support System (DSS).</w:t>
      </w:r>
    </w:p>
    <w:p>
      <w:pPr>
        <w:pStyle w:val="style49"/>
        <w:rPr/>
      </w:pPr>
      <w:r>
        <w:t>Strategic Scatter Plot Enhancement: The Y-axis now plots 'Items Corrected' while the marker 'Size' dynamically scales with the 'Retention Score'. This creates a three-dimensional view of customer value: Spending (Position), Activity (Height), and Loyalty (Size).</w:t>
      </w:r>
    </w:p>
    <w:p>
      <w:pPr>
        <w:pStyle w:val="style49"/>
        <w:rPr/>
      </w:pPr>
      <w:r>
        <w:t>Predictive KPI Cards: A centralized 'Average Retention Score' card allows management to monitor the health of specific segments (e.g., specific cities) in real-time as slicers are applied.</w:t>
      </w:r>
    </w:p>
    <w:p>
      <w:pPr>
        <w:pStyle w:val="style1"/>
        <w:rPr/>
      </w:pPr>
      <w:r>
        <w:t>5. Strategic Decision-Support Use Cases</w:t>
      </w:r>
    </w:p>
    <w:tbl>
      <w:tblPr>
        <w:tblStyle w:val="style17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Operational Focus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Targeted Audience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Research-Based Action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Revenue Risk Mitigation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At-Risk Customers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Identify high-spenders with Scores &lt; 1.0 for VIP recovery calls.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Growth &amp; Expansion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Market Analysts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Compare Retention Scores across Decoded Cities to prioritize logistics hubs.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Loyalty Optimization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Marketing Team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Incentivize Silver members with scores &gt; 2.0 to upgrade to Gold tiers.</w:t>
            </w:r>
          </w:p>
        </w:tc>
      </w:tr>
    </w:tbl>
    <w:p>
      <w:pPr>
        <w:pStyle w:val="style1"/>
        <w:rPr/>
      </w:pPr>
      <w:r>
        <w:t>6. Conclusion</w:t>
      </w:r>
    </w:p>
    <w:p>
      <w:pPr>
        <w:pStyle w:val="style0"/>
        <w:rPr/>
      </w:pPr>
      <w:r>
        <w:t>By successfully implementing Milestone 6, the system demonstrates advanced proficiency in Data Science methodologies. The transition from binary data processing to predictive loyalty modeling provides a scalable framework for e-commerce growth. The system successfully meets all criteria for integrated research and technical innovation.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a695e91-b88a-4cb9-92d2-21c8f7ab3c9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acbcf65-cb3f-46b7-b1a6-ee080950dfa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6741287-9e4d-4f7e-979b-1493934c0ef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11d29fd-1305-4499-b104-5031875eb47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bb5330f-e216-48a8-96c2-4d085310bb4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281ead0-b427-4bc5-ae6b-5c9c06df74d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b637d0d-61a8-4046-a53c-e2cdd3045b0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3252991-775b-49ac-81b0-4616b9e838d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3d17839-faed-4980-ad64-58771af92af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a270c49-8d9e-431f-a7c7-04f0108d94a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f331f27-e56b-47ee-ad44-ef5fe9aff42d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457f1d4-98c5-4d96-b371-a01564af559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3635dc6-d4a9-400c-9275-0deee6ecf79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3c31674-4a0b-41d2-99a7-2ab9e6ff0c9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444</Words>
  <Pages>1</Pages>
  <Characters>2925</Characters>
  <Application>WPS Office</Application>
  <DocSecurity>0</DocSecurity>
  <Paragraphs>42</Paragraphs>
  <ScaleCrop>false</ScaleCrop>
  <LinksUpToDate>false</LinksUpToDate>
  <CharactersWithSpaces>3356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M-KOPA X2</lastModifiedBy>
  <dcterms:modified xsi:type="dcterms:W3CDTF">2026-05-09T06:54:56Z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88274c661cb5436b9233f78acc1a586f</vt:lpwstr>
  </property>
</Properties>
</file>