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color w:val="183E56"/>
          <w:sz w:val="36"/>
        </w:rPr>
        <w:t>Antimicrobial resistance prediction</w:t>
      </w:r>
    </w:p>
    <w:p>
      <w:pPr>
        <w:keepNext/>
      </w:pPr>
      <w:r>
        <w:rPr>
          <w:b/>
          <w:color w:val="183E56"/>
          <w:sz w:val="22"/>
        </w:rPr>
        <w:t>1. Task and study sample</w:t>
      </w:r>
    </w:p>
    <w:p>
      <w:r>
        <w:t>This study predicts a laboratory susceptibility result at the time a culture is ordered. The final dataset has 182,487 rows from 15,952 patients and 28,498 cultures. LightGBM, weighted was selected using validation data. Its test drug-macro AUROC was 0.707.</w:t>
      </w:r>
    </w:p>
    <w:p>
      <w:r>
        <w:t>One row is one patient, culture event, organism and candidate antibiotic. Susceptible is 1. Resistant is 0. Only observed results are used. Untested drugs have no label. Current organism identity defines the row but is excluded from predictors because it is usually unknown when the culture is ordered.</w:t>
      </w:r>
    </w:p>
    <w:p>
      <w:r>
        <w:t>The public ARMD files come from two affiliated hospitals and use an adult cohort [1]. The release is Dryad version 403223, dated 22 October 2025 [2]. The 14 supplied files match the publisher's checksums. A fixed hash selected about 25.0% of patients before data cleaning. This is a scaled sample, not the full source cohort.</w:t>
      </w:r>
    </w:p>
    <w:p>
      <w:r>
        <w:t>The nine candidates are ampicillin, amoxicillin/clavulanate, cefazolin, cefepime, ceftriaxone, ciprofloxacin, gentamicin, piperacillin/tazobactam, trimethoprim/sulfamethoxazole. This panel was set before model fitting. The instructor list was not supplied. It is a provisional ARMD panel, not a verified STEWARD-AW panel.</w:t>
      </w:r>
    </w:p>
    <w:tbl>
      <w:tblPr>
        <w:tblStyle w:val="LightShading-Accent1"/>
        <w:tblW w:type="auto" w:w="0"/>
        <w:tblLayout w:type="fixed"/>
        <w:tblLook w:firstColumn="1" w:firstRow="1" w:lastColumn="0" w:lastRow="0" w:noHBand="0" w:noVBand="1" w:val="04A0"/>
      </w:tblPr>
      <w:tblGrid>
        <w:gridCol w:w="2031"/>
        <w:gridCol w:w="2031"/>
        <w:gridCol w:w="2031"/>
        <w:gridCol w:w="2031"/>
        <w:gridCol w:w="2031"/>
      </w:tblGrid>
      <w:tr>
        <w:tc>
          <w:tcPr>
            <w:tcW w:type="dxa" w:w="1726"/>
          </w:tcPr>
          <w:p>
            <w:pPr>
              <w:spacing w:after="60"/>
            </w:pPr>
            <w:r>
              <w:rPr>
                <w:b/>
                <w:sz w:val="16"/>
              </w:rPr>
              <w:t>Set</w:t>
            </w:r>
          </w:p>
        </w:tc>
        <w:tc>
          <w:tcPr>
            <w:tcW w:type="dxa" w:w="2335"/>
          </w:tcPr>
          <w:p>
            <w:pPr>
              <w:spacing w:after="60"/>
            </w:pPr>
            <w:r>
              <w:rPr>
                <w:b/>
                <w:sz w:val="16"/>
              </w:rPr>
              <w:t>Rows</w:t>
            </w:r>
          </w:p>
        </w:tc>
        <w:tc>
          <w:tcPr>
            <w:tcW w:type="dxa" w:w="2030"/>
          </w:tcPr>
          <w:p>
            <w:pPr>
              <w:spacing w:after="60"/>
            </w:pPr>
            <w:r>
              <w:rPr>
                <w:b/>
                <w:sz w:val="16"/>
              </w:rPr>
              <w:t>Patients</w:t>
            </w:r>
          </w:p>
        </w:tc>
        <w:tc>
          <w:tcPr>
            <w:tcW w:type="dxa" w:w="2233"/>
          </w:tcPr>
          <w:p>
            <w:pPr>
              <w:spacing w:after="60"/>
            </w:pPr>
            <w:r>
              <w:rPr>
                <w:b/>
                <w:sz w:val="16"/>
              </w:rPr>
              <w:t>Cultures</w:t>
            </w:r>
          </w:p>
        </w:tc>
        <w:tc>
          <w:tcPr>
            <w:tcW w:type="dxa" w:w="1827"/>
          </w:tcPr>
          <w:p>
            <w:pPr>
              <w:spacing w:after="60"/>
            </w:pPr>
            <w:r>
              <w:rPr>
                <w:b/>
                <w:sz w:val="16"/>
              </w:rPr>
              <w:t>Resistant</w:t>
            </w:r>
          </w:p>
        </w:tc>
      </w:tr>
      <w:tr>
        <w:tc>
          <w:tcPr>
            <w:tcW w:type="dxa" w:w="1726"/>
          </w:tcPr>
          <w:p>
            <w:pPr>
              <w:spacing w:after="60"/>
            </w:pPr>
            <w:r>
              <w:rPr>
                <w:b w:val="0"/>
                <w:sz w:val="16"/>
              </w:rPr>
              <w:t>All</w:t>
            </w:r>
          </w:p>
        </w:tc>
        <w:tc>
          <w:tcPr>
            <w:tcW w:type="dxa" w:w="2335"/>
          </w:tcPr>
          <w:p>
            <w:pPr>
              <w:spacing w:after="60"/>
            </w:pPr>
            <w:r>
              <w:rPr>
                <w:b w:val="0"/>
                <w:sz w:val="16"/>
              </w:rPr>
              <w:t>182,487</w:t>
            </w:r>
          </w:p>
        </w:tc>
        <w:tc>
          <w:tcPr>
            <w:tcW w:type="dxa" w:w="2030"/>
          </w:tcPr>
          <w:p>
            <w:pPr>
              <w:spacing w:after="60"/>
            </w:pPr>
            <w:r>
              <w:rPr>
                <w:b w:val="0"/>
                <w:sz w:val="16"/>
              </w:rPr>
              <w:t>15,952</w:t>
            </w:r>
          </w:p>
        </w:tc>
        <w:tc>
          <w:tcPr>
            <w:tcW w:type="dxa" w:w="2233"/>
          </w:tcPr>
          <w:p>
            <w:pPr>
              <w:spacing w:after="60"/>
            </w:pPr>
            <w:r>
              <w:rPr>
                <w:b w:val="0"/>
                <w:sz w:val="16"/>
              </w:rPr>
              <w:t>28,498</w:t>
            </w:r>
          </w:p>
        </w:tc>
        <w:tc>
          <w:tcPr>
            <w:tcW w:type="dxa" w:w="1827"/>
          </w:tcPr>
          <w:p>
            <w:pPr>
              <w:spacing w:after="60"/>
            </w:pPr>
            <w:r>
              <w:rPr>
                <w:b w:val="0"/>
                <w:sz w:val="16"/>
              </w:rPr>
              <w:t>18.5%</w:t>
            </w:r>
          </w:p>
        </w:tc>
      </w:tr>
      <w:tr>
        <w:tc>
          <w:tcPr>
            <w:tcW w:type="dxa" w:w="1726"/>
          </w:tcPr>
          <w:p>
            <w:pPr>
              <w:spacing w:after="60"/>
            </w:pPr>
            <w:r>
              <w:rPr>
                <w:b w:val="0"/>
                <w:sz w:val="16"/>
              </w:rPr>
              <w:t>Train</w:t>
            </w:r>
          </w:p>
        </w:tc>
        <w:tc>
          <w:tcPr>
            <w:tcW w:type="dxa" w:w="2335"/>
          </w:tcPr>
          <w:p>
            <w:pPr>
              <w:spacing w:after="60"/>
            </w:pPr>
            <w:r>
              <w:rPr>
                <w:b w:val="0"/>
                <w:sz w:val="16"/>
              </w:rPr>
              <w:t>109,021</w:t>
            </w:r>
          </w:p>
        </w:tc>
        <w:tc>
          <w:tcPr>
            <w:tcW w:type="dxa" w:w="2030"/>
          </w:tcPr>
          <w:p>
            <w:pPr>
              <w:spacing w:after="60"/>
            </w:pPr>
            <w:r>
              <w:rPr>
                <w:b w:val="0"/>
                <w:sz w:val="16"/>
              </w:rPr>
              <w:t>9,602</w:t>
            </w:r>
          </w:p>
        </w:tc>
        <w:tc>
          <w:tcPr>
            <w:tcW w:type="dxa" w:w="2233"/>
          </w:tcPr>
          <w:p>
            <w:pPr>
              <w:spacing w:after="60"/>
            </w:pPr>
            <w:r>
              <w:rPr>
                <w:b w:val="0"/>
                <w:sz w:val="16"/>
              </w:rPr>
              <w:t>17,023</w:t>
            </w:r>
          </w:p>
        </w:tc>
        <w:tc>
          <w:tcPr>
            <w:tcW w:type="dxa" w:w="1827"/>
          </w:tcPr>
          <w:p>
            <w:pPr>
              <w:spacing w:after="60"/>
            </w:pPr>
            <w:r>
              <w:rPr>
                <w:b w:val="0"/>
                <w:sz w:val="16"/>
              </w:rPr>
              <w:t>18.7%</w:t>
            </w:r>
          </w:p>
        </w:tc>
      </w:tr>
      <w:tr>
        <w:tc>
          <w:tcPr>
            <w:tcW w:type="dxa" w:w="1726"/>
          </w:tcPr>
          <w:p>
            <w:pPr>
              <w:spacing w:after="60"/>
            </w:pPr>
            <w:r>
              <w:rPr>
                <w:b w:val="0"/>
                <w:sz w:val="16"/>
              </w:rPr>
              <w:t>Validation</w:t>
            </w:r>
          </w:p>
        </w:tc>
        <w:tc>
          <w:tcPr>
            <w:tcW w:type="dxa" w:w="2335"/>
          </w:tcPr>
          <w:p>
            <w:pPr>
              <w:spacing w:after="60"/>
            </w:pPr>
            <w:r>
              <w:rPr>
                <w:b w:val="0"/>
                <w:sz w:val="16"/>
              </w:rPr>
              <w:t>36,291</w:t>
            </w:r>
          </w:p>
        </w:tc>
        <w:tc>
          <w:tcPr>
            <w:tcW w:type="dxa" w:w="2030"/>
          </w:tcPr>
          <w:p>
            <w:pPr>
              <w:spacing w:after="60"/>
            </w:pPr>
            <w:r>
              <w:rPr>
                <w:b w:val="0"/>
                <w:sz w:val="16"/>
              </w:rPr>
              <w:t>3,147</w:t>
            </w:r>
          </w:p>
        </w:tc>
        <w:tc>
          <w:tcPr>
            <w:tcW w:type="dxa" w:w="2233"/>
          </w:tcPr>
          <w:p>
            <w:pPr>
              <w:spacing w:after="60"/>
            </w:pPr>
            <w:r>
              <w:rPr>
                <w:b w:val="0"/>
                <w:sz w:val="16"/>
              </w:rPr>
              <w:t>5,659</w:t>
            </w:r>
          </w:p>
        </w:tc>
        <w:tc>
          <w:tcPr>
            <w:tcW w:type="dxa" w:w="1827"/>
          </w:tcPr>
          <w:p>
            <w:pPr>
              <w:spacing w:after="60"/>
            </w:pPr>
            <w:r>
              <w:rPr>
                <w:b w:val="0"/>
                <w:sz w:val="16"/>
              </w:rPr>
              <w:t>17.8%</w:t>
            </w:r>
          </w:p>
        </w:tc>
      </w:tr>
      <w:tr>
        <w:tc>
          <w:tcPr>
            <w:tcW w:type="dxa" w:w="1726"/>
          </w:tcPr>
          <w:p>
            <w:pPr>
              <w:spacing w:after="60"/>
            </w:pPr>
            <w:r>
              <w:rPr>
                <w:b w:val="0"/>
                <w:sz w:val="16"/>
              </w:rPr>
              <w:t>Test</w:t>
            </w:r>
          </w:p>
        </w:tc>
        <w:tc>
          <w:tcPr>
            <w:tcW w:type="dxa" w:w="2335"/>
          </w:tcPr>
          <w:p>
            <w:pPr>
              <w:spacing w:after="60"/>
            </w:pPr>
            <w:r>
              <w:rPr>
                <w:b w:val="0"/>
                <w:sz w:val="16"/>
              </w:rPr>
              <w:t>37,175</w:t>
            </w:r>
          </w:p>
        </w:tc>
        <w:tc>
          <w:tcPr>
            <w:tcW w:type="dxa" w:w="2030"/>
          </w:tcPr>
          <w:p>
            <w:pPr>
              <w:spacing w:after="60"/>
            </w:pPr>
            <w:r>
              <w:rPr>
                <w:b w:val="0"/>
                <w:sz w:val="16"/>
              </w:rPr>
              <w:t>3,203</w:t>
            </w:r>
          </w:p>
        </w:tc>
        <w:tc>
          <w:tcPr>
            <w:tcW w:type="dxa" w:w="2233"/>
          </w:tcPr>
          <w:p>
            <w:pPr>
              <w:spacing w:after="60"/>
            </w:pPr>
            <w:r>
              <w:rPr>
                <w:b w:val="0"/>
                <w:sz w:val="16"/>
              </w:rPr>
              <w:t>5,816</w:t>
            </w:r>
          </w:p>
        </w:tc>
        <w:tc>
          <w:tcPr>
            <w:tcW w:type="dxa" w:w="1827"/>
          </w:tcPr>
          <w:p>
            <w:pPr>
              <w:spacing w:after="60"/>
            </w:pPr>
            <w:r>
              <w:rPr>
                <w:b w:val="0"/>
                <w:sz w:val="16"/>
              </w:rPr>
              <w:t>18.4%</w:t>
            </w:r>
          </w:p>
        </w:tc>
      </w:tr>
    </w:tbl>
    <w:p>
      <w:pPr>
        <w:spacing w:after="0"/>
      </w:pPr>
    </w:p>
    <w:p>
      <w:r>
        <w:t>There are 31,708 organism-events. Each has a mean of 5.76 tested candidates, a median of 7.0, and a range of 1 to 9. The final key has 0 duplicates.</w:t>
      </w:r>
    </w:p>
    <w:p>
      <w:r>
        <w:t>Shifted order dates run from 2007-10-09 to 2024-01-24. ARMD shifts dates separately for each patient. This range is not the true calendar span. Cross-patient calendar order cannot be recovered [1a].</w:t>
      </w:r>
    </w:p>
    <w:p>
      <w:r>
        <w:br w:type="page"/>
      </w:r>
    </w:p>
    <w:p>
      <w:pPr>
        <w:keepNext/>
      </w:pPr>
      <w:r>
        <w:rPr>
          <w:b/>
          <w:color w:val="183E56"/>
          <w:sz w:val="36"/>
        </w:rPr>
        <w:t>Data preparation</w:t>
      </w:r>
    </w:p>
    <w:p>
      <w:pPr>
        <w:keepNext/>
      </w:pPr>
      <w:r>
        <w:rPr>
          <w:b/>
          <w:color w:val="183E56"/>
          <w:sz w:val="22"/>
        </w:rPr>
        <w:t>2. Labels, joins and missing values</w:t>
      </w:r>
    </w:p>
    <w:p>
      <w:r>
        <w:t>The pipeline scanned 2,241,050 cohort rows and selected 560,188 by patient. After key, date, candidate and culture checks, 188,489 target rows entered label review.</w:t>
      </w:r>
    </w:p>
    <w:p>
      <w:r>
        <w:t>Matching S results or matching R results were collapsed. Label review rejected 5,031 keys: 4,484 with an unsupported or missing result, and 547 with conflicting S and R results. It collapsed 0 extra agreeing rows. Untested, intermediate and unknown results were not used as labels.</w:t>
      </w:r>
    </w:p>
    <w:p>
      <w:r>
        <w:t>The pipeline removed 0 events with conflicting dates or culture descriptions. Repeated support values had to agree; conflicts became missing. Each support table had one row per intended join key. Joins had to preserve cohort row counts. Missing age was retained under ARMD's adult inclusion rule; explicit under-18 bands were excluded.</w:t>
      </w:r>
    </w:p>
    <w:p>
      <w:r>
        <w:t>The model uses 15 predictors: candidate, culture type, age band, anonymous gender code, four ward flags and 7 numeric summaries. The extra summaries cover laboratory tests, vital signs and prior antibiotic or resistance records. The dictionary gives each field's source, timing rule and missing-value rule.</w:t>
      </w:r>
    </w:p>
    <w:p>
      <w:r>
        <w:t>The source defines laboratory summaries over the prior 14 days and vital signs over the prior 48 hours [1a]. Separate result-release times are absent, so availability at order cannot be checked for each measurement. Values retain source units. Prior history uses only the positive, strictly earlier day differences defined in the feature contract. No linked history means unknown, not no history.</w:t>
      </w:r>
    </w:p>
    <w:tbl>
      <w:tblPr>
        <w:tblStyle w:val="LightShading-Accent1"/>
        <w:tblW w:type="auto" w:w="0"/>
        <w:tblLayout w:type="fixed"/>
        <w:tblLook w:firstColumn="1" w:firstRow="1" w:lastColumn="0" w:lastRow="0" w:noHBand="0" w:noVBand="1" w:val="04A0"/>
      </w:tblPr>
      <w:tblGrid>
        <w:gridCol w:w="3384"/>
        <w:gridCol w:w="3384"/>
        <w:gridCol w:w="3384"/>
      </w:tblGrid>
      <w:tr>
        <w:tc>
          <w:tcPr>
            <w:tcW w:type="dxa" w:w="6599"/>
          </w:tcPr>
          <w:p>
            <w:pPr>
              <w:spacing w:after="60"/>
            </w:pPr>
            <w:r>
              <w:rPr>
                <w:b/>
                <w:sz w:val="16"/>
              </w:rPr>
              <w:t>Predictor with most missing values</w:t>
            </w:r>
          </w:p>
        </w:tc>
        <w:tc>
          <w:tcPr>
            <w:tcW w:type="dxa" w:w="1827"/>
          </w:tcPr>
          <w:p>
            <w:pPr>
              <w:spacing w:after="60"/>
            </w:pPr>
            <w:r>
              <w:rPr>
                <w:b/>
                <w:sz w:val="16"/>
              </w:rPr>
              <w:t>Missing</w:t>
            </w:r>
          </w:p>
        </w:tc>
        <w:tc>
          <w:tcPr>
            <w:tcW w:type="dxa" w:w="1726"/>
          </w:tcPr>
          <w:p>
            <w:pPr>
              <w:spacing w:after="60"/>
            </w:pPr>
            <w:r>
              <w:rPr>
                <w:b/>
                <w:sz w:val="16"/>
              </w:rPr>
              <w:t>Share</w:t>
            </w:r>
          </w:p>
        </w:tc>
      </w:tr>
      <w:tr>
        <w:tc>
          <w:tcPr>
            <w:tcW w:type="dxa" w:w="6599"/>
          </w:tcPr>
          <w:p>
            <w:pPr>
              <w:spacing w:after="60"/>
            </w:pPr>
            <w:r>
              <w:rPr>
                <w:b w:val="0"/>
                <w:sz w:val="16"/>
              </w:rPr>
              <w:t>Days since prior resistance to candidate</w:t>
            </w:r>
          </w:p>
        </w:tc>
        <w:tc>
          <w:tcPr>
            <w:tcW w:type="dxa" w:w="1827"/>
          </w:tcPr>
          <w:p>
            <w:pPr>
              <w:spacing w:after="60"/>
            </w:pPr>
            <w:r>
              <w:rPr>
                <w:b w:val="0"/>
                <w:sz w:val="16"/>
              </w:rPr>
              <w:t>161,779</w:t>
            </w:r>
          </w:p>
        </w:tc>
        <w:tc>
          <w:tcPr>
            <w:tcW w:type="dxa" w:w="1726"/>
          </w:tcPr>
          <w:p>
            <w:pPr>
              <w:spacing w:after="60"/>
            </w:pPr>
            <w:r>
              <w:rPr>
                <w:b w:val="0"/>
                <w:sz w:val="16"/>
              </w:rPr>
              <w:t>88.7%</w:t>
            </w:r>
          </w:p>
        </w:tc>
      </w:tr>
      <w:tr>
        <w:tc>
          <w:tcPr>
            <w:tcW w:type="dxa" w:w="6599"/>
          </w:tcPr>
          <w:p>
            <w:pPr>
              <w:spacing w:after="60"/>
            </w:pPr>
            <w:r>
              <w:rPr>
                <w:b w:val="0"/>
                <w:sz w:val="16"/>
              </w:rPr>
              <w:t>Antibiotic classes recorded in prior 90 days</w:t>
            </w:r>
          </w:p>
        </w:tc>
        <w:tc>
          <w:tcPr>
            <w:tcW w:type="dxa" w:w="1827"/>
          </w:tcPr>
          <w:p>
            <w:pPr>
              <w:spacing w:after="60"/>
            </w:pPr>
            <w:r>
              <w:rPr>
                <w:b w:val="0"/>
                <w:sz w:val="16"/>
              </w:rPr>
              <w:t>118,912</w:t>
            </w:r>
          </w:p>
        </w:tc>
        <w:tc>
          <w:tcPr>
            <w:tcW w:type="dxa" w:w="1726"/>
          </w:tcPr>
          <w:p>
            <w:pPr>
              <w:spacing w:after="60"/>
            </w:pPr>
            <w:r>
              <w:rPr>
                <w:b w:val="0"/>
                <w:sz w:val="16"/>
              </w:rPr>
              <w:t>65.2%</w:t>
            </w:r>
          </w:p>
        </w:tc>
      </w:tr>
      <w:tr>
        <w:tc>
          <w:tcPr>
            <w:tcW w:type="dxa" w:w="6599"/>
          </w:tcPr>
          <w:p>
            <w:pPr>
              <w:spacing w:after="60"/>
            </w:pPr>
            <w:r>
              <w:rPr>
                <w:b w:val="0"/>
                <w:sz w:val="16"/>
              </w:rPr>
              <w:t>White blood cell count, prior 14 days</w:t>
            </w:r>
          </w:p>
        </w:tc>
        <w:tc>
          <w:tcPr>
            <w:tcW w:type="dxa" w:w="1827"/>
          </w:tcPr>
          <w:p>
            <w:pPr>
              <w:spacing w:after="60"/>
            </w:pPr>
            <w:r>
              <w:rPr>
                <w:b w:val="0"/>
                <w:sz w:val="16"/>
              </w:rPr>
              <w:t>104,942</w:t>
            </w:r>
          </w:p>
        </w:tc>
        <w:tc>
          <w:tcPr>
            <w:tcW w:type="dxa" w:w="1726"/>
          </w:tcPr>
          <w:p>
            <w:pPr>
              <w:spacing w:after="60"/>
            </w:pPr>
            <w:r>
              <w:rPr>
                <w:b w:val="0"/>
                <w:sz w:val="16"/>
              </w:rPr>
              <w:t>57.5%</w:t>
            </w:r>
          </w:p>
        </w:tc>
      </w:tr>
      <w:tr>
        <w:tc>
          <w:tcPr>
            <w:tcW w:type="dxa" w:w="6599"/>
          </w:tcPr>
          <w:p>
            <w:pPr>
              <w:spacing w:after="60"/>
            </w:pPr>
            <w:r>
              <w:rPr>
                <w:b w:val="0"/>
                <w:sz w:val="16"/>
              </w:rPr>
              <w:t>Creatinine, prior 14 days</w:t>
            </w:r>
          </w:p>
        </w:tc>
        <w:tc>
          <w:tcPr>
            <w:tcW w:type="dxa" w:w="1827"/>
          </w:tcPr>
          <w:p>
            <w:pPr>
              <w:spacing w:after="60"/>
            </w:pPr>
            <w:r>
              <w:rPr>
                <w:b w:val="0"/>
                <w:sz w:val="16"/>
              </w:rPr>
              <w:t>103,830</w:t>
            </w:r>
          </w:p>
        </w:tc>
        <w:tc>
          <w:tcPr>
            <w:tcW w:type="dxa" w:w="1726"/>
          </w:tcPr>
          <w:p>
            <w:pPr>
              <w:spacing w:after="60"/>
            </w:pPr>
            <w:r>
              <w:rPr>
                <w:b w:val="0"/>
                <w:sz w:val="16"/>
              </w:rPr>
              <w:t>56.9%</w:t>
            </w:r>
          </w:p>
        </w:tc>
      </w:tr>
      <w:tr>
        <w:tc>
          <w:tcPr>
            <w:tcW w:type="dxa" w:w="6599"/>
          </w:tcPr>
          <w:p>
            <w:pPr>
              <w:spacing w:after="60"/>
            </w:pPr>
            <w:r>
              <w:rPr>
                <w:b w:val="0"/>
                <w:sz w:val="16"/>
              </w:rPr>
              <w:t>Temperature, prior 48 hours</w:t>
            </w:r>
          </w:p>
        </w:tc>
        <w:tc>
          <w:tcPr>
            <w:tcW w:type="dxa" w:w="1827"/>
          </w:tcPr>
          <w:p>
            <w:pPr>
              <w:spacing w:after="60"/>
            </w:pPr>
            <w:r>
              <w:rPr>
                <w:b w:val="0"/>
                <w:sz w:val="16"/>
              </w:rPr>
              <w:t>64,179</w:t>
            </w:r>
          </w:p>
        </w:tc>
        <w:tc>
          <w:tcPr>
            <w:tcW w:type="dxa" w:w="1726"/>
          </w:tcPr>
          <w:p>
            <w:pPr>
              <w:spacing w:after="60"/>
            </w:pPr>
            <w:r>
              <w:rPr>
                <w:b w:val="0"/>
                <w:sz w:val="16"/>
              </w:rPr>
              <w:t>35.2%</w:t>
            </w:r>
          </w:p>
        </w:tc>
      </w:tr>
      <w:tr>
        <w:tc>
          <w:tcPr>
            <w:tcW w:type="dxa" w:w="6599"/>
          </w:tcPr>
          <w:p>
            <w:pPr>
              <w:spacing w:after="60"/>
            </w:pPr>
            <w:r>
              <w:rPr>
                <w:b w:val="0"/>
                <w:sz w:val="16"/>
              </w:rPr>
              <w:t>Heart rate, prior 48 hours</w:t>
            </w:r>
          </w:p>
        </w:tc>
        <w:tc>
          <w:tcPr>
            <w:tcW w:type="dxa" w:w="1827"/>
          </w:tcPr>
          <w:p>
            <w:pPr>
              <w:spacing w:after="60"/>
            </w:pPr>
            <w:r>
              <w:rPr>
                <w:b w:val="0"/>
                <w:sz w:val="16"/>
              </w:rPr>
              <w:t>52,779</w:t>
            </w:r>
          </w:p>
        </w:tc>
        <w:tc>
          <w:tcPr>
            <w:tcW w:type="dxa" w:w="1726"/>
          </w:tcPr>
          <w:p>
            <w:pPr>
              <w:spacing w:after="60"/>
            </w:pPr>
            <w:r>
              <w:rPr>
                <w:b w:val="0"/>
                <w:sz w:val="16"/>
              </w:rPr>
              <w:t>28.9%</w:t>
            </w:r>
          </w:p>
        </w:tc>
      </w:tr>
      <w:tr>
        <w:tc>
          <w:tcPr>
            <w:tcW w:type="dxa" w:w="6599"/>
          </w:tcPr>
          <w:p>
            <w:pPr>
              <w:spacing w:after="60"/>
            </w:pPr>
            <w:r>
              <w:rPr>
                <w:b w:val="0"/>
                <w:sz w:val="16"/>
              </w:rPr>
              <w:t>Days since prior antibiotic exposure</w:t>
            </w:r>
          </w:p>
        </w:tc>
        <w:tc>
          <w:tcPr>
            <w:tcW w:type="dxa" w:w="1827"/>
          </w:tcPr>
          <w:p>
            <w:pPr>
              <w:spacing w:after="60"/>
            </w:pPr>
            <w:r>
              <w:rPr>
                <w:b w:val="0"/>
                <w:sz w:val="16"/>
              </w:rPr>
              <w:t>52,354</w:t>
            </w:r>
          </w:p>
        </w:tc>
        <w:tc>
          <w:tcPr>
            <w:tcW w:type="dxa" w:w="1726"/>
          </w:tcPr>
          <w:p>
            <w:pPr>
              <w:spacing w:after="60"/>
            </w:pPr>
            <w:r>
              <w:rPr>
                <w:b w:val="0"/>
                <w:sz w:val="16"/>
              </w:rPr>
              <w:t>28.7%</w:t>
            </w:r>
          </w:p>
        </w:tc>
      </w:tr>
    </w:tbl>
    <w:p>
      <w:pPr>
        <w:spacing w:after="0"/>
      </w:pPr>
    </w:p>
    <w:p>
      <w:r>
        <w:t>Missing categories receive their own code. Numeric gaps use medians learned from model-fitting patients, with separate flags for missing values. Scaling also uses only those patients. Fields with no fitting values are handled by the saved preprocessing contract. The analytical file keeps the original gaps. Missing values never become a measured zero.</w:t>
      </w:r>
    </w:p>
    <w:p>
      <w:r>
        <w:t>Only ARMD was supplied. The harmonization matrix records the ARMD mapping and marks other dataset mappings as unavailable. These features are a proposed shared set, not a tested intersection of several datasets.</w:t>
      </w:r>
    </w:p>
    <w:p>
      <w:r>
        <w:br w:type="page"/>
      </w:r>
    </w:p>
    <w:p>
      <w:pPr>
        <w:keepNext/>
      </w:pPr>
      <w:r>
        <w:rPr>
          <w:b/>
          <w:color w:val="183E56"/>
          <w:sz w:val="36"/>
        </w:rPr>
        <w:t>Model fitting and evaluation</w:t>
      </w:r>
    </w:p>
    <w:p>
      <w:pPr>
        <w:keepNext/>
      </w:pPr>
      <w:r>
        <w:rPr>
          <w:b/>
          <w:color w:val="183E56"/>
          <w:sz w:val="22"/>
        </w:rPr>
        <w:t>3. Keep training and testing separate</w:t>
      </w:r>
    </w:p>
    <w:p>
      <w:r>
        <w:t>A separate patient hash assigned about 60% to training, 20% to validation and 20% to testing (seed 42). All rows from a patient stay together. The audit found 0 patients shared across these sets. Patient codes, event codes, shifted dates, current organism and current susceptibility details are excluded from predictors.</w:t>
      </w:r>
    </w:p>
    <w:p>
      <w:r>
        <w:t>Within training, 7,681 patients fit the models and 1,921 different patients fit sigmoid probability calibration [3]. Categories, medians, scaling and class weights use only the model-fitting subset. Validation and test data were not rebalanced.</w:t>
      </w:r>
    </w:p>
    <w:p>
      <w:r>
        <w:t>Logistic regression and LightGBM [4] were each fitted with and without balanced class weights. Two baselines predict the training susceptible share, either overall or for each drug. Model settings were fixed in advance. Weighted fitting gives each class the same total training weight; it does not add synthetic rows.</w:t>
      </w:r>
    </w:p>
    <w:p>
      <w:r>
        <w:t>Validation selected the learned model with the highest mean resistant average precision across drugs, using lower Brier score to break ties. Each model's threshold maximized validation balanced accuracy. These choices were frozen before test scoring. Calibration used only the held-out training subset, not validation or test labels.</w:t>
      </w:r>
    </w:p>
    <w:p>
      <w:r>
        <w:t>Overall, 18.5% of labels are resistant; resistant is the smaller class. The table shows each drug's class balance. R means resistant and S means susceptible.</w:t>
      </w:r>
    </w:p>
    <w:tbl>
      <w:tblPr>
        <w:tblStyle w:val="LightShading-Accent1"/>
        <w:tblW w:type="auto" w:w="0"/>
        <w:tblLayout w:type="fixed"/>
        <w:tblLook w:firstColumn="1" w:firstRow="1" w:lastColumn="0" w:lastRow="0" w:noHBand="0" w:noVBand="1" w:val="04A0"/>
      </w:tblPr>
      <w:tblGrid>
        <w:gridCol w:w="2538"/>
        <w:gridCol w:w="2538"/>
        <w:gridCol w:w="2538"/>
        <w:gridCol w:w="2538"/>
      </w:tblGrid>
      <w:tr>
        <w:tc>
          <w:tcPr>
            <w:tcW w:type="dxa" w:w="4771"/>
          </w:tcPr>
          <w:p>
            <w:pPr>
              <w:spacing w:after="60"/>
            </w:pPr>
            <w:r>
              <w:rPr>
                <w:b/>
                <w:sz w:val="16"/>
              </w:rPr>
              <w:t>Candidate</w:t>
            </w:r>
          </w:p>
        </w:tc>
        <w:tc>
          <w:tcPr>
            <w:tcW w:type="dxa" w:w="1929"/>
          </w:tcPr>
          <w:p>
            <w:pPr>
              <w:spacing w:after="60"/>
            </w:pPr>
            <w:r>
              <w:rPr>
                <w:b/>
                <w:sz w:val="16"/>
              </w:rPr>
              <w:t>Rows</w:t>
            </w:r>
          </w:p>
        </w:tc>
        <w:tc>
          <w:tcPr>
            <w:tcW w:type="dxa" w:w="1827"/>
          </w:tcPr>
          <w:p>
            <w:pPr>
              <w:spacing w:after="60"/>
            </w:pPr>
            <w:r>
              <w:rPr>
                <w:b/>
                <w:sz w:val="16"/>
              </w:rPr>
              <w:t>Resistant</w:t>
            </w:r>
          </w:p>
        </w:tc>
        <w:tc>
          <w:tcPr>
            <w:tcW w:type="dxa" w:w="1624"/>
          </w:tcPr>
          <w:p>
            <w:pPr>
              <w:spacing w:after="60"/>
            </w:pPr>
            <w:r>
              <w:rPr>
                <w:b/>
                <w:sz w:val="16"/>
              </w:rPr>
              <w:t>Minority</w:t>
            </w:r>
          </w:p>
        </w:tc>
      </w:tr>
      <w:tr>
        <w:tc>
          <w:tcPr>
            <w:tcW w:type="dxa" w:w="4771"/>
          </w:tcPr>
          <w:p>
            <w:pPr>
              <w:spacing w:after="60"/>
            </w:pPr>
            <w:r>
              <w:rPr>
                <w:b w:val="0"/>
                <w:sz w:val="16"/>
              </w:rPr>
              <w:t>amoxicillin/clavulanate</w:t>
            </w:r>
          </w:p>
        </w:tc>
        <w:tc>
          <w:tcPr>
            <w:tcW w:type="dxa" w:w="1929"/>
          </w:tcPr>
          <w:p>
            <w:pPr>
              <w:spacing w:after="60"/>
            </w:pPr>
            <w:r>
              <w:rPr>
                <w:b w:val="0"/>
                <w:sz w:val="16"/>
              </w:rPr>
              <w:t>13,044</w:t>
            </w:r>
          </w:p>
        </w:tc>
        <w:tc>
          <w:tcPr>
            <w:tcW w:type="dxa" w:w="1827"/>
          </w:tcPr>
          <w:p>
            <w:pPr>
              <w:spacing w:after="60"/>
            </w:pPr>
            <w:r>
              <w:rPr>
                <w:b w:val="0"/>
                <w:sz w:val="16"/>
              </w:rPr>
              <w:t>14.5%</w:t>
            </w:r>
          </w:p>
        </w:tc>
        <w:tc>
          <w:tcPr>
            <w:tcW w:type="dxa" w:w="1624"/>
          </w:tcPr>
          <w:p>
            <w:pPr>
              <w:spacing w:after="60"/>
            </w:pPr>
            <w:r>
              <w:rPr>
                <w:b w:val="0"/>
                <w:sz w:val="16"/>
              </w:rPr>
              <w:t>R</w:t>
            </w:r>
          </w:p>
        </w:tc>
      </w:tr>
      <w:tr>
        <w:tc>
          <w:tcPr>
            <w:tcW w:type="dxa" w:w="4771"/>
          </w:tcPr>
          <w:p>
            <w:pPr>
              <w:spacing w:after="60"/>
            </w:pPr>
            <w:r>
              <w:rPr>
                <w:b w:val="0"/>
                <w:sz w:val="16"/>
              </w:rPr>
              <w:t>ampicillin</w:t>
            </w:r>
          </w:p>
        </w:tc>
        <w:tc>
          <w:tcPr>
            <w:tcW w:type="dxa" w:w="1929"/>
          </w:tcPr>
          <w:p>
            <w:pPr>
              <w:spacing w:after="60"/>
            </w:pPr>
            <w:r>
              <w:rPr>
                <w:b w:val="0"/>
                <w:sz w:val="16"/>
              </w:rPr>
              <w:t>23,111</w:t>
            </w:r>
          </w:p>
        </w:tc>
        <w:tc>
          <w:tcPr>
            <w:tcW w:type="dxa" w:w="1827"/>
          </w:tcPr>
          <w:p>
            <w:pPr>
              <w:spacing w:after="60"/>
            </w:pPr>
            <w:r>
              <w:rPr>
                <w:b w:val="0"/>
                <w:sz w:val="16"/>
              </w:rPr>
              <w:t>49.3%</w:t>
            </w:r>
          </w:p>
        </w:tc>
        <w:tc>
          <w:tcPr>
            <w:tcW w:type="dxa" w:w="1624"/>
          </w:tcPr>
          <w:p>
            <w:pPr>
              <w:spacing w:after="60"/>
            </w:pPr>
            <w:r>
              <w:rPr>
                <w:b w:val="0"/>
                <w:sz w:val="16"/>
              </w:rPr>
              <w:t>R</w:t>
            </w:r>
          </w:p>
        </w:tc>
      </w:tr>
      <w:tr>
        <w:tc>
          <w:tcPr>
            <w:tcW w:type="dxa" w:w="4771"/>
          </w:tcPr>
          <w:p>
            <w:pPr>
              <w:spacing w:after="60"/>
            </w:pPr>
            <w:r>
              <w:rPr>
                <w:b w:val="0"/>
                <w:sz w:val="16"/>
              </w:rPr>
              <w:t>cefazolin</w:t>
            </w:r>
          </w:p>
        </w:tc>
        <w:tc>
          <w:tcPr>
            <w:tcW w:type="dxa" w:w="1929"/>
          </w:tcPr>
          <w:p>
            <w:pPr>
              <w:spacing w:after="60"/>
            </w:pPr>
            <w:r>
              <w:rPr>
                <w:b w:val="0"/>
                <w:sz w:val="16"/>
              </w:rPr>
              <w:t>20,514</w:t>
            </w:r>
          </w:p>
        </w:tc>
        <w:tc>
          <w:tcPr>
            <w:tcW w:type="dxa" w:w="1827"/>
          </w:tcPr>
          <w:p>
            <w:pPr>
              <w:spacing w:after="60"/>
            </w:pPr>
            <w:r>
              <w:rPr>
                <w:b w:val="0"/>
                <w:sz w:val="16"/>
              </w:rPr>
              <w:t>20.5%</w:t>
            </w:r>
          </w:p>
        </w:tc>
        <w:tc>
          <w:tcPr>
            <w:tcW w:type="dxa" w:w="1624"/>
          </w:tcPr>
          <w:p>
            <w:pPr>
              <w:spacing w:after="60"/>
            </w:pPr>
            <w:r>
              <w:rPr>
                <w:b w:val="0"/>
                <w:sz w:val="16"/>
              </w:rPr>
              <w:t>R</w:t>
            </w:r>
          </w:p>
        </w:tc>
      </w:tr>
      <w:tr>
        <w:tc>
          <w:tcPr>
            <w:tcW w:type="dxa" w:w="4771"/>
          </w:tcPr>
          <w:p>
            <w:pPr>
              <w:spacing w:after="60"/>
            </w:pPr>
            <w:r>
              <w:rPr>
                <w:b w:val="0"/>
                <w:sz w:val="16"/>
              </w:rPr>
              <w:t>cefepime</w:t>
            </w:r>
          </w:p>
        </w:tc>
        <w:tc>
          <w:tcPr>
            <w:tcW w:type="dxa" w:w="1929"/>
          </w:tcPr>
          <w:p>
            <w:pPr>
              <w:spacing w:after="60"/>
            </w:pPr>
            <w:r>
              <w:rPr>
                <w:b w:val="0"/>
                <w:sz w:val="16"/>
              </w:rPr>
              <w:t>9,095</w:t>
            </w:r>
          </w:p>
        </w:tc>
        <w:tc>
          <w:tcPr>
            <w:tcW w:type="dxa" w:w="1827"/>
          </w:tcPr>
          <w:p>
            <w:pPr>
              <w:spacing w:after="60"/>
            </w:pPr>
            <w:r>
              <w:rPr>
                <w:b w:val="0"/>
                <w:sz w:val="16"/>
              </w:rPr>
              <w:t>6.9%</w:t>
            </w:r>
          </w:p>
        </w:tc>
        <w:tc>
          <w:tcPr>
            <w:tcW w:type="dxa" w:w="1624"/>
          </w:tcPr>
          <w:p>
            <w:pPr>
              <w:spacing w:after="60"/>
            </w:pPr>
            <w:r>
              <w:rPr>
                <w:b w:val="0"/>
                <w:sz w:val="16"/>
              </w:rPr>
              <w:t>R</w:t>
            </w:r>
          </w:p>
        </w:tc>
      </w:tr>
      <w:tr>
        <w:tc>
          <w:tcPr>
            <w:tcW w:type="dxa" w:w="4771"/>
          </w:tcPr>
          <w:p>
            <w:pPr>
              <w:spacing w:after="60"/>
            </w:pPr>
            <w:r>
              <w:rPr>
                <w:b w:val="0"/>
                <w:sz w:val="16"/>
              </w:rPr>
              <w:t>ceftriaxone</w:t>
            </w:r>
          </w:p>
        </w:tc>
        <w:tc>
          <w:tcPr>
            <w:tcW w:type="dxa" w:w="1929"/>
          </w:tcPr>
          <w:p>
            <w:pPr>
              <w:spacing w:after="60"/>
            </w:pPr>
            <w:r>
              <w:rPr>
                <w:b w:val="0"/>
                <w:sz w:val="16"/>
              </w:rPr>
              <w:t>17,763</w:t>
            </w:r>
          </w:p>
        </w:tc>
        <w:tc>
          <w:tcPr>
            <w:tcW w:type="dxa" w:w="1827"/>
          </w:tcPr>
          <w:p>
            <w:pPr>
              <w:spacing w:after="60"/>
            </w:pPr>
            <w:r>
              <w:rPr>
                <w:b w:val="0"/>
                <w:sz w:val="16"/>
              </w:rPr>
              <w:t>11.0%</w:t>
            </w:r>
          </w:p>
        </w:tc>
        <w:tc>
          <w:tcPr>
            <w:tcW w:type="dxa" w:w="1624"/>
          </w:tcPr>
          <w:p>
            <w:pPr>
              <w:spacing w:after="60"/>
            </w:pPr>
            <w:r>
              <w:rPr>
                <w:b w:val="0"/>
                <w:sz w:val="16"/>
              </w:rPr>
              <w:t>R</w:t>
            </w:r>
          </w:p>
        </w:tc>
      </w:tr>
      <w:tr>
        <w:tc>
          <w:tcPr>
            <w:tcW w:type="dxa" w:w="4771"/>
          </w:tcPr>
          <w:p>
            <w:pPr>
              <w:spacing w:after="60"/>
            </w:pPr>
            <w:r>
              <w:rPr>
                <w:b w:val="0"/>
                <w:sz w:val="16"/>
              </w:rPr>
              <w:t>ciprofloxacin</w:t>
            </w:r>
          </w:p>
        </w:tc>
        <w:tc>
          <w:tcPr>
            <w:tcW w:type="dxa" w:w="1929"/>
          </w:tcPr>
          <w:p>
            <w:pPr>
              <w:spacing w:after="60"/>
            </w:pPr>
            <w:r>
              <w:rPr>
                <w:b w:val="0"/>
                <w:sz w:val="16"/>
              </w:rPr>
              <w:t>26,630</w:t>
            </w:r>
          </w:p>
        </w:tc>
        <w:tc>
          <w:tcPr>
            <w:tcW w:type="dxa" w:w="1827"/>
          </w:tcPr>
          <w:p>
            <w:pPr>
              <w:spacing w:after="60"/>
            </w:pPr>
            <w:r>
              <w:rPr>
                <w:b w:val="0"/>
                <w:sz w:val="16"/>
              </w:rPr>
              <w:t>19.2%</w:t>
            </w:r>
          </w:p>
        </w:tc>
        <w:tc>
          <w:tcPr>
            <w:tcW w:type="dxa" w:w="1624"/>
          </w:tcPr>
          <w:p>
            <w:pPr>
              <w:spacing w:after="60"/>
            </w:pPr>
            <w:r>
              <w:rPr>
                <w:b w:val="0"/>
                <w:sz w:val="16"/>
              </w:rPr>
              <w:t>R</w:t>
            </w:r>
          </w:p>
        </w:tc>
      </w:tr>
      <w:tr>
        <w:tc>
          <w:tcPr>
            <w:tcW w:type="dxa" w:w="4771"/>
          </w:tcPr>
          <w:p>
            <w:pPr>
              <w:spacing w:after="60"/>
            </w:pPr>
            <w:r>
              <w:rPr>
                <w:b w:val="0"/>
                <w:sz w:val="16"/>
              </w:rPr>
              <w:t>gentamicin</w:t>
            </w:r>
          </w:p>
        </w:tc>
        <w:tc>
          <w:tcPr>
            <w:tcW w:type="dxa" w:w="1929"/>
          </w:tcPr>
          <w:p>
            <w:pPr>
              <w:spacing w:after="60"/>
            </w:pPr>
            <w:r>
              <w:rPr>
                <w:b w:val="0"/>
                <w:sz w:val="16"/>
              </w:rPr>
              <w:t>25,871</w:t>
            </w:r>
          </w:p>
        </w:tc>
        <w:tc>
          <w:tcPr>
            <w:tcW w:type="dxa" w:w="1827"/>
          </w:tcPr>
          <w:p>
            <w:pPr>
              <w:spacing w:after="60"/>
            </w:pPr>
            <w:r>
              <w:rPr>
                <w:b w:val="0"/>
                <w:sz w:val="16"/>
              </w:rPr>
              <w:t>8.8%</w:t>
            </w:r>
          </w:p>
        </w:tc>
        <w:tc>
          <w:tcPr>
            <w:tcW w:type="dxa" w:w="1624"/>
          </w:tcPr>
          <w:p>
            <w:pPr>
              <w:spacing w:after="60"/>
            </w:pPr>
            <w:r>
              <w:rPr>
                <w:b w:val="0"/>
                <w:sz w:val="16"/>
              </w:rPr>
              <w:t>R</w:t>
            </w:r>
          </w:p>
        </w:tc>
      </w:tr>
      <w:tr>
        <w:tc>
          <w:tcPr>
            <w:tcW w:type="dxa" w:w="4771"/>
          </w:tcPr>
          <w:p>
            <w:pPr>
              <w:spacing w:after="60"/>
            </w:pPr>
            <w:r>
              <w:rPr>
                <w:b w:val="0"/>
                <w:sz w:val="16"/>
              </w:rPr>
              <w:t>piperacillin/tazobactam</w:t>
            </w:r>
          </w:p>
        </w:tc>
        <w:tc>
          <w:tcPr>
            <w:tcW w:type="dxa" w:w="1929"/>
          </w:tcPr>
          <w:p>
            <w:pPr>
              <w:spacing w:after="60"/>
            </w:pPr>
            <w:r>
              <w:rPr>
                <w:b w:val="0"/>
                <w:sz w:val="16"/>
              </w:rPr>
              <w:t>20,821</w:t>
            </w:r>
          </w:p>
        </w:tc>
        <w:tc>
          <w:tcPr>
            <w:tcW w:type="dxa" w:w="1827"/>
          </w:tcPr>
          <w:p>
            <w:pPr>
              <w:spacing w:after="60"/>
            </w:pPr>
            <w:r>
              <w:rPr>
                <w:b w:val="0"/>
                <w:sz w:val="16"/>
              </w:rPr>
              <w:t>2.6%</w:t>
            </w:r>
          </w:p>
        </w:tc>
        <w:tc>
          <w:tcPr>
            <w:tcW w:type="dxa" w:w="1624"/>
          </w:tcPr>
          <w:p>
            <w:pPr>
              <w:spacing w:after="60"/>
            </w:pPr>
            <w:r>
              <w:rPr>
                <w:b w:val="0"/>
                <w:sz w:val="16"/>
              </w:rPr>
              <w:t>R</w:t>
            </w:r>
          </w:p>
        </w:tc>
      </w:tr>
      <w:tr>
        <w:tc>
          <w:tcPr>
            <w:tcW w:type="dxa" w:w="4771"/>
          </w:tcPr>
          <w:p>
            <w:pPr>
              <w:spacing w:after="60"/>
            </w:pPr>
            <w:r>
              <w:rPr>
                <w:b w:val="0"/>
                <w:sz w:val="16"/>
              </w:rPr>
              <w:t>trimethoprim/sulfamethoxazole</w:t>
            </w:r>
          </w:p>
        </w:tc>
        <w:tc>
          <w:tcPr>
            <w:tcW w:type="dxa" w:w="1929"/>
          </w:tcPr>
          <w:p>
            <w:pPr>
              <w:spacing w:after="60"/>
            </w:pPr>
            <w:r>
              <w:rPr>
                <w:b w:val="0"/>
                <w:sz w:val="16"/>
              </w:rPr>
              <w:t>25,638</w:t>
            </w:r>
          </w:p>
        </w:tc>
        <w:tc>
          <w:tcPr>
            <w:tcW w:type="dxa" w:w="1827"/>
          </w:tcPr>
          <w:p>
            <w:pPr>
              <w:spacing w:after="60"/>
            </w:pPr>
            <w:r>
              <w:rPr>
                <w:b w:val="0"/>
                <w:sz w:val="16"/>
              </w:rPr>
              <w:t>22.2%</w:t>
            </w:r>
          </w:p>
        </w:tc>
        <w:tc>
          <w:tcPr>
            <w:tcW w:type="dxa" w:w="1624"/>
          </w:tcPr>
          <w:p>
            <w:pPr>
              <w:spacing w:after="60"/>
            </w:pPr>
            <w:r>
              <w:rPr>
                <w:b w:val="0"/>
                <w:sz w:val="16"/>
              </w:rPr>
              <w:t>R</w:t>
            </w:r>
          </w:p>
        </w:tc>
      </w:tr>
    </w:tbl>
    <w:p>
      <w:pPr>
        <w:spacing w:after="0"/>
      </w:pPr>
    </w:p>
    <w:p>
      <w:r>
        <w:t>AUROC measures score ranking: 0.5 is chance and 1 is perfect. Drug-macro AUROC averages it across drugs with both classes. Macro AUPRC averages susceptible and resistant average precision within each drug, then across drugs. AUPRC here means average precision, not trapezoidal area. Balanced accuracy averages the two class recalls. Resistant precision measures how often a resistance alert is correct; resistant recall measures how much resistance is found. Lower Brier score means less probability error.</w:t>
      </w:r>
    </w:p>
    <w:p>
      <w:r>
        <w:br w:type="page"/>
      </w:r>
    </w:p>
    <w:p>
      <w:pPr>
        <w:keepNext/>
      </w:pPr>
      <w:r>
        <w:rPr>
          <w:b/>
          <w:color w:val="183E56"/>
          <w:sz w:val="36"/>
        </w:rPr>
        <w:t>Test results</w:t>
      </w:r>
    </w:p>
    <w:p>
      <w:pPr>
        <w:keepNext/>
      </w:pPr>
      <w:r>
        <w:rPr>
          <w:b/>
          <w:color w:val="183E56"/>
          <w:sz w:val="22"/>
        </w:rPr>
        <w:t>4. Ranking, resistance detection and calibration</w:t>
      </w:r>
    </w:p>
    <w:tbl>
      <w:tblPr>
        <w:tblStyle w:val="LightShading-Accent1"/>
        <w:tblW w:type="auto" w:w="0"/>
        <w:tblLayout w:type="fixed"/>
        <w:tblLook w:firstColumn="1" w:firstRow="1" w:lastColumn="0" w:lastRow="0" w:noHBand="0" w:noVBand="1" w:val="04A0"/>
      </w:tblPr>
      <w:tblGrid>
        <w:gridCol w:w="1450"/>
        <w:gridCol w:w="1450"/>
        <w:gridCol w:w="1450"/>
        <w:gridCol w:w="1450"/>
        <w:gridCol w:w="1450"/>
        <w:gridCol w:w="1450"/>
        <w:gridCol w:w="1450"/>
      </w:tblGrid>
      <w:tr>
        <w:tc>
          <w:tcPr>
            <w:tcW w:type="dxa" w:w="2944"/>
          </w:tcPr>
          <w:p>
            <w:pPr>
              <w:spacing w:after="60"/>
            </w:pPr>
            <w:r>
              <w:rPr>
                <w:b/>
                <w:sz w:val="16"/>
              </w:rPr>
              <w:t>Test model</w:t>
            </w:r>
          </w:p>
        </w:tc>
        <w:tc>
          <w:tcPr>
            <w:tcW w:type="dxa" w:w="1198"/>
          </w:tcPr>
          <w:p>
            <w:pPr>
              <w:spacing w:after="60"/>
            </w:pPr>
            <w:r>
              <w:rPr>
                <w:b/>
                <w:sz w:val="16"/>
              </w:rPr>
              <w:t>Macro</w:t>
              <w:br/>
              <w:t>AUROC</w:t>
            </w:r>
          </w:p>
        </w:tc>
        <w:tc>
          <w:tcPr>
            <w:tcW w:type="dxa" w:w="1198"/>
          </w:tcPr>
          <w:p>
            <w:pPr>
              <w:spacing w:after="60"/>
            </w:pPr>
            <w:r>
              <w:rPr>
                <w:b/>
                <w:sz w:val="16"/>
              </w:rPr>
              <w:t>Macro</w:t>
              <w:br/>
              <w:t>AUPRC</w:t>
            </w:r>
          </w:p>
        </w:tc>
        <w:tc>
          <w:tcPr>
            <w:tcW w:type="dxa" w:w="1198"/>
          </w:tcPr>
          <w:p>
            <w:pPr>
              <w:spacing w:after="60"/>
            </w:pPr>
            <w:r>
              <w:rPr>
                <w:b/>
                <w:sz w:val="16"/>
              </w:rPr>
              <w:t>Balanced</w:t>
              <w:br/>
              <w:t>accuracy</w:t>
            </w:r>
          </w:p>
        </w:tc>
        <w:tc>
          <w:tcPr>
            <w:tcW w:type="dxa" w:w="1198"/>
          </w:tcPr>
          <w:p>
            <w:pPr>
              <w:spacing w:after="60"/>
            </w:pPr>
            <w:r>
              <w:rPr>
                <w:b/>
                <w:sz w:val="16"/>
              </w:rPr>
              <w:t>R</w:t>
              <w:br/>
              <w:t>precision</w:t>
            </w:r>
          </w:p>
        </w:tc>
        <w:tc>
          <w:tcPr>
            <w:tcW w:type="dxa" w:w="1198"/>
          </w:tcPr>
          <w:p>
            <w:pPr>
              <w:spacing w:after="60"/>
            </w:pPr>
            <w:r>
              <w:rPr>
                <w:b/>
                <w:sz w:val="16"/>
              </w:rPr>
              <w:t>R</w:t>
              <w:br/>
              <w:t>recall</w:t>
            </w:r>
          </w:p>
        </w:tc>
        <w:tc>
          <w:tcPr>
            <w:tcW w:type="dxa" w:w="1218"/>
          </w:tcPr>
          <w:p>
            <w:pPr>
              <w:spacing w:after="60"/>
            </w:pPr>
            <w:r>
              <w:rPr>
                <w:b/>
                <w:sz w:val="16"/>
              </w:rPr>
              <w:t>Brier</w:t>
            </w:r>
          </w:p>
        </w:tc>
      </w:tr>
      <w:tr>
        <w:tc>
          <w:tcPr>
            <w:tcW w:type="dxa" w:w="2944"/>
          </w:tcPr>
          <w:p>
            <w:pPr>
              <w:spacing w:after="60"/>
            </w:pPr>
            <w:r>
              <w:rPr>
                <w:b w:val="0"/>
                <w:sz w:val="16"/>
              </w:rPr>
              <w:t>Overall baseline</w:t>
            </w:r>
          </w:p>
        </w:tc>
        <w:tc>
          <w:tcPr>
            <w:tcW w:type="dxa" w:w="1198"/>
          </w:tcPr>
          <w:p>
            <w:pPr>
              <w:spacing w:after="60"/>
            </w:pPr>
            <w:r>
              <w:rPr>
                <w:b w:val="0"/>
                <w:sz w:val="16"/>
              </w:rPr>
              <w:t>0.500</w:t>
            </w:r>
          </w:p>
        </w:tc>
        <w:tc>
          <w:tcPr>
            <w:tcW w:type="dxa" w:w="1198"/>
          </w:tcPr>
          <w:p>
            <w:pPr>
              <w:spacing w:after="60"/>
            </w:pPr>
            <w:r>
              <w:rPr>
                <w:b w:val="0"/>
                <w:sz w:val="16"/>
              </w:rPr>
              <w:t>0.500</w:t>
            </w:r>
          </w:p>
        </w:tc>
        <w:tc>
          <w:tcPr>
            <w:tcW w:type="dxa" w:w="1198"/>
          </w:tcPr>
          <w:p>
            <w:pPr>
              <w:spacing w:after="60"/>
            </w:pPr>
            <w:r>
              <w:rPr>
                <w:b w:val="0"/>
                <w:sz w:val="16"/>
              </w:rPr>
              <w:t>0.500</w:t>
            </w:r>
          </w:p>
        </w:tc>
        <w:tc>
          <w:tcPr>
            <w:tcW w:type="dxa" w:w="1198"/>
          </w:tcPr>
          <w:p>
            <w:pPr>
              <w:spacing w:after="60"/>
            </w:pPr>
            <w:r>
              <w:rPr>
                <w:b w:val="0"/>
                <w:sz w:val="16"/>
              </w:rPr>
              <w:t>0.000</w:t>
            </w:r>
          </w:p>
        </w:tc>
        <w:tc>
          <w:tcPr>
            <w:tcW w:type="dxa" w:w="1198"/>
          </w:tcPr>
          <w:p>
            <w:pPr>
              <w:spacing w:after="60"/>
            </w:pPr>
            <w:r>
              <w:rPr>
                <w:b w:val="0"/>
                <w:sz w:val="16"/>
              </w:rPr>
              <w:t>0.000</w:t>
            </w:r>
          </w:p>
        </w:tc>
        <w:tc>
          <w:tcPr>
            <w:tcW w:type="dxa" w:w="1218"/>
          </w:tcPr>
          <w:p>
            <w:pPr>
              <w:spacing w:after="60"/>
            </w:pPr>
            <w:r>
              <w:rPr>
                <w:b w:val="0"/>
                <w:sz w:val="16"/>
              </w:rPr>
              <w:t>0.150</w:t>
            </w:r>
          </w:p>
        </w:tc>
      </w:tr>
      <w:tr>
        <w:tc>
          <w:tcPr>
            <w:tcW w:type="dxa" w:w="2944"/>
          </w:tcPr>
          <w:p>
            <w:pPr>
              <w:spacing w:after="60"/>
            </w:pPr>
            <w:r>
              <w:rPr>
                <w:b w:val="0"/>
                <w:sz w:val="16"/>
              </w:rPr>
              <w:t>Drug baseline</w:t>
            </w:r>
          </w:p>
        </w:tc>
        <w:tc>
          <w:tcPr>
            <w:tcW w:type="dxa" w:w="1198"/>
          </w:tcPr>
          <w:p>
            <w:pPr>
              <w:spacing w:after="60"/>
            </w:pPr>
            <w:r>
              <w:rPr>
                <w:b w:val="0"/>
                <w:sz w:val="16"/>
              </w:rPr>
              <w:t>0.500</w:t>
            </w:r>
          </w:p>
        </w:tc>
        <w:tc>
          <w:tcPr>
            <w:tcW w:type="dxa" w:w="1198"/>
          </w:tcPr>
          <w:p>
            <w:pPr>
              <w:spacing w:after="60"/>
            </w:pPr>
            <w:r>
              <w:rPr>
                <w:b w:val="0"/>
                <w:sz w:val="16"/>
              </w:rPr>
              <w:t>0.500</w:t>
            </w:r>
          </w:p>
        </w:tc>
        <w:tc>
          <w:tcPr>
            <w:tcW w:type="dxa" w:w="1198"/>
          </w:tcPr>
          <w:p>
            <w:pPr>
              <w:spacing w:after="60"/>
            </w:pPr>
            <w:r>
              <w:rPr>
                <w:b w:val="0"/>
                <w:sz w:val="16"/>
              </w:rPr>
              <w:t>0.654</w:t>
            </w:r>
          </w:p>
        </w:tc>
        <w:tc>
          <w:tcPr>
            <w:tcW w:type="dxa" w:w="1198"/>
          </w:tcPr>
          <w:p>
            <w:pPr>
              <w:spacing w:after="60"/>
            </w:pPr>
            <w:r>
              <w:rPr>
                <w:b w:val="0"/>
                <w:sz w:val="16"/>
              </w:rPr>
              <w:t>0.272</w:t>
            </w:r>
          </w:p>
        </w:tc>
        <w:tc>
          <w:tcPr>
            <w:tcW w:type="dxa" w:w="1198"/>
          </w:tcPr>
          <w:p>
            <w:pPr>
              <w:spacing w:after="60"/>
            </w:pPr>
            <w:r>
              <w:rPr>
                <w:b w:val="0"/>
                <w:sz w:val="16"/>
              </w:rPr>
              <w:t>0.776</w:t>
            </w:r>
          </w:p>
        </w:tc>
        <w:tc>
          <w:tcPr>
            <w:tcW w:type="dxa" w:w="1218"/>
          </w:tcPr>
          <w:p>
            <w:pPr>
              <w:spacing w:after="60"/>
            </w:pPr>
            <w:r>
              <w:rPr>
                <w:b w:val="0"/>
                <w:sz w:val="16"/>
              </w:rPr>
              <w:t>0.133</w:t>
            </w:r>
          </w:p>
        </w:tc>
      </w:tr>
      <w:tr>
        <w:tc>
          <w:tcPr>
            <w:tcW w:type="dxa" w:w="2944"/>
          </w:tcPr>
          <w:p>
            <w:pPr>
              <w:spacing w:after="60"/>
            </w:pPr>
            <w:r>
              <w:rPr>
                <w:b w:val="0"/>
                <w:sz w:val="16"/>
              </w:rPr>
              <w:t>Logistic</w:t>
            </w:r>
          </w:p>
        </w:tc>
        <w:tc>
          <w:tcPr>
            <w:tcW w:type="dxa" w:w="1198"/>
          </w:tcPr>
          <w:p>
            <w:pPr>
              <w:spacing w:after="60"/>
            </w:pPr>
            <w:r>
              <w:rPr>
                <w:b w:val="0"/>
                <w:sz w:val="16"/>
              </w:rPr>
              <w:t>0.698</w:t>
            </w:r>
          </w:p>
        </w:tc>
        <w:tc>
          <w:tcPr>
            <w:tcW w:type="dxa" w:w="1198"/>
          </w:tcPr>
          <w:p>
            <w:pPr>
              <w:spacing w:after="60"/>
            </w:pPr>
            <w:r>
              <w:rPr>
                <w:b w:val="0"/>
                <w:sz w:val="16"/>
              </w:rPr>
              <w:t>0.617</w:t>
            </w:r>
          </w:p>
        </w:tc>
        <w:tc>
          <w:tcPr>
            <w:tcW w:type="dxa" w:w="1198"/>
          </w:tcPr>
          <w:p>
            <w:pPr>
              <w:spacing w:after="60"/>
            </w:pPr>
            <w:r>
              <w:rPr>
                <w:b w:val="0"/>
                <w:sz w:val="16"/>
              </w:rPr>
              <w:t>0.720</w:t>
            </w:r>
          </w:p>
        </w:tc>
        <w:tc>
          <w:tcPr>
            <w:tcW w:type="dxa" w:w="1198"/>
          </w:tcPr>
          <w:p>
            <w:pPr>
              <w:spacing w:after="60"/>
            </w:pPr>
            <w:r>
              <w:rPr>
                <w:b w:val="0"/>
                <w:sz w:val="16"/>
              </w:rPr>
              <w:t>0.342</w:t>
            </w:r>
          </w:p>
        </w:tc>
        <w:tc>
          <w:tcPr>
            <w:tcW w:type="dxa" w:w="1198"/>
          </w:tcPr>
          <w:p>
            <w:pPr>
              <w:spacing w:after="60"/>
            </w:pPr>
            <w:r>
              <w:rPr>
                <w:b w:val="0"/>
                <w:sz w:val="16"/>
              </w:rPr>
              <w:t>0.776</w:t>
            </w:r>
          </w:p>
        </w:tc>
        <w:tc>
          <w:tcPr>
            <w:tcW w:type="dxa" w:w="1218"/>
          </w:tcPr>
          <w:p>
            <w:pPr>
              <w:spacing w:after="60"/>
            </w:pPr>
            <w:r>
              <w:rPr>
                <w:b w:val="0"/>
                <w:sz w:val="16"/>
              </w:rPr>
              <w:t>0.122</w:t>
            </w:r>
          </w:p>
        </w:tc>
      </w:tr>
      <w:tr>
        <w:tc>
          <w:tcPr>
            <w:tcW w:type="dxa" w:w="2944"/>
          </w:tcPr>
          <w:p>
            <w:pPr>
              <w:spacing w:after="60"/>
            </w:pPr>
            <w:r>
              <w:rPr>
                <w:b w:val="0"/>
                <w:sz w:val="16"/>
              </w:rPr>
              <w:t>Logistic, weighted</w:t>
            </w:r>
          </w:p>
        </w:tc>
        <w:tc>
          <w:tcPr>
            <w:tcW w:type="dxa" w:w="1198"/>
          </w:tcPr>
          <w:p>
            <w:pPr>
              <w:spacing w:after="60"/>
            </w:pPr>
            <w:r>
              <w:rPr>
                <w:b w:val="0"/>
                <w:sz w:val="16"/>
              </w:rPr>
              <w:t>0.698</w:t>
            </w:r>
          </w:p>
        </w:tc>
        <w:tc>
          <w:tcPr>
            <w:tcW w:type="dxa" w:w="1198"/>
          </w:tcPr>
          <w:p>
            <w:pPr>
              <w:spacing w:after="60"/>
            </w:pPr>
            <w:r>
              <w:rPr>
                <w:b w:val="0"/>
                <w:sz w:val="16"/>
              </w:rPr>
              <w:t>0.617</w:t>
            </w:r>
          </w:p>
        </w:tc>
        <w:tc>
          <w:tcPr>
            <w:tcW w:type="dxa" w:w="1198"/>
          </w:tcPr>
          <w:p>
            <w:pPr>
              <w:spacing w:after="60"/>
            </w:pPr>
            <w:r>
              <w:rPr>
                <w:b w:val="0"/>
                <w:sz w:val="16"/>
              </w:rPr>
              <w:t>0.720</w:t>
            </w:r>
          </w:p>
        </w:tc>
        <w:tc>
          <w:tcPr>
            <w:tcW w:type="dxa" w:w="1198"/>
          </w:tcPr>
          <w:p>
            <w:pPr>
              <w:spacing w:after="60"/>
            </w:pPr>
            <w:r>
              <w:rPr>
                <w:b w:val="0"/>
                <w:sz w:val="16"/>
              </w:rPr>
              <w:t>0.350</w:t>
            </w:r>
          </w:p>
        </w:tc>
        <w:tc>
          <w:tcPr>
            <w:tcW w:type="dxa" w:w="1198"/>
          </w:tcPr>
          <w:p>
            <w:pPr>
              <w:spacing w:after="60"/>
            </w:pPr>
            <w:r>
              <w:rPr>
                <w:b w:val="0"/>
                <w:sz w:val="16"/>
              </w:rPr>
              <w:t>0.757</w:t>
            </w:r>
          </w:p>
        </w:tc>
        <w:tc>
          <w:tcPr>
            <w:tcW w:type="dxa" w:w="1218"/>
          </w:tcPr>
          <w:p>
            <w:pPr>
              <w:spacing w:after="60"/>
            </w:pPr>
            <w:r>
              <w:rPr>
                <w:b w:val="0"/>
                <w:sz w:val="16"/>
              </w:rPr>
              <w:t>0.123</w:t>
            </w:r>
          </w:p>
        </w:tc>
      </w:tr>
      <w:tr>
        <w:tc>
          <w:tcPr>
            <w:tcW w:type="dxa" w:w="2944"/>
          </w:tcPr>
          <w:p>
            <w:pPr>
              <w:spacing w:after="60"/>
            </w:pPr>
            <w:r>
              <w:rPr>
                <w:b w:val="0"/>
                <w:sz w:val="16"/>
              </w:rPr>
              <w:t>LightGBM</w:t>
            </w:r>
          </w:p>
        </w:tc>
        <w:tc>
          <w:tcPr>
            <w:tcW w:type="dxa" w:w="1198"/>
          </w:tcPr>
          <w:p>
            <w:pPr>
              <w:spacing w:after="60"/>
            </w:pPr>
            <w:r>
              <w:rPr>
                <w:b w:val="0"/>
                <w:sz w:val="16"/>
              </w:rPr>
              <w:t>0.706</w:t>
            </w:r>
          </w:p>
        </w:tc>
        <w:tc>
          <w:tcPr>
            <w:tcW w:type="dxa" w:w="1198"/>
          </w:tcPr>
          <w:p>
            <w:pPr>
              <w:spacing w:after="60"/>
            </w:pPr>
            <w:r>
              <w:rPr>
                <w:b w:val="0"/>
                <w:sz w:val="16"/>
              </w:rPr>
              <w:t>0.637</w:t>
            </w:r>
          </w:p>
        </w:tc>
        <w:tc>
          <w:tcPr>
            <w:tcW w:type="dxa" w:w="1198"/>
          </w:tcPr>
          <w:p>
            <w:pPr>
              <w:spacing w:after="60"/>
            </w:pPr>
            <w:r>
              <w:rPr>
                <w:b w:val="0"/>
                <w:sz w:val="16"/>
              </w:rPr>
              <w:t>0.730</w:t>
            </w:r>
          </w:p>
        </w:tc>
        <w:tc>
          <w:tcPr>
            <w:tcW w:type="dxa" w:w="1198"/>
          </w:tcPr>
          <w:p>
            <w:pPr>
              <w:spacing w:after="60"/>
            </w:pPr>
            <w:r>
              <w:rPr>
                <w:b w:val="0"/>
                <w:sz w:val="16"/>
              </w:rPr>
              <w:t>0.381</w:t>
            </w:r>
          </w:p>
        </w:tc>
        <w:tc>
          <w:tcPr>
            <w:tcW w:type="dxa" w:w="1198"/>
          </w:tcPr>
          <w:p>
            <w:pPr>
              <w:spacing w:after="60"/>
            </w:pPr>
            <w:r>
              <w:rPr>
                <w:b w:val="0"/>
                <w:sz w:val="16"/>
              </w:rPr>
              <w:t>0.723</w:t>
            </w:r>
          </w:p>
        </w:tc>
        <w:tc>
          <w:tcPr>
            <w:tcW w:type="dxa" w:w="1218"/>
          </w:tcPr>
          <w:p>
            <w:pPr>
              <w:spacing w:after="60"/>
            </w:pPr>
            <w:r>
              <w:rPr>
                <w:b w:val="0"/>
                <w:sz w:val="16"/>
              </w:rPr>
              <w:t>0.118</w:t>
            </w:r>
          </w:p>
        </w:tc>
      </w:tr>
      <w:tr>
        <w:tc>
          <w:tcPr>
            <w:tcW w:type="dxa" w:w="2944"/>
          </w:tcPr>
          <w:p>
            <w:pPr>
              <w:spacing w:after="60"/>
            </w:pPr>
            <w:r>
              <w:rPr>
                <w:b w:val="0"/>
                <w:sz w:val="16"/>
              </w:rPr>
              <w:t>LightGBM, weighted *</w:t>
            </w:r>
          </w:p>
        </w:tc>
        <w:tc>
          <w:tcPr>
            <w:tcW w:type="dxa" w:w="1198"/>
          </w:tcPr>
          <w:p>
            <w:pPr>
              <w:spacing w:after="60"/>
            </w:pPr>
            <w:r>
              <w:rPr>
                <w:b w:val="0"/>
                <w:sz w:val="16"/>
              </w:rPr>
              <w:t>0.707</w:t>
            </w:r>
          </w:p>
        </w:tc>
        <w:tc>
          <w:tcPr>
            <w:tcW w:type="dxa" w:w="1198"/>
          </w:tcPr>
          <w:p>
            <w:pPr>
              <w:spacing w:after="60"/>
            </w:pPr>
            <w:r>
              <w:rPr>
                <w:b w:val="0"/>
                <w:sz w:val="16"/>
              </w:rPr>
              <w:t>0.636</w:t>
            </w:r>
          </w:p>
        </w:tc>
        <w:tc>
          <w:tcPr>
            <w:tcW w:type="dxa" w:w="1198"/>
          </w:tcPr>
          <w:p>
            <w:pPr>
              <w:spacing w:after="60"/>
            </w:pPr>
            <w:r>
              <w:rPr>
                <w:b w:val="0"/>
                <w:sz w:val="16"/>
              </w:rPr>
              <w:t>0.730</w:t>
            </w:r>
          </w:p>
        </w:tc>
        <w:tc>
          <w:tcPr>
            <w:tcW w:type="dxa" w:w="1198"/>
          </w:tcPr>
          <w:p>
            <w:pPr>
              <w:spacing w:after="60"/>
            </w:pPr>
            <w:r>
              <w:rPr>
                <w:b w:val="0"/>
                <w:sz w:val="16"/>
              </w:rPr>
              <w:t>0.377</w:t>
            </w:r>
          </w:p>
        </w:tc>
        <w:tc>
          <w:tcPr>
            <w:tcW w:type="dxa" w:w="1198"/>
          </w:tcPr>
          <w:p>
            <w:pPr>
              <w:spacing w:after="60"/>
            </w:pPr>
            <w:r>
              <w:rPr>
                <w:b w:val="0"/>
                <w:sz w:val="16"/>
              </w:rPr>
              <w:t>0.732</w:t>
            </w:r>
          </w:p>
        </w:tc>
        <w:tc>
          <w:tcPr>
            <w:tcW w:type="dxa" w:w="1218"/>
          </w:tcPr>
          <w:p>
            <w:pPr>
              <w:spacing w:after="60"/>
            </w:pPr>
            <w:r>
              <w:rPr>
                <w:b w:val="0"/>
                <w:sz w:val="16"/>
              </w:rPr>
              <w:t>0.118</w:t>
            </w:r>
          </w:p>
        </w:tc>
      </w:tr>
    </w:tbl>
    <w:p>
      <w:pPr>
        <w:spacing w:after="0"/>
      </w:pPr>
    </w:p>
    <w:p>
      <w:r>
        <w:t>The drug baseline can help overall decisions because drugs have different resistance rates. It cannot rank patients within a drug, so its drug-macro AUROC is 0.5.</w:t>
      </w:r>
    </w:p>
    <w:p>
      <w:r>
        <w:t>* Selected using validation data. All 9 test drugs have both classes. At its validation-set threshold of 0.812, LightGBM, weighted found 73.2% of resistant results; 37.7% of its resistance alerts were correct. Its mean resistant AUPRC across drugs was 0.381.</w:t>
      </w:r>
    </w:p>
    <w:p>
      <w:r>
        <w:t>The selected model's drug-macro AUROC was 0.707 (95% interval 0.682 to 0.722). Its Brier score was 0.118 (95% interval 0.114 to 0.123). The intervals resample patients 200 times, keeping all rows for each sampled patient together. They measure uncertainty in this test sample with fitted models held fixed.</w:t>
      </w:r>
    </w:p>
    <w:p>
      <w:r>
        <w:drawing>
          <wp:inline xmlns:a="http://schemas.openxmlformats.org/drawingml/2006/main" xmlns:pic="http://schemas.openxmlformats.org/drawingml/2006/picture">
            <wp:extent cx="5623560" cy="2971800"/>
            <wp:docPr id="1" name="Picture 1"/>
            <wp:cNvGraphicFramePr>
              <a:graphicFrameLocks noChangeAspect="1"/>
            </wp:cNvGraphicFramePr>
            <a:graphic>
              <a:graphicData uri="http://schemas.openxmlformats.org/drawingml/2006/picture">
                <pic:pic>
                  <pic:nvPicPr>
                    <pic:cNvPr id="0" name="report_calibration.png"/>
                    <pic:cNvPicPr/>
                  </pic:nvPicPr>
                  <pic:blipFill>
                    <a:blip r:embed="rId9"/>
                    <a:stretch>
                      <a:fillRect/>
                    </a:stretch>
                  </pic:blipFill>
                  <pic:spPr>
                    <a:xfrm>
                      <a:off x="0" y="0"/>
                      <a:ext cx="5623560" cy="2971800"/>
                    </a:xfrm>
                    <a:prstGeom prst="rect"/>
                  </pic:spPr>
                </pic:pic>
              </a:graphicData>
            </a:graphic>
          </wp:inline>
        </w:drawing>
      </w:r>
    </w:p>
    <w:p>
      <w:r>
        <w:rPr>
          <w:sz w:val="16"/>
        </w:rPr>
        <w:t>Figure 1. Selected model before and after training-only calibration. Points compare predicted resistance with the observed resistant share. Bin edges were set on validation. Lines show 95% intervals from 500 patient bootstrap samples. This follow-up check did not change test predictions.</w:t>
      </w:r>
    </w:p>
    <w:p>
      <w:r>
        <w:t>For the selected model, test Brier score was 0.1791 before calibration and 0.1182 after calibration. Brier score reflects both ranking and calibration, so this comparison alone does not prove better calibration [3].</w:t>
      </w:r>
    </w:p>
    <w:p>
      <w:r>
        <w:br w:type="page"/>
      </w:r>
    </w:p>
    <w:p>
      <w:pPr>
        <w:keepNext/>
      </w:pPr>
      <w:r>
        <w:rPr>
          <w:b/>
          <w:color w:val="183E56"/>
          <w:sz w:val="36"/>
        </w:rPr>
        <w:t>What the results mean</w:t>
      </w:r>
    </w:p>
    <w:p>
      <w:pPr>
        <w:keepNext/>
      </w:pPr>
      <w:r>
        <w:rPr>
          <w:b/>
          <w:color w:val="183E56"/>
          <w:sz w:val="22"/>
        </w:rPr>
        <w:t>5. Differences and limits</w:t>
      </w:r>
    </w:p>
    <w:tbl>
      <w:tblPr>
        <w:tblStyle w:val="LightShading-Accent1"/>
        <w:tblW w:type="auto" w:w="0"/>
        <w:tblLayout w:type="fixed"/>
        <w:tblLook w:firstColumn="1" w:firstRow="1" w:lastColumn="0" w:lastRow="0" w:noHBand="0" w:noVBand="1" w:val="04A0"/>
      </w:tblPr>
      <w:tblGrid>
        <w:gridCol w:w="2031"/>
        <w:gridCol w:w="2031"/>
        <w:gridCol w:w="2031"/>
        <w:gridCol w:w="2031"/>
        <w:gridCol w:w="2031"/>
      </w:tblGrid>
      <w:tr>
        <w:tc>
          <w:tcPr>
            <w:tcW w:type="dxa" w:w="4365"/>
          </w:tcPr>
          <w:p>
            <w:pPr>
              <w:spacing w:after="60"/>
            </w:pPr>
            <w:r>
              <w:rPr>
                <w:b/>
                <w:sz w:val="16"/>
              </w:rPr>
              <w:t>Selected model by test drug</w:t>
            </w:r>
          </w:p>
        </w:tc>
        <w:tc>
          <w:tcPr>
            <w:tcW w:type="dxa" w:w="1624"/>
          </w:tcPr>
          <w:p>
            <w:pPr>
              <w:spacing w:after="60"/>
            </w:pPr>
            <w:r>
              <w:rPr>
                <w:b/>
                <w:sz w:val="16"/>
              </w:rPr>
              <w:t>Rows</w:t>
            </w:r>
          </w:p>
        </w:tc>
        <w:tc>
          <w:tcPr>
            <w:tcW w:type="dxa" w:w="1320"/>
          </w:tcPr>
          <w:p>
            <w:pPr>
              <w:spacing w:after="60"/>
            </w:pPr>
            <w:r>
              <w:rPr>
                <w:b/>
                <w:sz w:val="16"/>
              </w:rPr>
              <w:t>R share</w:t>
            </w:r>
          </w:p>
        </w:tc>
        <w:tc>
          <w:tcPr>
            <w:tcW w:type="dxa" w:w="1421"/>
          </w:tcPr>
          <w:p>
            <w:pPr>
              <w:spacing w:after="60"/>
            </w:pPr>
            <w:r>
              <w:rPr>
                <w:b/>
                <w:sz w:val="16"/>
              </w:rPr>
              <w:t>AUROC</w:t>
            </w:r>
          </w:p>
        </w:tc>
        <w:tc>
          <w:tcPr>
            <w:tcW w:type="dxa" w:w="1421"/>
          </w:tcPr>
          <w:p>
            <w:pPr>
              <w:spacing w:after="60"/>
            </w:pPr>
            <w:r>
              <w:rPr>
                <w:b/>
                <w:sz w:val="16"/>
              </w:rPr>
              <w:t>R AUPRC</w:t>
            </w:r>
          </w:p>
        </w:tc>
      </w:tr>
      <w:tr>
        <w:tc>
          <w:tcPr>
            <w:tcW w:type="dxa" w:w="4365"/>
          </w:tcPr>
          <w:p>
            <w:pPr>
              <w:spacing w:after="60"/>
            </w:pPr>
            <w:r>
              <w:rPr>
                <w:b w:val="0"/>
                <w:sz w:val="16"/>
              </w:rPr>
              <w:t>amoxicillin/clavulanate</w:t>
            </w:r>
          </w:p>
        </w:tc>
        <w:tc>
          <w:tcPr>
            <w:tcW w:type="dxa" w:w="1624"/>
          </w:tcPr>
          <w:p>
            <w:pPr>
              <w:spacing w:after="60"/>
            </w:pPr>
            <w:r>
              <w:rPr>
                <w:b w:val="0"/>
                <w:sz w:val="16"/>
              </w:rPr>
              <w:t>2,615</w:t>
            </w:r>
          </w:p>
        </w:tc>
        <w:tc>
          <w:tcPr>
            <w:tcW w:type="dxa" w:w="1320"/>
          </w:tcPr>
          <w:p>
            <w:pPr>
              <w:spacing w:after="60"/>
            </w:pPr>
            <w:r>
              <w:rPr>
                <w:b w:val="0"/>
                <w:sz w:val="16"/>
              </w:rPr>
              <w:t>14.3%</w:t>
            </w:r>
          </w:p>
        </w:tc>
        <w:tc>
          <w:tcPr>
            <w:tcW w:type="dxa" w:w="1421"/>
          </w:tcPr>
          <w:p>
            <w:pPr>
              <w:spacing w:after="60"/>
            </w:pPr>
            <w:r>
              <w:rPr>
                <w:b w:val="0"/>
                <w:sz w:val="16"/>
              </w:rPr>
              <w:t>0.675</w:t>
            </w:r>
          </w:p>
        </w:tc>
        <w:tc>
          <w:tcPr>
            <w:tcW w:type="dxa" w:w="1421"/>
          </w:tcPr>
          <w:p>
            <w:pPr>
              <w:spacing w:after="60"/>
            </w:pPr>
            <w:r>
              <w:rPr>
                <w:b w:val="0"/>
                <w:sz w:val="16"/>
              </w:rPr>
              <w:t>0.295</w:t>
            </w:r>
          </w:p>
        </w:tc>
      </w:tr>
      <w:tr>
        <w:tc>
          <w:tcPr>
            <w:tcW w:type="dxa" w:w="4365"/>
          </w:tcPr>
          <w:p>
            <w:pPr>
              <w:spacing w:after="60"/>
            </w:pPr>
            <w:r>
              <w:rPr>
                <w:b w:val="0"/>
                <w:sz w:val="16"/>
              </w:rPr>
              <w:t>ampicillin</w:t>
            </w:r>
          </w:p>
        </w:tc>
        <w:tc>
          <w:tcPr>
            <w:tcW w:type="dxa" w:w="1624"/>
          </w:tcPr>
          <w:p>
            <w:pPr>
              <w:spacing w:after="60"/>
            </w:pPr>
            <w:r>
              <w:rPr>
                <w:b w:val="0"/>
                <w:sz w:val="16"/>
              </w:rPr>
              <w:t>4,637</w:t>
            </w:r>
          </w:p>
        </w:tc>
        <w:tc>
          <w:tcPr>
            <w:tcW w:type="dxa" w:w="1320"/>
          </w:tcPr>
          <w:p>
            <w:pPr>
              <w:spacing w:after="60"/>
            </w:pPr>
            <w:r>
              <w:rPr>
                <w:b w:val="0"/>
                <w:sz w:val="16"/>
              </w:rPr>
              <w:t>49.1%</w:t>
            </w:r>
          </w:p>
        </w:tc>
        <w:tc>
          <w:tcPr>
            <w:tcW w:type="dxa" w:w="1421"/>
          </w:tcPr>
          <w:p>
            <w:pPr>
              <w:spacing w:after="60"/>
            </w:pPr>
            <w:r>
              <w:rPr>
                <w:b w:val="0"/>
                <w:sz w:val="16"/>
              </w:rPr>
              <w:t>0.640</w:t>
            </w:r>
          </w:p>
        </w:tc>
        <w:tc>
          <w:tcPr>
            <w:tcW w:type="dxa" w:w="1421"/>
          </w:tcPr>
          <w:p>
            <w:pPr>
              <w:spacing w:after="60"/>
            </w:pPr>
            <w:r>
              <w:rPr>
                <w:b w:val="0"/>
                <w:sz w:val="16"/>
              </w:rPr>
              <w:t>0.662</w:t>
            </w:r>
          </w:p>
        </w:tc>
      </w:tr>
      <w:tr>
        <w:tc>
          <w:tcPr>
            <w:tcW w:type="dxa" w:w="4365"/>
          </w:tcPr>
          <w:p>
            <w:pPr>
              <w:spacing w:after="60"/>
            </w:pPr>
            <w:r>
              <w:rPr>
                <w:b w:val="0"/>
                <w:sz w:val="16"/>
              </w:rPr>
              <w:t>cefazolin</w:t>
            </w:r>
          </w:p>
        </w:tc>
        <w:tc>
          <w:tcPr>
            <w:tcW w:type="dxa" w:w="1624"/>
          </w:tcPr>
          <w:p>
            <w:pPr>
              <w:spacing w:after="60"/>
            </w:pPr>
            <w:r>
              <w:rPr>
                <w:b w:val="0"/>
                <w:sz w:val="16"/>
              </w:rPr>
              <w:t>4,118</w:t>
            </w:r>
          </w:p>
        </w:tc>
        <w:tc>
          <w:tcPr>
            <w:tcW w:type="dxa" w:w="1320"/>
          </w:tcPr>
          <w:p>
            <w:pPr>
              <w:spacing w:after="60"/>
            </w:pPr>
            <w:r>
              <w:rPr>
                <w:b w:val="0"/>
                <w:sz w:val="16"/>
              </w:rPr>
              <w:t>20.2%</w:t>
            </w:r>
          </w:p>
        </w:tc>
        <w:tc>
          <w:tcPr>
            <w:tcW w:type="dxa" w:w="1421"/>
          </w:tcPr>
          <w:p>
            <w:pPr>
              <w:spacing w:after="60"/>
            </w:pPr>
            <w:r>
              <w:rPr>
                <w:b w:val="0"/>
                <w:sz w:val="16"/>
              </w:rPr>
              <w:t>0.722</w:t>
            </w:r>
          </w:p>
        </w:tc>
        <w:tc>
          <w:tcPr>
            <w:tcW w:type="dxa" w:w="1421"/>
          </w:tcPr>
          <w:p>
            <w:pPr>
              <w:spacing w:after="60"/>
            </w:pPr>
            <w:r>
              <w:rPr>
                <w:b w:val="0"/>
                <w:sz w:val="16"/>
              </w:rPr>
              <w:t>0.453</w:t>
            </w:r>
          </w:p>
        </w:tc>
      </w:tr>
      <w:tr>
        <w:tc>
          <w:tcPr>
            <w:tcW w:type="dxa" w:w="4365"/>
          </w:tcPr>
          <w:p>
            <w:pPr>
              <w:spacing w:after="60"/>
            </w:pPr>
            <w:r>
              <w:rPr>
                <w:b w:val="0"/>
                <w:sz w:val="16"/>
              </w:rPr>
              <w:t>cefepime</w:t>
            </w:r>
          </w:p>
        </w:tc>
        <w:tc>
          <w:tcPr>
            <w:tcW w:type="dxa" w:w="1624"/>
          </w:tcPr>
          <w:p>
            <w:pPr>
              <w:spacing w:after="60"/>
            </w:pPr>
            <w:r>
              <w:rPr>
                <w:b w:val="0"/>
                <w:sz w:val="16"/>
              </w:rPr>
              <w:t>1,907</w:t>
            </w:r>
          </w:p>
        </w:tc>
        <w:tc>
          <w:tcPr>
            <w:tcW w:type="dxa" w:w="1320"/>
          </w:tcPr>
          <w:p>
            <w:pPr>
              <w:spacing w:after="60"/>
            </w:pPr>
            <w:r>
              <w:rPr>
                <w:b w:val="0"/>
                <w:sz w:val="16"/>
              </w:rPr>
              <w:t>7.7%</w:t>
            </w:r>
          </w:p>
        </w:tc>
        <w:tc>
          <w:tcPr>
            <w:tcW w:type="dxa" w:w="1421"/>
          </w:tcPr>
          <w:p>
            <w:pPr>
              <w:spacing w:after="60"/>
            </w:pPr>
            <w:r>
              <w:rPr>
                <w:b w:val="0"/>
                <w:sz w:val="16"/>
              </w:rPr>
              <w:t>0.851</w:t>
            </w:r>
          </w:p>
        </w:tc>
        <w:tc>
          <w:tcPr>
            <w:tcW w:type="dxa" w:w="1421"/>
          </w:tcPr>
          <w:p>
            <w:pPr>
              <w:spacing w:after="60"/>
            </w:pPr>
            <w:r>
              <w:rPr>
                <w:b w:val="0"/>
                <w:sz w:val="16"/>
              </w:rPr>
              <w:t>0.479</w:t>
            </w:r>
          </w:p>
        </w:tc>
      </w:tr>
      <w:tr>
        <w:tc>
          <w:tcPr>
            <w:tcW w:type="dxa" w:w="4365"/>
          </w:tcPr>
          <w:p>
            <w:pPr>
              <w:spacing w:after="60"/>
            </w:pPr>
            <w:r>
              <w:rPr>
                <w:b w:val="0"/>
                <w:sz w:val="16"/>
              </w:rPr>
              <w:t>ceftriaxone</w:t>
            </w:r>
          </w:p>
        </w:tc>
        <w:tc>
          <w:tcPr>
            <w:tcW w:type="dxa" w:w="1624"/>
          </w:tcPr>
          <w:p>
            <w:pPr>
              <w:spacing w:after="60"/>
            </w:pPr>
            <w:r>
              <w:rPr>
                <w:b w:val="0"/>
                <w:sz w:val="16"/>
              </w:rPr>
              <w:t>3,541</w:t>
            </w:r>
          </w:p>
        </w:tc>
        <w:tc>
          <w:tcPr>
            <w:tcW w:type="dxa" w:w="1320"/>
          </w:tcPr>
          <w:p>
            <w:pPr>
              <w:spacing w:after="60"/>
            </w:pPr>
            <w:r>
              <w:rPr>
                <w:b w:val="0"/>
                <w:sz w:val="16"/>
              </w:rPr>
              <w:t>11.4%</w:t>
            </w:r>
          </w:p>
        </w:tc>
        <w:tc>
          <w:tcPr>
            <w:tcW w:type="dxa" w:w="1421"/>
          </w:tcPr>
          <w:p>
            <w:pPr>
              <w:spacing w:after="60"/>
            </w:pPr>
            <w:r>
              <w:rPr>
                <w:b w:val="0"/>
                <w:sz w:val="16"/>
              </w:rPr>
              <w:t>0.750</w:t>
            </w:r>
          </w:p>
        </w:tc>
        <w:tc>
          <w:tcPr>
            <w:tcW w:type="dxa" w:w="1421"/>
          </w:tcPr>
          <w:p>
            <w:pPr>
              <w:spacing w:after="60"/>
            </w:pPr>
            <w:r>
              <w:rPr>
                <w:b w:val="0"/>
                <w:sz w:val="16"/>
              </w:rPr>
              <w:t>0.376</w:t>
            </w:r>
          </w:p>
        </w:tc>
      </w:tr>
      <w:tr>
        <w:tc>
          <w:tcPr>
            <w:tcW w:type="dxa" w:w="4365"/>
          </w:tcPr>
          <w:p>
            <w:pPr>
              <w:spacing w:after="60"/>
            </w:pPr>
            <w:r>
              <w:rPr>
                <w:b w:val="0"/>
                <w:sz w:val="16"/>
              </w:rPr>
              <w:t>ciprofloxacin</w:t>
            </w:r>
          </w:p>
        </w:tc>
        <w:tc>
          <w:tcPr>
            <w:tcW w:type="dxa" w:w="1624"/>
          </w:tcPr>
          <w:p>
            <w:pPr>
              <w:spacing w:after="60"/>
            </w:pPr>
            <w:r>
              <w:rPr>
                <w:b w:val="0"/>
                <w:sz w:val="16"/>
              </w:rPr>
              <w:t>5,493</w:t>
            </w:r>
          </w:p>
        </w:tc>
        <w:tc>
          <w:tcPr>
            <w:tcW w:type="dxa" w:w="1320"/>
          </w:tcPr>
          <w:p>
            <w:pPr>
              <w:spacing w:after="60"/>
            </w:pPr>
            <w:r>
              <w:rPr>
                <w:b w:val="0"/>
                <w:sz w:val="16"/>
              </w:rPr>
              <w:t>18.7%</w:t>
            </w:r>
          </w:p>
        </w:tc>
        <w:tc>
          <w:tcPr>
            <w:tcW w:type="dxa" w:w="1421"/>
          </w:tcPr>
          <w:p>
            <w:pPr>
              <w:spacing w:after="60"/>
            </w:pPr>
            <w:r>
              <w:rPr>
                <w:b w:val="0"/>
                <w:sz w:val="16"/>
              </w:rPr>
              <w:t>0.745</w:t>
            </w:r>
          </w:p>
        </w:tc>
        <w:tc>
          <w:tcPr>
            <w:tcW w:type="dxa" w:w="1421"/>
          </w:tcPr>
          <w:p>
            <w:pPr>
              <w:spacing w:after="60"/>
            </w:pPr>
            <w:r>
              <w:rPr>
                <w:b w:val="0"/>
                <w:sz w:val="16"/>
              </w:rPr>
              <w:t>0.474</w:t>
            </w:r>
          </w:p>
        </w:tc>
      </w:tr>
      <w:tr>
        <w:tc>
          <w:tcPr>
            <w:tcW w:type="dxa" w:w="4365"/>
          </w:tcPr>
          <w:p>
            <w:pPr>
              <w:spacing w:after="60"/>
            </w:pPr>
            <w:r>
              <w:rPr>
                <w:b w:val="0"/>
                <w:sz w:val="16"/>
              </w:rPr>
              <w:t>gentamicin</w:t>
            </w:r>
          </w:p>
        </w:tc>
        <w:tc>
          <w:tcPr>
            <w:tcW w:type="dxa" w:w="1624"/>
          </w:tcPr>
          <w:p>
            <w:pPr>
              <w:spacing w:after="60"/>
            </w:pPr>
            <w:r>
              <w:rPr>
                <w:b w:val="0"/>
                <w:sz w:val="16"/>
              </w:rPr>
              <w:t>5,327</w:t>
            </w:r>
          </w:p>
        </w:tc>
        <w:tc>
          <w:tcPr>
            <w:tcW w:type="dxa" w:w="1320"/>
          </w:tcPr>
          <w:p>
            <w:pPr>
              <w:spacing w:after="60"/>
            </w:pPr>
            <w:r>
              <w:rPr>
                <w:b w:val="0"/>
                <w:sz w:val="16"/>
              </w:rPr>
              <w:t>9.3%</w:t>
            </w:r>
          </w:p>
        </w:tc>
        <w:tc>
          <w:tcPr>
            <w:tcW w:type="dxa" w:w="1421"/>
          </w:tcPr>
          <w:p>
            <w:pPr>
              <w:spacing w:after="60"/>
            </w:pPr>
            <w:r>
              <w:rPr>
                <w:b w:val="0"/>
                <w:sz w:val="16"/>
              </w:rPr>
              <w:t>0.712</w:t>
            </w:r>
          </w:p>
        </w:tc>
        <w:tc>
          <w:tcPr>
            <w:tcW w:type="dxa" w:w="1421"/>
          </w:tcPr>
          <w:p>
            <w:pPr>
              <w:spacing w:after="60"/>
            </w:pPr>
            <w:r>
              <w:rPr>
                <w:b w:val="0"/>
                <w:sz w:val="16"/>
              </w:rPr>
              <w:t>0.322</w:t>
            </w:r>
          </w:p>
        </w:tc>
      </w:tr>
      <w:tr>
        <w:tc>
          <w:tcPr>
            <w:tcW w:type="dxa" w:w="4365"/>
          </w:tcPr>
          <w:p>
            <w:pPr>
              <w:spacing w:after="60"/>
            </w:pPr>
            <w:r>
              <w:rPr>
                <w:b w:val="0"/>
                <w:sz w:val="16"/>
              </w:rPr>
              <w:t>piperacillin/tazobactam</w:t>
            </w:r>
          </w:p>
        </w:tc>
        <w:tc>
          <w:tcPr>
            <w:tcW w:type="dxa" w:w="1624"/>
          </w:tcPr>
          <w:p>
            <w:pPr>
              <w:spacing w:after="60"/>
            </w:pPr>
            <w:r>
              <w:rPr>
                <w:b w:val="0"/>
                <w:sz w:val="16"/>
              </w:rPr>
              <w:t>4,298</w:t>
            </w:r>
          </w:p>
        </w:tc>
        <w:tc>
          <w:tcPr>
            <w:tcW w:type="dxa" w:w="1320"/>
          </w:tcPr>
          <w:p>
            <w:pPr>
              <w:spacing w:after="60"/>
            </w:pPr>
            <w:r>
              <w:rPr>
                <w:b w:val="0"/>
                <w:sz w:val="16"/>
              </w:rPr>
              <w:t>2.5%</w:t>
            </w:r>
          </w:p>
        </w:tc>
        <w:tc>
          <w:tcPr>
            <w:tcW w:type="dxa" w:w="1421"/>
          </w:tcPr>
          <w:p>
            <w:pPr>
              <w:spacing w:after="60"/>
            </w:pPr>
            <w:r>
              <w:rPr>
                <w:b w:val="0"/>
                <w:sz w:val="16"/>
              </w:rPr>
              <w:t>0.653</w:t>
            </w:r>
          </w:p>
        </w:tc>
        <w:tc>
          <w:tcPr>
            <w:tcW w:type="dxa" w:w="1421"/>
          </w:tcPr>
          <w:p>
            <w:pPr>
              <w:spacing w:after="60"/>
            </w:pPr>
            <w:r>
              <w:rPr>
                <w:b w:val="0"/>
                <w:sz w:val="16"/>
              </w:rPr>
              <w:t>0.048</w:t>
            </w:r>
          </w:p>
        </w:tc>
      </w:tr>
      <w:tr>
        <w:tc>
          <w:tcPr>
            <w:tcW w:type="dxa" w:w="4365"/>
          </w:tcPr>
          <w:p>
            <w:pPr>
              <w:spacing w:after="60"/>
            </w:pPr>
            <w:r>
              <w:rPr>
                <w:b w:val="0"/>
                <w:sz w:val="16"/>
              </w:rPr>
              <w:t>trimethoprim/sulfamethoxazole</w:t>
            </w:r>
          </w:p>
        </w:tc>
        <w:tc>
          <w:tcPr>
            <w:tcW w:type="dxa" w:w="1624"/>
          </w:tcPr>
          <w:p>
            <w:pPr>
              <w:spacing w:after="60"/>
            </w:pPr>
            <w:r>
              <w:rPr>
                <w:b w:val="0"/>
                <w:sz w:val="16"/>
              </w:rPr>
              <w:t>5,239</w:t>
            </w:r>
          </w:p>
        </w:tc>
        <w:tc>
          <w:tcPr>
            <w:tcW w:type="dxa" w:w="1320"/>
          </w:tcPr>
          <w:p>
            <w:pPr>
              <w:spacing w:after="60"/>
            </w:pPr>
            <w:r>
              <w:rPr>
                <w:b w:val="0"/>
                <w:sz w:val="16"/>
              </w:rPr>
              <w:t>22.2%</w:t>
            </w:r>
          </w:p>
        </w:tc>
        <w:tc>
          <w:tcPr>
            <w:tcW w:type="dxa" w:w="1421"/>
          </w:tcPr>
          <w:p>
            <w:pPr>
              <w:spacing w:after="60"/>
            </w:pPr>
            <w:r>
              <w:rPr>
                <w:b w:val="0"/>
                <w:sz w:val="16"/>
              </w:rPr>
              <w:t>0.612</w:t>
            </w:r>
          </w:p>
        </w:tc>
        <w:tc>
          <w:tcPr>
            <w:tcW w:type="dxa" w:w="1421"/>
          </w:tcPr>
          <w:p>
            <w:pPr>
              <w:spacing w:after="60"/>
            </w:pPr>
            <w:r>
              <w:rPr>
                <w:b w:val="0"/>
                <w:sz w:val="16"/>
              </w:rPr>
              <w:t>0.323</w:t>
            </w:r>
          </w:p>
        </w:tc>
      </w:tr>
    </w:tbl>
    <w:p>
      <w:pPr>
        <w:spacing w:after="0"/>
      </w:pPr>
    </w:p>
    <w:p>
      <w:r>
        <w:t>Compared with unweighted logistic regression, the selected model's drug-macro AUROC difference was 0.009 (paired 95% interval 0.001 to 0.014). The same patient samples were used for both models. This estimates their difference in this test set, not in a new hospital.</w:t>
      </w:r>
    </w:p>
    <w:p>
      <w:r>
        <w:t>Further checks are in advanced_analysis.pdf. At the original cutoff, all 4,637 ampicillin rows were flagged, including 2,361 false alerts. All 108 resistant piperacillin/tazobactam rows were missed. An overall recall score hides these drug differences.</w:t>
      </w:r>
    </w:p>
    <w:p>
      <w:r>
        <w:t>On validation, adding prior history to the basic fields raised mean resistant AP from 0.250 to 0.375. Using all features scored 0.373. The paired interval showed no clear added gain from these lab and vital summaries. These follow-up comparisons used fixed model settings. They did not select a new model or change the original test results.</w:t>
      </w:r>
    </w:p>
    <w:p>
      <w:r>
        <w:t>Independent dataset or hospital validation was not possible. The supplied ARMD files do not identify the two hospitals separately. Ward and culture groups cannot replace an outside-site test. Patient separation also does not test future years, since calendar dates are shifted.</w:t>
      </w:r>
    </w:p>
    <w:p>
      <w:r>
        <w:t>Labels cover tested drugs with clear results. Testing choices may depend on the patient, organism and laboratory rules. Results may differ for untested drugs. Excluding intermediate or conflicting labels also changes the sample.</w:t>
      </w:r>
    </w:p>
    <w:p>
      <w:r>
        <w:t>The current organism is unknown at culture order. Different organisms in one culture can have the same inputs but different outcomes. Exact feature release times and some units are also unavailable. These results do not measure treatment benefit.</w:t>
      </w:r>
    </w:p>
    <w:p>
      <w:r>
        <w:t>The next checks are to confirm the instructor's drug list, obtain a hospital field or second dataset, and verify feature release times and units. The code can rerun the study when these inputs are available.</w:t>
      </w:r>
    </w:p>
    <w:p>
      <w:r>
        <w:br w:type="page"/>
      </w:r>
    </w:p>
    <w:p>
      <w:pPr>
        <w:keepNext/>
      </w:pPr>
      <w:r>
        <w:rPr>
          <w:b/>
          <w:color w:val="183E56"/>
          <w:sz w:val="36"/>
        </w:rPr>
        <w:t>References and file guide</w:t>
      </w:r>
    </w:p>
    <w:p>
      <w:pPr>
        <w:keepNext/>
      </w:pPr>
      <w:r>
        <w:rPr>
          <w:b/>
          <w:color w:val="183E56"/>
          <w:sz w:val="22"/>
        </w:rPr>
        <w:t>Outside the five-page report body</w:t>
      </w:r>
    </w:p>
    <w:p>
      <w:r>
        <w:t>[1] Nateghi Haredasht, F., et al. Antibiotic Resistance Microbiology Dataset (ARMD): A Resource for Antimicrobial Resistance from EHRs. Scientific Data (2025).</w:t>
        <w:br/>
        <w:t>https://www.nature.com/articles/s41597-025-05649-7</w:t>
      </w:r>
    </w:p>
    <w:p>
      <w:r>
        <w:t>[1a] ARMD author manuscript. Source windows and date shifts.</w:t>
        <w:br/>
        <w:t>https://arxiv.org/pdf/2503.07664</w:t>
      </w:r>
    </w:p>
    <w:p>
      <w:r>
        <w:t>[2] Antibiotic Resistance Microbiology Dataset. Dryad. Version 403223 (22 October 2025).</w:t>
        <w:br/>
        <w:t>https://datadryad.org/dataset/doi:10.5061/dryad.jq2bvq8kp</w:t>
      </w:r>
    </w:p>
    <w:p>
      <w:r>
        <w:t>[3] scikit-learn. Probability calibration documentation.</w:t>
        <w:br/>
        <w:t>https://scikit-learn.org/stable/modules/calibration.html</w:t>
      </w:r>
    </w:p>
    <w:p>
      <w:r>
        <w:t>[4] LightGBM. Model parameter documentation.</w:t>
        <w:br/>
        <w:t>https://lightgbm.readthedocs.io/en/stable/Parameters.html</w:t>
      </w:r>
    </w:p>
    <w:p>
      <w:r>
        <w:t>[5] National Archives. Top 10 Principles for Plain Language.</w:t>
        <w:br/>
        <w:t>https://www.archives.gov/open/plain-writing/10-principles.html</w:t>
      </w:r>
    </w:p>
    <w:p>
      <w:r>
        <w:t>[6] University of Southern California Libraries. Generative AI and Writing.</w:t>
        <w:br/>
        <w:t>https://libguides.usc.edu/writingguide/AIwriting</w:t>
      </w:r>
    </w:p>
    <w:p>
      <w:r>
        <w:t>Sources checked on 12 October 2026. The writing follows the plain-language advice in [5]. The review of AI writing problems in [6] informed checks for invented facts, false citations and unsupported claims. Every reported number is loaded from the pipeline outputs. The report uses short sentences and no em dashes.</w:t>
      </w:r>
    </w:p>
    <w:p>
      <w:r>
        <w:t>This analysis and report were prepared with AI assistance. The data are public, de-identified ARMD records. Software checks and saved output tables support review; they do not replace review of the study design.</w:t>
      </w:r>
    </w:p>
    <w:tbl>
      <w:tblPr>
        <w:tblStyle w:val="LightShading-Accent1"/>
        <w:tblW w:type="auto" w:w="0"/>
        <w:tblLayout w:type="fixed"/>
        <w:tblLook w:firstColumn="1" w:firstRow="1" w:lastColumn="0" w:lastRow="0" w:noHBand="0" w:noVBand="1" w:val="04A0"/>
      </w:tblPr>
      <w:tblGrid>
        <w:gridCol w:w="5076"/>
        <w:gridCol w:w="5076"/>
      </w:tblGrid>
      <w:tr>
        <w:tc>
          <w:tcPr>
            <w:tcW w:type="dxa" w:w="5584"/>
          </w:tcPr>
          <w:p>
            <w:pPr>
              <w:spacing w:after="60"/>
            </w:pPr>
            <w:r>
              <w:rPr>
                <w:b/>
                <w:sz w:val="16"/>
              </w:rPr>
              <w:t>File or folder</w:t>
            </w:r>
          </w:p>
        </w:tc>
        <w:tc>
          <w:tcPr>
            <w:tcW w:type="dxa" w:w="4568"/>
          </w:tcPr>
          <w:p>
            <w:pPr>
              <w:spacing w:after="60"/>
            </w:pPr>
            <w:r>
              <w:rPr>
                <w:b/>
                <w:sz w:val="16"/>
              </w:rPr>
              <w:t>Purpose</w:t>
            </w:r>
          </w:p>
        </w:tc>
      </w:tr>
      <w:tr>
        <w:tc>
          <w:tcPr>
            <w:tcW w:type="dxa" w:w="5584"/>
          </w:tcPr>
          <w:p>
            <w:pPr>
              <w:spacing w:after="60"/>
            </w:pPr>
            <w:r>
              <w:rPr>
                <w:b w:val="0"/>
                <w:sz w:val="16"/>
              </w:rPr>
              <w:t>report.pdf / report.docx</w:t>
            </w:r>
          </w:p>
        </w:tc>
        <w:tc>
          <w:tcPr>
            <w:tcW w:type="dxa" w:w="4568"/>
          </w:tcPr>
          <w:p>
            <w:pPr>
              <w:spacing w:after="60"/>
            </w:pPr>
            <w:r>
              <w:rPr>
                <w:b w:val="0"/>
                <w:sz w:val="16"/>
              </w:rPr>
              <w:t>Page-controlled report and editable copy</w:t>
            </w:r>
          </w:p>
        </w:tc>
      </w:tr>
      <w:tr>
        <w:tc>
          <w:tcPr>
            <w:tcW w:type="dxa" w:w="5584"/>
          </w:tcPr>
          <w:p>
            <w:pPr>
              <w:spacing w:after="60"/>
            </w:pPr>
            <w:r>
              <w:rPr>
                <w:b w:val="0"/>
                <w:sz w:val="16"/>
              </w:rPr>
              <w:t>docs/feature_harmonization_matrix.xlsx</w:t>
            </w:r>
          </w:p>
        </w:tc>
        <w:tc>
          <w:tcPr>
            <w:tcW w:type="dxa" w:w="4568"/>
          </w:tcPr>
          <w:p>
            <w:pPr>
              <w:spacing w:after="60"/>
            </w:pPr>
            <w:r>
              <w:rPr>
                <w:b w:val="0"/>
                <w:sz w:val="16"/>
              </w:rPr>
              <w:t>Field mapping, dictionary, source decisions, target list</w:t>
            </w:r>
          </w:p>
        </w:tc>
      </w:tr>
      <w:tr>
        <w:tc>
          <w:tcPr>
            <w:tcW w:type="dxa" w:w="5584"/>
          </w:tcPr>
          <w:p>
            <w:pPr>
              <w:spacing w:after="60"/>
            </w:pPr>
            <w:r>
              <w:rPr>
                <w:b w:val="0"/>
                <w:sz w:val="16"/>
              </w:rPr>
              <w:t>results/construction_audit.json</w:t>
            </w:r>
          </w:p>
        </w:tc>
        <w:tc>
          <w:tcPr>
            <w:tcW w:type="dxa" w:w="4568"/>
          </w:tcPr>
          <w:p>
            <w:pPr>
              <w:spacing w:after="60"/>
            </w:pPr>
            <w:r>
              <w:rPr>
                <w:b w:val="0"/>
                <w:sz w:val="16"/>
              </w:rPr>
              <w:t>Row exclusions, label decisions, joins and leakage checks</w:t>
            </w:r>
          </w:p>
        </w:tc>
      </w:tr>
      <w:tr>
        <w:tc>
          <w:tcPr>
            <w:tcW w:type="dxa" w:w="5584"/>
          </w:tcPr>
          <w:p>
            <w:pPr>
              <w:spacing w:after="60"/>
            </w:pPr>
            <w:r>
              <w:rPr>
                <w:b w:val="0"/>
                <w:sz w:val="16"/>
              </w:rPr>
              <w:t>results/cohort_summary.csv; missingness.csv</w:t>
            </w:r>
          </w:p>
        </w:tc>
        <w:tc>
          <w:tcPr>
            <w:tcW w:type="dxa" w:w="4568"/>
          </w:tcPr>
          <w:p>
            <w:pPr>
              <w:spacing w:after="60"/>
            </w:pPr>
            <w:r>
              <w:rPr>
                <w:b w:val="0"/>
                <w:sz w:val="16"/>
              </w:rPr>
              <w:t>Cohort counts, candidate depth, dates and missing values</w:t>
            </w:r>
          </w:p>
        </w:tc>
      </w:tr>
      <w:tr>
        <w:tc>
          <w:tcPr>
            <w:tcW w:type="dxa" w:w="5584"/>
          </w:tcPr>
          <w:p>
            <w:pPr>
              <w:spacing w:after="60"/>
            </w:pPr>
            <w:r>
              <w:rPr>
                <w:b w:val="0"/>
                <w:sz w:val="16"/>
              </w:rPr>
              <w:t>results/models/</w:t>
            </w:r>
          </w:p>
        </w:tc>
        <w:tc>
          <w:tcPr>
            <w:tcW w:type="dxa" w:w="4568"/>
          </w:tcPr>
          <w:p>
            <w:pPr>
              <w:spacing w:after="60"/>
            </w:pPr>
            <w:r>
              <w:rPr>
                <w:b w:val="0"/>
                <w:sz w:val="16"/>
              </w:rPr>
              <w:t>Full metrics, subgroups, intervals, predictions and fitted models</w:t>
            </w:r>
          </w:p>
        </w:tc>
      </w:tr>
      <w:tr>
        <w:tc>
          <w:tcPr>
            <w:tcW w:type="dxa" w:w="5584"/>
          </w:tcPr>
          <w:p>
            <w:pPr>
              <w:spacing w:after="60"/>
            </w:pPr>
            <w:r>
              <w:rPr>
                <w:b w:val="0"/>
                <w:sz w:val="16"/>
              </w:rPr>
              <w:t>advanced_analysis.pdf / .html</w:t>
            </w:r>
          </w:p>
        </w:tc>
        <w:tc>
          <w:tcPr>
            <w:tcW w:type="dxa" w:w="4568"/>
          </w:tcPr>
          <w:p>
            <w:pPr>
              <w:spacing w:after="60"/>
            </w:pPr>
            <w:r>
              <w:rPr>
                <w:b w:val="0"/>
                <w:sz w:val="16"/>
              </w:rPr>
              <w:t>Exploratory appendix and figure gallery</w:t>
            </w:r>
          </w:p>
        </w:tc>
      </w:tr>
      <w:tr>
        <w:tc>
          <w:tcPr>
            <w:tcW w:type="dxa" w:w="5584"/>
          </w:tcPr>
          <w:p>
            <w:pPr>
              <w:spacing w:after="60"/>
            </w:pPr>
            <w:r>
              <w:rPr>
                <w:b w:val="0"/>
                <w:sz w:val="16"/>
              </w:rPr>
              <w:t>results/advanced/</w:t>
            </w:r>
          </w:p>
        </w:tc>
        <w:tc>
          <w:tcPr>
            <w:tcW w:type="dxa" w:w="4568"/>
          </w:tcPr>
          <w:p>
            <w:pPr>
              <w:spacing w:after="60"/>
            </w:pPr>
            <w:r>
              <w:rPr>
                <w:b w:val="0"/>
                <w:sz w:val="16"/>
              </w:rPr>
              <w:t>Extra results, workbook and editable figures</w:t>
            </w:r>
          </w:p>
        </w:tc>
      </w:tr>
      <w:tr>
        <w:tc>
          <w:tcPr>
            <w:tcW w:type="dxa" w:w="5584"/>
          </w:tcPr>
          <w:p>
            <w:pPr>
              <w:spacing w:after="60"/>
            </w:pPr>
            <w:r>
              <w:rPr>
                <w:b w:val="0"/>
                <w:sz w:val="16"/>
              </w:rPr>
              <w:t>docs/methods.html; README.txt</w:t>
            </w:r>
          </w:p>
        </w:tc>
        <w:tc>
          <w:tcPr>
            <w:tcW w:type="dxa" w:w="4568"/>
          </w:tcPr>
          <w:p>
            <w:pPr>
              <w:spacing w:after="60"/>
            </w:pPr>
            <w:r>
              <w:rPr>
                <w:b w:val="0"/>
                <w:sz w:val="16"/>
              </w:rPr>
              <w:t>Detailed method and commands to repeat the run</w:t>
            </w:r>
          </w:p>
        </w:tc>
      </w:tr>
    </w:tbl>
    <w:p>
      <w:pPr>
        <w:spacing w:after="0"/>
      </w:pPr>
    </w:p>
    <w:sectPr w:rsidR="00FC693F" w:rsidRPr="0006063C" w:rsidSect="00034616">
      <w:footerReference w:type="default" r:id="rId10"/>
      <w:pgSz w:w="11909" w:h="16834"/>
      <w:pgMar w:top="720" w:right="878" w:bottom="792" w:left="8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ARMD | Scaled susceptibility prediction study | Page-controlled version: report.pdf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