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X</w:t>
        <w:br/>
      </w:r>
      <w:r>
        <w:rPr>
          <w:sz w:val="28"/>
        </w:rPr>
        <w:t>Emerging Trends and Future Technologies</w:t>
        <w:br/>
      </w:r>
      <w:r>
        <w:rPr>
          <w:b/>
          <w:sz w:val="36"/>
        </w:rPr>
        <w:t>FinOps and Cloud Cost Observability</w:t>
      </w:r>
    </w:p>
    <w:p>
      <w:r>
        <w:t>Course: System Provisioning and Monitoring | CO5</w:t>
      </w:r>
    </w:p>
    <w:p>
      <w:r>
        <w:t>Student: ____________________  Roll No.: ____________________</w:t>
      </w:r>
    </w:p>
    <w:p>
      <w:r>
        <w:t>Faculty: _____________________  Date: _______________________</w:t>
      </w:r>
    </w:p>
    <w:p>
      <w:r>
        <w:t>Note: The included demo uses synthetic billing data. Replace placeholders and add screenshots/observations from your own run.</w:t>
      </w:r>
    </w:p>
    <w:p>
      <w:r>
        <w:br w:type="page"/>
      </w:r>
    </w:p>
    <w:p>
      <w:pPr>
        <w:pStyle w:val="Heading1"/>
      </w:pPr>
      <w:r>
        <w:t>Abstract</w:t>
      </w:r>
    </w:p>
    <w:p>
      <w:r>
        <w:t>Cloud resources can incur costs even when they are underused or exceed planned budgets. FinOps applies financial accountability and operational measurement to cloud consumption, while cost observability makes spending visible by service, resource, and time period. This project demonstrates a small cost-observability workflow using a CSV billing dataset and Python. The program aggregates cost by service, compares resource costs with illustrative budgets, flags budget overruns, identifies resources marked as idle, and generates an HTML dashboard. The demonstration is intentionally local and uses synthetic data, so it does not require a paid cloud account or access to production billing. It proves the data-processing and alerting concept rather than making claims about real cloud spend. The report frames the problem, describes the architecture and procedure, compares cost observability with conventional manual review, discusses limitations, and outlines a responsible adoption path. Before using such recommendations in production, teams must validate billing exports, resource ownership, workload criticality, allocation rules, and the consequences of any proposed change.</w:t>
      </w:r>
    </w:p>
    <w:p>
      <w:pPr>
        <w:pStyle w:val="Heading1"/>
      </w:pPr>
      <w:r>
        <w:t>1. Introduction and Problem Statement</w:t>
      </w:r>
    </w:p>
    <w:p>
      <w:r>
        <w:t>Cloud platforms make it easy to create compute, storage, database, and networking resources. This flexibility can also make spending difficult to understand: charges are distributed across services, usage varies over time, and resources can remain idle or exceed a budget. A periodic manual review may find problems late and may not clearly connect costs to an owner or service.</w:t>
      </w:r>
    </w:p>
    <w:p>
      <w:r>
        <w:t>FinOps and cloud cost observability address this visibility and accountability gap by turning cost into a measurable operational signal. This project builds a lightweight proof of concept that imports billing-like records, aggregates spending, compares it against budgets, and highlights potential waste. The chosen topic appears in the Operations track of the supplied Experiment X manual.</w:t>
      </w:r>
    </w:p>
    <w:p>
      <w:r>
        <w:t>Aim: explore an emerging operational practice, build a working demonstration, and critically compare it with conventional approaches.</w:t>
      </w:r>
    </w:p>
    <w:p>
      <w:pPr>
        <w:pStyle w:val="Heading1"/>
      </w:pPr>
      <w:r>
        <w:t>2. Literature Survey</w:t>
      </w:r>
    </w:p>
    <w:p>
      <w:r>
        <w:t>The FinOps Foundation defines FinOps as an operational framework and cultural practice that maximizes business value from cloud through collaboration among engineering, finance, and business teams [1]. Its framework describes capabilities such as understanding cloud usage and cost, quantifying business value, and optimizing cloud usage [2]. AWS Cost Explorer documentation describes cost and usage analysis and filtering/grouping of cloud spending [3]. AWS Budgets documents budget thresholds and alerts for monitoring spend or usage [4]. Google Cloud's cost management documentation describes cost reports and budget notifications [5]. Microsoft Cost Management documentation covers analyzing costs and configuring budgets and alerts [6]. The CNCF FinOps resources discuss cost management practices in cloud-native environments [7].</w:t>
      </w:r>
    </w:p>
    <w:p>
      <w:r>
        <w:t>These references establish the broader practice and examples of vendor-specific tooling. The demonstration here is not a cloud-provider integration: it models a subset of these capabilities using a local CSV and a Python program.</w:t>
      </w:r>
    </w:p>
    <w:p>
      <w:pPr>
        <w:pStyle w:val="Heading1"/>
      </w:pPr>
      <w:r>
        <w:t>3. Architecture and Principle</w:t>
      </w:r>
    </w:p>
    <w:p>
      <w:r>
        <w:t>The prototype has four components: (1) a CSV file containing date, service, resource, cost, budget, utilization, and idle indicator; (2) a Python processor that reads the file and aggregates spend; (3) rule-based checks that flag cost greater than budget and records marked idle; and (4) outputs consisting of a terminal summary, service-level CSV summary, and HTML dashboard.</w:t>
      </w:r>
    </w:p>
    <w:p>
      <w:r>
        <w:t>Flow: billing-like records → CSV parser → aggregation and budget checks → alerts and idle candidates → dashboard and summary CSV. In a real deployment, the input would be an authorized export or billing API feed, and results would need tags, owners, currency, billing-period boundaries, and access controls.</w:t>
      </w:r>
    </w:p>
    <w:p>
      <w:pPr>
        <w:pStyle w:val="Heading1"/>
      </w:pPr>
      <w:r>
        <w:t>4. Demonstration Setup and Procedure</w:t>
      </w:r>
    </w:p>
    <w:p>
      <w:r>
        <w:t>Requirements: Python 3.9 or later; no external libraries are needed. From the extracted project folder, run `python demo/finops_dashboard.py`. The script reads `data/sample_billing.csv`, calculates total spend and total budget, computes variance, groups cost by service, flags individual records whose cost exceeds the illustrative budget, and lists resources explicitly marked idle. It generates `demo/finops_summary.csv` and `demo/finops_dashboard.html`; open the HTML file in a browser.</w:t>
      </w:r>
    </w:p>
    <w:p>
      <w:r>
        <w:t>The included dataset is synthetic and contains eight resource records. The output should be used as a reproducible demonstration, not represented as live cloud billing or a measured production saving. Record the actual run date, screenshot the terminal output and dashboard, and include those screenshots if required.</w:t>
      </w:r>
    </w:p>
    <w:p>
      <w:pPr>
        <w:pStyle w:val="Heading1"/>
      </w:pPr>
      <w:r>
        <w:t>5. Observation and Results</w:t>
      </w:r>
    </w:p>
    <w:p>
      <w:r>
        <w:t>The program completed successfully in the provided run. It processed 8 resource records, aggregated cost by service, reported budget alerts, listed idle-resource candidates, and generated both output files. Using the sample data, the total illustrative cost is $445.25 and the combined illustrative budget is $455.00, giving a variance of -$9.75 (approximately -2.1%). These values are computed from the included synthetic dataset, not from an actual cloud account.</w:t>
      </w:r>
    </w:p>
    <w:p>
      <w:r>
        <w:t>Interpretation: a positive overall variance would indicate aggregate spending above the budget, while a resource-level alert identifies a record whose cost exceeds its configured budget. An idle flag is a review prompt only; it does not prove that a resource is safe to stop or delete.</w:t>
      </w:r>
    </w:p>
    <w:p>
      <w:pPr>
        <w:pStyle w:val="Heading1"/>
      </w:pPr>
      <w:r>
        <w:t>6. Comparative Analysis</w:t>
      </w:r>
    </w:p>
    <w:tbl>
      <w:tblPr>
        <w:tblStyle w:val="TableGrid"/>
        <w:tblW w:type="auto" w:w="0"/>
        <w:tblLook w:firstColumn="1" w:firstRow="1" w:lastColumn="0" w:lastRow="0" w:noHBand="0" w:noVBand="1" w:val="04A0"/>
      </w:tblPr>
      <w:tblGrid>
        <w:gridCol w:w="3408"/>
        <w:gridCol w:w="3408"/>
        <w:gridCol w:w="3408"/>
      </w:tblGrid>
      <w:tr>
        <w:tc>
          <w:tcPr>
            <w:tcW w:type="dxa" w:w="3408"/>
          </w:tcPr>
          <w:p>
            <w:r>
              <w:rPr>
                <w:sz w:val="15"/>
              </w:rPr>
              <w:t>Dimension</w:t>
            </w:r>
          </w:p>
        </w:tc>
        <w:tc>
          <w:tcPr>
            <w:tcW w:type="dxa" w:w="3408"/>
          </w:tcPr>
          <w:p>
            <w:r>
              <w:rPr>
                <w:sz w:val="15"/>
              </w:rPr>
              <w:t>Conventional/manual approach</w:t>
            </w:r>
          </w:p>
        </w:tc>
        <w:tc>
          <w:tcPr>
            <w:tcW w:type="dxa" w:w="3408"/>
          </w:tcPr>
          <w:p>
            <w:r>
              <w:rPr>
                <w:sz w:val="15"/>
              </w:rPr>
              <w:t>FinOps cost observability</w:t>
            </w:r>
          </w:p>
        </w:tc>
      </w:tr>
      <w:tr>
        <w:tc>
          <w:tcPr>
            <w:tcW w:type="dxa" w:w="3408"/>
          </w:tcPr>
          <w:p>
            <w:r>
              <w:rPr>
                <w:sz w:val="15"/>
              </w:rPr>
              <w:t>Cost visibility</w:t>
            </w:r>
          </w:p>
        </w:tc>
        <w:tc>
          <w:tcPr>
            <w:tcW w:type="dxa" w:w="3408"/>
          </w:tcPr>
          <w:p>
            <w:r>
              <w:rPr>
                <w:sz w:val="15"/>
              </w:rPr>
              <w:t>Periodic invoice review or manual spreadsheet analysis.</w:t>
            </w:r>
          </w:p>
        </w:tc>
        <w:tc>
          <w:tcPr>
            <w:tcW w:type="dxa" w:w="3408"/>
          </w:tcPr>
          <w:p>
            <w:r>
              <w:rPr>
                <w:sz w:val="15"/>
              </w:rPr>
              <w:t>Repeatable aggregation by service/resource from a structured export.</w:t>
            </w:r>
          </w:p>
        </w:tc>
      </w:tr>
      <w:tr>
        <w:tc>
          <w:tcPr>
            <w:tcW w:type="dxa" w:w="3408"/>
          </w:tcPr>
          <w:p>
            <w:r>
              <w:rPr>
                <w:sz w:val="15"/>
              </w:rPr>
              <w:t>Alert trigger</w:t>
            </w:r>
          </w:p>
        </w:tc>
        <w:tc>
          <w:tcPr>
            <w:tcW w:type="dxa" w:w="3408"/>
          </w:tcPr>
          <w:p>
            <w:r>
              <w:rPr>
                <w:sz w:val="15"/>
              </w:rPr>
              <w:t>Analyst notices overspend during review.</w:t>
            </w:r>
          </w:p>
        </w:tc>
        <w:tc>
          <w:tcPr>
            <w:tcW w:type="dxa" w:w="3408"/>
          </w:tcPr>
          <w:p>
            <w:r>
              <w:rPr>
                <w:sz w:val="15"/>
              </w:rPr>
              <w:t>Rule flags resource cost above budget; production systems can send threshold alerts.</w:t>
            </w:r>
          </w:p>
        </w:tc>
      </w:tr>
      <w:tr>
        <w:tc>
          <w:tcPr>
            <w:tcW w:type="dxa" w:w="3408"/>
          </w:tcPr>
          <w:p>
            <w:r>
              <w:rPr>
                <w:sz w:val="15"/>
              </w:rPr>
              <w:t>Waste identification</w:t>
            </w:r>
          </w:p>
        </w:tc>
        <w:tc>
          <w:tcPr>
            <w:tcW w:type="dxa" w:w="3408"/>
          </w:tcPr>
          <w:p>
            <w:r>
              <w:rPr>
                <w:sz w:val="15"/>
              </w:rPr>
              <w:t>Depends on manual investigation and context.</w:t>
            </w:r>
          </w:p>
        </w:tc>
        <w:tc>
          <w:tcPr>
            <w:tcW w:type="dxa" w:w="3408"/>
          </w:tcPr>
          <w:p>
            <w:r>
              <w:rPr>
                <w:sz w:val="15"/>
              </w:rPr>
              <w:t>Highlights records labelled idle for human review; actual utilization integration is needed.</w:t>
            </w:r>
          </w:p>
        </w:tc>
      </w:tr>
      <w:tr>
        <w:tc>
          <w:tcPr>
            <w:tcW w:type="dxa" w:w="3408"/>
          </w:tcPr>
          <w:p>
            <w:r>
              <w:rPr>
                <w:sz w:val="15"/>
              </w:rPr>
              <w:t>Time to first result</w:t>
            </w:r>
          </w:p>
        </w:tc>
        <w:tc>
          <w:tcPr>
            <w:tcW w:type="dxa" w:w="3408"/>
          </w:tcPr>
          <w:p>
            <w:r>
              <w:rPr>
                <w:sz w:val="15"/>
              </w:rPr>
              <w:t>Depends on existing reporting process; unknown from supplied lab details.</w:t>
            </w:r>
          </w:p>
        </w:tc>
        <w:tc>
          <w:tcPr>
            <w:tcW w:type="dxa" w:w="3408"/>
          </w:tcPr>
          <w:p>
            <w:r>
              <w:rPr>
                <w:sz w:val="15"/>
              </w:rPr>
              <w:t>Script generates summary and HTML dashboard in a local run; record actual timing if needed.</w:t>
            </w:r>
          </w:p>
        </w:tc>
      </w:tr>
      <w:tr>
        <w:tc>
          <w:tcPr>
            <w:tcW w:type="dxa" w:w="3408"/>
          </w:tcPr>
          <w:p>
            <w:r>
              <w:rPr>
                <w:sz w:val="15"/>
              </w:rPr>
              <w:t>Monitoring target</w:t>
            </w:r>
          </w:p>
        </w:tc>
        <w:tc>
          <w:tcPr>
            <w:tcW w:type="dxa" w:w="3408"/>
          </w:tcPr>
          <w:p>
            <w:r>
              <w:rPr>
                <w:sz w:val="15"/>
              </w:rPr>
              <w:t>Infrastructure health/service metrics may not expose financial impact directly.</w:t>
            </w:r>
          </w:p>
        </w:tc>
        <w:tc>
          <w:tcPr>
            <w:tcW w:type="dxa" w:w="3408"/>
          </w:tcPr>
          <w:p>
            <w:r>
              <w:rPr>
                <w:sz w:val="15"/>
              </w:rPr>
              <w:t>Spend, budget variance, cost allocation and utilization/cost relationship.</w:t>
            </w:r>
          </w:p>
        </w:tc>
      </w:tr>
      <w:tr>
        <w:tc>
          <w:tcPr>
            <w:tcW w:type="dxa" w:w="3408"/>
          </w:tcPr>
          <w:p>
            <w:r>
              <w:rPr>
                <w:sz w:val="15"/>
              </w:rPr>
              <w:t>Instrumentation effort</w:t>
            </w:r>
          </w:p>
        </w:tc>
        <w:tc>
          <w:tcPr>
            <w:tcW w:type="dxa" w:w="3408"/>
          </w:tcPr>
          <w:p>
            <w:r>
              <w:rPr>
                <w:sz w:val="15"/>
              </w:rPr>
              <w:t>Manual exports and spreadsheet maintenance may be required.</w:t>
            </w:r>
          </w:p>
        </w:tc>
        <w:tc>
          <w:tcPr>
            <w:tcW w:type="dxa" w:w="3408"/>
          </w:tcPr>
          <w:p>
            <w:r>
              <w:rPr>
                <w:sz w:val="15"/>
              </w:rPr>
              <w:t>Prototype needs a CSV; production requires billing integration, tagging and data quality.</w:t>
            </w:r>
          </w:p>
        </w:tc>
      </w:tr>
      <w:tr>
        <w:tc>
          <w:tcPr>
            <w:tcW w:type="dxa" w:w="3408"/>
          </w:tcPr>
          <w:p>
            <w:r>
              <w:rPr>
                <w:sz w:val="15"/>
              </w:rPr>
              <w:t>Scaling approach</w:t>
            </w:r>
          </w:p>
        </w:tc>
        <w:tc>
          <w:tcPr>
            <w:tcW w:type="dxa" w:w="3408"/>
          </w:tcPr>
          <w:p>
            <w:r>
              <w:rPr>
                <w:sz w:val="15"/>
              </w:rPr>
              <w:t>Manual spreadsheet updates can become difficult at high volume.</w:t>
            </w:r>
          </w:p>
        </w:tc>
        <w:tc>
          <w:tcPr>
            <w:tcW w:type="dxa" w:w="3408"/>
          </w:tcPr>
          <w:p>
            <w:r>
              <w:rPr>
                <w:sz w:val="15"/>
              </w:rPr>
              <w:t>Can be extended to scheduled ingestion, databases, alerting and dashboards.</w:t>
            </w:r>
          </w:p>
        </w:tc>
      </w:tr>
      <w:tr>
        <w:tc>
          <w:tcPr>
            <w:tcW w:type="dxa" w:w="3408"/>
          </w:tcPr>
          <w:p>
            <w:r>
              <w:rPr>
                <w:sz w:val="15"/>
              </w:rPr>
              <w:t>Cost model</w:t>
            </w:r>
          </w:p>
        </w:tc>
        <w:tc>
          <w:tcPr>
            <w:tcW w:type="dxa" w:w="3408"/>
          </w:tcPr>
          <w:p>
            <w:r>
              <w:rPr>
                <w:sz w:val="15"/>
              </w:rPr>
              <w:t>Staff time and existing reporting tools.</w:t>
            </w:r>
          </w:p>
        </w:tc>
        <w:tc>
          <w:tcPr>
            <w:tcW w:type="dxa" w:w="3408"/>
          </w:tcPr>
          <w:p>
            <w:r>
              <w:rPr>
                <w:sz w:val="15"/>
              </w:rPr>
              <w:t>Prototype is local and dependency-free; production platform and engineering time may incur cost.</w:t>
            </w:r>
          </w:p>
        </w:tc>
      </w:tr>
      <w:tr>
        <w:tc>
          <w:tcPr>
            <w:tcW w:type="dxa" w:w="3408"/>
          </w:tcPr>
          <w:p>
            <w:r>
              <w:rPr>
                <w:sz w:val="15"/>
              </w:rPr>
              <w:t>Operational maturity</w:t>
            </w:r>
          </w:p>
        </w:tc>
        <w:tc>
          <w:tcPr>
            <w:tcW w:type="dxa" w:w="3408"/>
          </w:tcPr>
          <w:p>
            <w:r>
              <w:rPr>
                <w:sz w:val="15"/>
              </w:rPr>
              <w:t>Manual review is straightforward but reactive.</w:t>
            </w:r>
          </w:p>
        </w:tc>
        <w:tc>
          <w:tcPr>
            <w:tcW w:type="dxa" w:w="3408"/>
          </w:tcPr>
          <w:p>
            <w:r>
              <w:rPr>
                <w:sz w:val="15"/>
              </w:rPr>
              <w:t>FinOps is an established practice; quality depends on data, allocation and organizational adoption.</w:t>
            </w:r>
          </w:p>
        </w:tc>
      </w:tr>
      <w:tr>
        <w:tc>
          <w:tcPr>
            <w:tcW w:type="dxa" w:w="3408"/>
          </w:tcPr>
          <w:p>
            <w:r>
              <w:rPr>
                <w:sz w:val="15"/>
              </w:rPr>
              <w:t>Principal limitation</w:t>
            </w:r>
          </w:p>
        </w:tc>
        <w:tc>
          <w:tcPr>
            <w:tcW w:type="dxa" w:w="3408"/>
          </w:tcPr>
          <w:p>
            <w:r>
              <w:rPr>
                <w:sz w:val="15"/>
              </w:rPr>
              <w:t>Delayed discovery and inconsistent analysis.</w:t>
            </w:r>
          </w:p>
        </w:tc>
        <w:tc>
          <w:tcPr>
            <w:tcW w:type="dxa" w:w="3408"/>
          </w:tcPr>
          <w:p>
            <w:r>
              <w:rPr>
                <w:sz w:val="15"/>
              </w:rPr>
              <w:t>Bad tags, delayed billing data, false idle flags and incomplete cost allocation can mislead.</w:t>
            </w:r>
          </w:p>
        </w:tc>
      </w:tr>
    </w:tbl>
    <w:p>
      <w:r>
        <w:t>The uploaded manual says comparison entries should be supported by sources or measurements, and unknown details from Experiments I–IX should not be guessed. Adapt this table to your actual previous experiments.</w:t>
      </w:r>
    </w:p>
    <w:p>
      <w:pPr>
        <w:pStyle w:val="Heading1"/>
      </w:pPr>
      <w:r>
        <w:t>7. Limitations and Trade-offs</w:t>
      </w:r>
    </w:p>
    <w:p>
      <w:r>
        <w:t>First, the sample data is synthetic, so it demonstrates logic rather than real cloud savings. Second, a simple budget comparison can miss billing credits, taxes, shared resources, commitment discounts, currency conversion, and delayed usage charges. Third, an idle label is not sufficient evidence to shut down a resource: a low-utilization service may be critical, seasonal, or reserved for recovery. Fourth, cost allocation depends on accurate tags, ownership, and consistent service naming. Fifth, the prototype uses static rules and does not forecast future spend or provide anomaly detection. Finally, a production solution needs authentication, secure data handling, scheduled ingestion, alert routing, audit logs, and clear ownership.</w:t>
      </w:r>
    </w:p>
    <w:p>
      <w:pPr>
        <w:pStyle w:val="Heading1"/>
      </w:pPr>
      <w:r>
        <w:t>8. Adoption Outlook</w:t>
      </w:r>
    </w:p>
    <w:p>
      <w:r>
        <w:t>A cost-observability workflow is useful for organizations that need to assign spend to teams, identify budget deviations, and make cost optimization part of engineering operations. Adoption should begin with read-only reports and agreed budgets, then introduce alerts and human-reviewed recommendations. Only after validation should teams automate low-risk actions. Provider tools such as AWS Cost Explorer/Budgets, Google Cloud cost management, and Microsoft Cost Management can provide native billing data and alerting; the local prototype can serve as a teaching model or a starting point for analysis.</w:t>
      </w:r>
    </w:p>
    <w:p>
      <w:pPr>
        <w:pStyle w:val="Heading1"/>
      </w:pPr>
      <w:r>
        <w:t>9. Conclusion</w:t>
      </w:r>
    </w:p>
    <w:p>
      <w:r>
        <w:t>The project demonstrates a simple FinOps workflow: parse billing-like records, aggregate spend, compare costs with budgets, identify possible idle resources, and render the results in an HTML dashboard. It is easy to run locally and avoids cloud-account setup. Its primary limitation is that the included dataset is illustrative. A production-ready system would require reliable billing data, resource ownership and tagging, validated thresholds, and human review before taking action.</w:t>
      </w:r>
    </w:p>
    <w:p>
      <w:pPr>
        <w:pStyle w:val="Heading1"/>
      </w:pPr>
      <w:r>
        <w:t>References</w:t>
      </w:r>
    </w:p>
    <w:p>
      <w:r>
        <w:t>[1] FinOps Foundation, “What is FinOps?” https://www.finops.org/introduction/what-is-finops/ (accessed 26 Oct. 2026).</w:t>
      </w:r>
    </w:p>
    <w:p>
      <w:r>
        <w:t>[2] FinOps Foundation, “FinOps Framework.” https://www.finops.org/framework/ (accessed 26 Oct. 2026).</w:t>
      </w:r>
    </w:p>
    <w:p>
      <w:r>
        <w:t>[3] Amazon Web Services, “Analyzing your costs with AWS Cost Explorer.” https://docs.aws.amazon.com/cost-management/latest/userguide/ce-what-is.html (accessed 26 Oct. 2026).</w:t>
      </w:r>
    </w:p>
    <w:p>
      <w:r>
        <w:t>[4] Amazon Web Services, “Managing your costs with AWS Budgets.” https://docs.aws.amazon.com/cost-management/latest/userguide/budgets-managing-costs.html (accessed 26 Oct. 2026).</w:t>
      </w:r>
    </w:p>
    <w:p>
      <w:r>
        <w:t>[5] Google Cloud, “Cloud Billing reports and cost management.” https://cloud.google.com/billing/docs/how-to/reports (accessed 26 Oct. 2026).</w:t>
      </w:r>
    </w:p>
    <w:p>
      <w:r>
        <w:t>[6] Microsoft Learn, “What is Microsoft Cost Management?” https://learn.microsoft.com/en-us/azure/cost-management-billing/costs/overview-cost-management (accessed 26 Oct. 2026).</w:t>
      </w:r>
    </w:p>
    <w:p>
      <w:r>
        <w:t>[7] Cloud Native Computing Foundation, “FinOps resources.” https://www.cncf.io/ (accessed 26 Oct. 2026).</w:t>
      </w:r>
    </w:p>
    <w:p>
      <w:r>
        <w:t>Verify URLs and the instructor's source requirements before final submission; add peer-reviewed papers or recorded conference talks if required.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