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C8" w:rsidRPr="00604021" w:rsidRDefault="00604021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60402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УДК 331.08</w:t>
      </w:r>
    </w:p>
    <w:p w:rsidR="00D13D87" w:rsidRDefault="00D13D87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ar-SA"/>
        </w:rPr>
      </w:pPr>
    </w:p>
    <w:p w:rsidR="000605DB" w:rsidRPr="00D13D87" w:rsidRDefault="007D28C3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Выбор м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етод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AA74C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для модели 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моделирования и прогнозирования 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развития возобновляемой энергии </w:t>
      </w:r>
      <w:r w:rsidR="00D13D87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на примере ветрогенерации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по диффузионной модели распространения инноваций Басса</w:t>
      </w:r>
      <w:r w:rsidR="00235CDE" w:rsidRPr="00235CD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на языке программирования </w:t>
      </w:r>
      <w:proofErr w:type="spellStart"/>
      <w:r w:rsidR="00235CDE" w:rsidRPr="00235CD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.</w:t>
      </w:r>
    </w:p>
    <w:p w:rsidR="008C6DC8" w:rsidRPr="00B9187C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Никифоров М.М.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Куделин А.Г. (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nikiforov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1601@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gmail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com</w:t>
      </w:r>
      <w:r w:rsidRPr="00B9187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</w:p>
    <w:p w:rsidR="008C6DC8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Ухтинский государственный технический университет,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г.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Ухта</w:t>
      </w:r>
      <w:r w:rsidRPr="00CA6D6A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, 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Россия</w:t>
      </w:r>
    </w:p>
    <w:p w:rsidR="008C6DC8" w:rsidRPr="005B0246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</w:p>
    <w:p w:rsidR="005367BF" w:rsidRDefault="005367B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235CDE" w:rsidRDefault="00235CD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Аннотация</w:t>
      </w:r>
    </w:p>
    <w:p w:rsidR="0041607F" w:rsidRDefault="0041607F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Описание проблемы</w:t>
      </w:r>
    </w:p>
    <w:p w:rsidR="00235CDE" w:rsidRPr="00AA74CE" w:rsidRDefault="00235CDE" w:rsidP="00AA74C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Выбор языка программирования</w:t>
      </w:r>
      <w:r w:rsidR="00AA74CE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 библиотек</w:t>
      </w:r>
    </w:p>
    <w:p w:rsidR="00235CDE" w:rsidRDefault="00235CD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Описание подхода к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прогназированию</w:t>
      </w:r>
      <w:proofErr w:type="spellEnd"/>
    </w:p>
    <w:p w:rsidR="00235CDE" w:rsidRDefault="00AA74C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Описание применяемых методов </w:t>
      </w:r>
    </w:p>
    <w:p w:rsidR="00AA74CE" w:rsidRDefault="00AA74C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Выбор наилучшего метода</w:t>
      </w:r>
    </w:p>
    <w:p w:rsidR="00AA74CE" w:rsidRPr="00235CDE" w:rsidRDefault="00AA74C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Заключение</w:t>
      </w:r>
    </w:p>
    <w:p w:rsidR="00235CDE" w:rsidRDefault="00235CDE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AA74CE" w:rsidRDefault="00AA74CE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При выборе модели моделирования и прогнозирования </w:t>
      </w:r>
      <w:r w:rsid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на основе </w:t>
      </w:r>
      <w:r w:rsid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модели Басса</w:t>
      </w:r>
      <w:r w:rsid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существует не мало методов для 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осуществления её работы</w:t>
      </w:r>
      <w:r w:rsidR="00BB585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Каждый из методов является оптимальн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ым в зависимости от данных, с которыми работает модель</w:t>
      </w:r>
      <w:r w:rsidR="00BB585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Необходимо исследовать методы, которые можно применить к выбранной модели и выбрать тот метод, который даёт самое оптимальное решение.</w:t>
      </w:r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В качестве модели Басса,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б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ыло исп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ользовано следующее уравнение [4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]:</w:t>
      </w:r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=p*m+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q-p</m:t>
              </m:r>
            </m:e>
          </m:d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Где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 S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(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) – продажи в период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x=1</m:t>
            </m:r>
          </m:sub>
          <m:sup>
            <m:r>
              <w:rPr>
                <w:rFonts w:ascii="Cambria Math" w:hAnsi="Cambria Math"/>
              </w:rPr>
              <m:t>x=t-1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– совокупные продажи за период [0   ... 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- 1];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p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коэффициент инновации,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q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коэффициент имитации,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m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общее количество всех покупок.</w:t>
      </w:r>
    </w:p>
    <w:p w:rsidR="00F12051" w:rsidRDefault="008B3B23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Модель Басса описывает продажи за период, которые являю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тся производной от ветрогенерации за прошлый период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Определив продажи за период, мы высчитываем текущую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ветрогенерацию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Таким образом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определив параметры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695E98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695E98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так, что смоделированные данные будут максимально равны фактическим, мы в дальнейшем можем давать прогноз на необходимые промежутки времени.</w:t>
      </w:r>
    </w:p>
    <w:p w:rsidR="00AA74CE" w:rsidRDefault="0041607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Для реализации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моделирования и прогнозирования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был выбран язык программирования –</w:t>
      </w:r>
      <w:r w:rsidRP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python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являющийся одним из основных</w:t>
      </w:r>
      <w:r w:rsid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используемых в научных вычислениях и имеющий множество библиотек, специализированных для работы с математическими </w:t>
      </w:r>
      <w:r w:rsidR="004A4A1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вычислениями. Для решения поставленной </w:t>
      </w:r>
      <w:r w:rsid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задачи, были выбраны следующие библиотеки:</w:t>
      </w:r>
    </w:p>
    <w:p w:rsidR="00DF36EF" w:rsidRPr="00F12051" w:rsidRDefault="00DF36E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numpy</w:t>
      </w:r>
      <w:proofErr w:type="spellEnd"/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Numerical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Python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для работы с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массивами, матрицами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;</w:t>
      </w:r>
    </w:p>
    <w:p w:rsidR="00DF36EF" w:rsidRPr="00F12051" w:rsidRDefault="00DF36E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pandas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для работы с </w:t>
      </w:r>
      <w:proofErr w:type="spellStart"/>
      <w:r w:rsidR="00F12051"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DataFrame</w:t>
      </w:r>
      <w:proofErr w:type="spellEnd"/>
      <w:r w:rsidR="00F12051"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;</w:t>
      </w:r>
    </w:p>
    <w:p w:rsidR="00DF36EF" w:rsidRDefault="00F12051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scipy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предназначенная для выполнения научных и инженерных расчётов.</w:t>
      </w:r>
    </w:p>
    <w:p w:rsidR="00F12051" w:rsidRDefault="00FC0D28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Функция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minimize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(м</w:t>
      </w:r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инимизация скалярной функции одной или нескольких переменных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модуля </w:t>
      </w:r>
      <w:proofErr w:type="spellStart"/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scipy.optimize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отлично подойдет для оптимального подбора параметров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1F2E4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так, что полученные данные будут максимально приближены к фактическим. Данная функция может минимизировать параметры функции разными методами: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Nelder</w:t>
      </w:r>
      <w:proofErr w:type="spellEnd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-Mead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Powell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CG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BFGS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Newton-CG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L-BFGS-B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lastRenderedPageBreak/>
        <w:t>TNC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COBYLA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SLSQP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constr</w:t>
      </w:r>
      <w:proofErr w:type="spellEnd"/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dogleg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</w:t>
      </w: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ncg</w:t>
      </w:r>
      <w:proofErr w:type="spellEnd"/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trust-exact</w:t>
      </w:r>
    </w:p>
    <w:p w:rsidR="00AA74CE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</w:t>
      </w: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krylov</w:t>
      </w:r>
      <w:proofErr w:type="spellEnd"/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Рассмотрим каждый из методов в отдельности.</w:t>
      </w:r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spellStart"/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Nelder</w:t>
      </w:r>
      <w:proofErr w:type="spellEnd"/>
      <w:r w:rsidRPr="0059680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Mead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также известный как метод деформируемого многогранника и симплекс-метод, — метод безусловной оптимизации функции от нескольких переменных, не использующий производной (точнее — градиентов) функции, а поэтому легко применим к негладким и/или зашумлённым функциям.</w:t>
      </w:r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Powell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CG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BFGS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Newton-CG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L-BFGS-B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TNC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COBYLA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SLSQP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proofErr w:type="gram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constr</w:t>
      </w:r>
      <w:proofErr w:type="spellEnd"/>
      <w:proofErr w:type="gramEnd"/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proofErr w:type="gram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dogleg</w:t>
      </w:r>
      <w:proofErr w:type="gramEnd"/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proofErr w:type="gram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</w:t>
      </w: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ncg</w:t>
      </w:r>
      <w:proofErr w:type="spellEnd"/>
      <w:proofErr w:type="gramEnd"/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proofErr w:type="gram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trust-exact</w:t>
      </w:r>
      <w:proofErr w:type="gramEnd"/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– </w:t>
      </w:r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gram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</w:t>
      </w: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krylov</w:t>
      </w:r>
      <w:proofErr w:type="spellEnd"/>
      <w:proofErr w:type="gram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</w:p>
    <w:p w:rsidR="00596808" w:rsidRPr="00596808" w:rsidRDefault="00596808" w:rsidP="0059680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bookmarkStart w:id="0" w:name="_GoBack"/>
      <w:bookmarkEnd w:id="0"/>
    </w:p>
    <w:p w:rsidR="00596808" w:rsidRP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</w:p>
    <w:p w:rsidR="00596808" w:rsidRPr="00596808" w:rsidRDefault="00596808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</w:p>
    <w:p w:rsidR="001F2E45" w:rsidRDefault="00596808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hyperlink r:id="rId5" w:history="1">
        <w:r w:rsidRPr="006333E3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val="en-US" w:eastAsia="ar-SA"/>
          </w:rPr>
          <w:t>https://habr.com/ru/post/439288/</w:t>
        </w:r>
      </w:hyperlink>
    </w:p>
    <w:p w:rsidR="00596808" w:rsidRPr="00596808" w:rsidRDefault="00596808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</w:p>
    <w:p w:rsidR="008C6DC8" w:rsidRPr="00A51327" w:rsidRDefault="008C6DC8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Нахождение частных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проявлений этого общего закона, т. е. установление связей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между различными явлениями, – одна из основных задач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всякой науки…</w:t>
      </w:r>
    </w:p>
    <w:p w:rsidR="008C6DC8" w:rsidRPr="008A139B" w:rsidRDefault="008C6DC8" w:rsidP="008C6DC8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>Для выполнения данной работы использовались следующие геофизические параметры (таблица 1):</w:t>
      </w:r>
    </w:p>
    <w:p w:rsidR="008C6DC8" w:rsidRPr="008A139B" w:rsidRDefault="008C6DC8" w:rsidP="008C6DC8">
      <w:pPr>
        <w:spacing w:before="120" w:after="0" w:line="23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8A139B">
        <w:rPr>
          <w:rFonts w:ascii="Calibri" w:eastAsia="Times New Roman" w:hAnsi="Calibri" w:cs="Times New Roman"/>
        </w:rPr>
        <w:t xml:space="preserve"> - 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>Перечень геофизических параметров</w:t>
      </w:r>
    </w:p>
    <w:tbl>
      <w:tblPr>
        <w:tblStyle w:val="5"/>
        <w:tblW w:w="9956" w:type="dxa"/>
        <w:jc w:val="center"/>
        <w:tblLook w:val="01E0" w:firstRow="1" w:lastRow="1" w:firstColumn="1" w:lastColumn="1" w:noHBand="0" w:noVBand="0"/>
      </w:tblPr>
      <w:tblGrid>
        <w:gridCol w:w="1026"/>
        <w:gridCol w:w="1559"/>
        <w:gridCol w:w="1134"/>
        <w:gridCol w:w="6237"/>
      </w:tblGrid>
      <w:tr w:rsidR="008C6DC8" w:rsidRPr="008A139B" w:rsidTr="0011720B">
        <w:trPr>
          <w:trHeight w:val="363"/>
          <w:jc w:val="center"/>
        </w:trPr>
        <w:tc>
          <w:tcPr>
            <w:tcW w:w="1026" w:type="dxa"/>
            <w:vAlign w:val="center"/>
          </w:tcPr>
          <w:p w:rsidR="008C6DC8" w:rsidRPr="008A139B" w:rsidRDefault="008C6DC8" w:rsidP="0011720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№ п/п</w:t>
            </w:r>
          </w:p>
        </w:tc>
        <w:tc>
          <w:tcPr>
            <w:tcW w:w="1559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Параметр</w:t>
            </w:r>
            <w:proofErr w:type="spellEnd"/>
          </w:p>
        </w:tc>
        <w:tc>
          <w:tcPr>
            <w:tcW w:w="1134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Ед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изм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6237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C6DC8" w:rsidRPr="008A139B" w:rsidTr="0011720B">
        <w:trPr>
          <w:jc w:val="center"/>
        </w:trPr>
        <w:tc>
          <w:tcPr>
            <w:tcW w:w="1026" w:type="dxa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ПЗ</w:t>
            </w:r>
          </w:p>
        </w:tc>
        <w:tc>
          <w:tcPr>
            <w:tcW w:w="1134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омм</w:t>
            </w:r>
            <w:proofErr w:type="spellEnd"/>
          </w:p>
        </w:tc>
        <w:tc>
          <w:tcPr>
            <w:tcW w:w="6237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Кажущееся сопротивление, измеренное потенциал-зондом</w:t>
            </w:r>
          </w:p>
        </w:tc>
      </w:tr>
      <w:tr w:rsidR="008C6DC8" w:rsidRPr="008A139B" w:rsidTr="0011720B">
        <w:trPr>
          <w:jc w:val="center"/>
        </w:trPr>
        <w:tc>
          <w:tcPr>
            <w:tcW w:w="1026" w:type="dxa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ПС</w:t>
            </w:r>
          </w:p>
        </w:tc>
        <w:tc>
          <w:tcPr>
            <w:tcW w:w="1134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мВ</w:t>
            </w:r>
            <w:proofErr w:type="spellEnd"/>
          </w:p>
        </w:tc>
        <w:tc>
          <w:tcPr>
            <w:tcW w:w="6237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Метод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самопроизвольной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поляризации</w:t>
            </w:r>
            <w:proofErr w:type="spellEnd"/>
          </w:p>
        </w:tc>
      </w:tr>
    </w:tbl>
    <w:p w:rsidR="008C6DC8" w:rsidRPr="008A139B" w:rsidRDefault="008C6DC8" w:rsidP="008C6DC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* - если отсутствует </w:t>
      </w:r>
      <w:proofErr w:type="spellStart"/>
      <w:r w:rsidRPr="008A139B">
        <w:rPr>
          <w:rFonts w:ascii="Times New Roman" w:eastAsia="Times New Roman" w:hAnsi="Times New Roman" w:cs="Times New Roman"/>
          <w:sz w:val="24"/>
          <w:szCs w:val="24"/>
        </w:rPr>
        <w:t>ННКб</w:t>
      </w:r>
      <w:proofErr w:type="spellEnd"/>
      <w:r w:rsidRPr="008A139B">
        <w:rPr>
          <w:rFonts w:ascii="Times New Roman" w:eastAsia="Times New Roman" w:hAnsi="Times New Roman" w:cs="Times New Roman"/>
          <w:sz w:val="24"/>
          <w:szCs w:val="24"/>
        </w:rPr>
        <w:t>, то используется НГК и наоборот</w:t>
      </w:r>
    </w:p>
    <w:p w:rsidR="008C6DC8" w:rsidRPr="008A139B" w:rsidRDefault="008C6DC8" w:rsidP="008C6DC8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В рамках исследований выполнено 15 экспериментов при различных термобарических условиях, соответствующих различным зонам </w:t>
      </w:r>
      <w:proofErr w:type="spellStart"/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>пермо</w:t>
      </w:r>
      <w:proofErr w:type="spellEnd"/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-карбоновой залежи Усинского месторождения (таблица 3). </w:t>
      </w:r>
      <w:r w:rsidRPr="008A139B">
        <w:rPr>
          <w:rFonts w:ascii="Times New Roman" w:eastAsia="Calibri" w:hAnsi="Times New Roman" w:cs="Times New Roman"/>
          <w:spacing w:val="-6"/>
          <w:sz w:val="24"/>
          <w:szCs w:val="24"/>
        </w:rPr>
        <w:t>Результаты выполненных экспериментов приведены на рисунках 5 и 6.</w:t>
      </w:r>
    </w:p>
    <w:p w:rsidR="008C6DC8" w:rsidRPr="008A139B" w:rsidRDefault="008C6DC8" w:rsidP="008C6DC8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1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53F7DD" wp14:editId="7B58C52E">
            <wp:extent cx="5148330" cy="2254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. 3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1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19" cy="23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C8" w:rsidRPr="008A139B" w:rsidRDefault="008C6DC8" w:rsidP="008C6DC8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) влияние агента вытеснения, </w:t>
      </w:r>
      <w:r w:rsidRPr="008A139B">
        <w:rPr>
          <w:rFonts w:ascii="Times New Roman" w:eastAsia="Times New Roman" w:hAnsi="Times New Roman" w:cs="Times New Roman"/>
          <w:i/>
          <w:sz w:val="24"/>
          <w:szCs w:val="24"/>
        </w:rPr>
        <w:t>б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>) влияние газопроницаемости</w:t>
      </w:r>
    </w:p>
    <w:p w:rsidR="008C6DC8" w:rsidRPr="008A139B" w:rsidRDefault="008C6DC8" w:rsidP="008C6DC8">
      <w:p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 – Сопоста</w:t>
      </w:r>
      <w:r>
        <w:rPr>
          <w:rFonts w:ascii="Times New Roman" w:eastAsia="Times New Roman" w:hAnsi="Times New Roman" w:cs="Times New Roman"/>
          <w:sz w:val="24"/>
          <w:szCs w:val="24"/>
        </w:rPr>
        <w:t>вление коэффициентов вытеснения</w:t>
      </w:r>
    </w:p>
    <w:p w:rsidR="008C6DC8" w:rsidRPr="008A139B" w:rsidRDefault="008C6DC8" w:rsidP="008C6DC8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В рамках исследований выполнено </w:t>
      </w:r>
      <w:r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>….</w:t>
      </w:r>
    </w:p>
    <w:p w:rsid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br/>
      </w:r>
      <w:r w:rsidRPr="00D6033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Библиографический список:</w:t>
      </w:r>
    </w:p>
    <w:p w:rsidR="0041607F" w:rsidRDefault="0041607F" w:rsidP="0041607F">
      <w:pPr>
        <w:widowControl w:val="0"/>
        <w:spacing w:after="0" w:line="240" w:lineRule="auto"/>
        <w:ind w:left="640" w:hanging="64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[4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]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ab/>
        <w:t>F.M. Bass, Bass 1969 New Prod Growth Model.pdf, Manage. Sci. 15 (1969) 215–227.</w:t>
      </w:r>
    </w:p>
    <w:p w:rsidR="0041607F" w:rsidRPr="0041607F" w:rsidRDefault="0041607F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Анализ эффективности применения долот на нефтегазовых скважинах в пределах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непского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свода / Р.У.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Сираев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Р.Х.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Акчурин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В.В. Че, А.Г. Вахромеев // ВЕСТНИК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ИрГТУ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. – 2013. - №5. – с.72-77. Текст: непосредственный.</w:t>
      </w: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Классификация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PDC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и алмазных долот и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бурголовок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по коду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IADC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[Электронный ресурс]. - </w:t>
      </w:r>
      <w:hyperlink r:id="rId8" w:history="1">
        <w:r w:rsidRPr="000605DB">
          <w:rPr>
            <w:rStyle w:val="a4"/>
            <w:rFonts w:ascii="Times New Roman" w:eastAsia="Calibri" w:hAnsi="Times New Roman" w:cs="Times New Roman"/>
            <w:color w:val="FF0000"/>
            <w:sz w:val="24"/>
            <w:szCs w:val="24"/>
          </w:rPr>
          <w:t>http://burintekh.ru/upload/iblock/783/783d2b431d89083ed5a23289ffff0e75.pdf</w:t>
        </w:r>
      </w:hyperlink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(дата обращения).</w:t>
      </w:r>
    </w:p>
    <w:p w:rsidR="008C6DC8" w:rsidRPr="000605DB" w:rsidRDefault="008C6DC8" w:rsidP="008C6DC8">
      <w:pPr>
        <w:tabs>
          <w:tab w:val="left" w:pos="284"/>
        </w:tabs>
        <w:spacing w:after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8C6DC8" w:rsidRPr="000605DB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</w:pPr>
      <w:r w:rsidRPr="000605DB"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  <w:t>Не более 5 позиций.</w:t>
      </w:r>
    </w:p>
    <w:p w:rsid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8C6DC8" w:rsidRDefault="008C6DC8">
      <w:pPr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br w:type="page"/>
      </w:r>
    </w:p>
    <w:p w:rsidR="008C6DC8" w:rsidRP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8C6DC8" w:rsidRDefault="008C6DC8" w:rsidP="004C3939">
      <w:pPr>
        <w:pStyle w:val="a3"/>
        <w:rPr>
          <w:sz w:val="28"/>
          <w:szCs w:val="28"/>
        </w:rPr>
      </w:pP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proofErr w:type="spellStart"/>
      <w:r w:rsidRPr="004C3939">
        <w:rPr>
          <w:sz w:val="28"/>
          <w:szCs w:val="28"/>
          <w:lang w:val="en-US"/>
        </w:rPr>
        <w:t>Nelder</w:t>
      </w:r>
      <w:proofErr w:type="spellEnd"/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Mead</w:t>
      </w:r>
      <w:r w:rsidRPr="004C3939">
        <w:rPr>
          <w:sz w:val="28"/>
          <w:szCs w:val="28"/>
        </w:rPr>
        <w:t xml:space="preserve">’ </w:t>
      </w:r>
      <w:hyperlink r:id="rId9" w:anchor="optimize-minimize-neldermead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 xml:space="preserve">Минимизация скалярной функции одной или нескольких переменных с использованием алгоритма </w:t>
      </w:r>
      <w:proofErr w:type="spellStart"/>
      <w:r w:rsidRPr="004C3939">
        <w:rPr>
          <w:sz w:val="28"/>
          <w:szCs w:val="28"/>
        </w:rPr>
        <w:t>Нелдера-Мида</w:t>
      </w:r>
      <w:proofErr w:type="spellEnd"/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Powell</w:t>
      </w:r>
      <w:r w:rsidRPr="004C3939">
        <w:rPr>
          <w:sz w:val="28"/>
          <w:szCs w:val="28"/>
        </w:rPr>
        <w:t xml:space="preserve">’ </w:t>
      </w:r>
      <w:hyperlink r:id="rId10" w:anchor="optimize-minimize-powell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модифицированного алгоритма Пауэлла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CG</w:t>
      </w:r>
      <w:r w:rsidRPr="004C3939">
        <w:rPr>
          <w:sz w:val="28"/>
          <w:szCs w:val="28"/>
        </w:rPr>
        <w:t xml:space="preserve">’ </w:t>
      </w:r>
      <w:hyperlink r:id="rId11" w:anchor="optimize-minimize-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сопряженных градиентов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 xml:space="preserve">’ </w:t>
      </w:r>
      <w:hyperlink r:id="rId12" w:anchor="optimize-minimize-bfgs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BFGS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Newton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CG</w:t>
      </w:r>
      <w:r w:rsidRPr="004C3939">
        <w:rPr>
          <w:sz w:val="28"/>
          <w:szCs w:val="28"/>
        </w:rPr>
        <w:t xml:space="preserve">’ </w:t>
      </w:r>
      <w:hyperlink r:id="rId13" w:anchor="optimize-minimize-newton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</w:t>
      </w:r>
      <w:r>
        <w:rPr>
          <w:sz w:val="28"/>
          <w:szCs w:val="28"/>
        </w:rPr>
        <w:t xml:space="preserve">льзованием алгоритма </w:t>
      </w:r>
      <w:proofErr w:type="spellStart"/>
      <w:r>
        <w:rPr>
          <w:sz w:val="28"/>
          <w:szCs w:val="28"/>
        </w:rPr>
        <w:t>Newton</w:t>
      </w:r>
      <w:proofErr w:type="spellEnd"/>
      <w:r>
        <w:rPr>
          <w:sz w:val="28"/>
          <w:szCs w:val="28"/>
        </w:rPr>
        <w:t>-CG.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 xml:space="preserve">Обратите внимание, что параметр </w:t>
      </w:r>
      <w:proofErr w:type="spellStart"/>
      <w:r w:rsidRPr="004C3939">
        <w:rPr>
          <w:sz w:val="28"/>
          <w:szCs w:val="28"/>
        </w:rPr>
        <w:t>jac</w:t>
      </w:r>
      <w:proofErr w:type="spellEnd"/>
      <w:r w:rsidRPr="004C3939">
        <w:rPr>
          <w:sz w:val="28"/>
          <w:szCs w:val="28"/>
        </w:rPr>
        <w:t xml:space="preserve"> (</w:t>
      </w:r>
      <w:proofErr w:type="spellStart"/>
      <w:r w:rsidRPr="004C3939">
        <w:rPr>
          <w:sz w:val="28"/>
          <w:szCs w:val="28"/>
        </w:rPr>
        <w:t>Jacobian</w:t>
      </w:r>
      <w:proofErr w:type="spellEnd"/>
      <w:r w:rsidRPr="004C3939">
        <w:rPr>
          <w:sz w:val="28"/>
          <w:szCs w:val="28"/>
        </w:rPr>
        <w:t>) обязателен.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L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</w:t>
      </w:r>
      <w:r w:rsidRPr="004C3939">
        <w:rPr>
          <w:sz w:val="28"/>
          <w:szCs w:val="28"/>
        </w:rPr>
        <w:t xml:space="preserve">’ </w:t>
      </w:r>
      <w:hyperlink r:id="rId14" w:anchor="optimize-minimize-lbfgsb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 w:rsidRPr="004C3939">
        <w:rPr>
          <w:sz w:val="28"/>
          <w:szCs w:val="28"/>
        </w:rPr>
        <w:t xml:space="preserve"> - Минимизируйте скалярную функцию одной или нескольких переменных с помощью алгоритма </w:t>
      </w:r>
      <w:r w:rsidRPr="004C3939">
        <w:rPr>
          <w:sz w:val="28"/>
          <w:szCs w:val="28"/>
          <w:lang w:val="en-US"/>
        </w:rPr>
        <w:t>L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</w:t>
      </w:r>
      <w:r w:rsidRPr="004C3939">
        <w:rPr>
          <w:sz w:val="28"/>
          <w:szCs w:val="28"/>
        </w:rPr>
        <w:t>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TNC</w:t>
      </w:r>
      <w:r w:rsidRPr="004C3939">
        <w:rPr>
          <w:sz w:val="28"/>
          <w:szCs w:val="28"/>
        </w:rPr>
        <w:t xml:space="preserve">’ </w:t>
      </w:r>
      <w:hyperlink r:id="rId15" w:anchor="optimize-minimize-tnc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переменных, используя усеченный алгоритм Ньютона (TNC).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COBYLA</w:t>
      </w:r>
      <w:r w:rsidRPr="004C3939">
        <w:rPr>
          <w:sz w:val="28"/>
          <w:szCs w:val="28"/>
        </w:rPr>
        <w:t xml:space="preserve">’ </w:t>
      </w:r>
      <w:hyperlink r:id="rId16" w:anchor="optimize-minimize-cobyla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переменных, используя алгоритм Ограниченной оптимизации с помощью линейной аппроксимации (COBYLA).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SLSQP</w:t>
      </w:r>
      <w:r w:rsidRPr="004C3939">
        <w:rPr>
          <w:sz w:val="28"/>
          <w:szCs w:val="28"/>
        </w:rPr>
        <w:t xml:space="preserve">’ </w:t>
      </w:r>
      <w:hyperlink r:id="rId17" w:anchor="optimize-minimize-slsqp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 с помощью последовательного программирования методом наименьших квадратов (SLSQP).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constr</w:t>
      </w:r>
      <w:proofErr w:type="spellEnd"/>
      <w:proofErr w:type="gramStart"/>
      <w:r w:rsidRPr="004C3939">
        <w:rPr>
          <w:sz w:val="28"/>
          <w:szCs w:val="28"/>
        </w:rPr>
        <w:t>’</w:t>
      </w:r>
      <w:hyperlink r:id="rId18" w:anchor="optimize-minimize-trustconstr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proofErr w:type="gramEnd"/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с учетом ограничений.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dogleg</w:t>
      </w:r>
      <w:r w:rsidRPr="004C3939">
        <w:rPr>
          <w:sz w:val="28"/>
          <w:szCs w:val="28"/>
        </w:rPr>
        <w:t xml:space="preserve">’ </w:t>
      </w:r>
      <w:hyperlink r:id="rId19" w:anchor="optimize-minimize-dogle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доверительной области изгиба.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ncg</w:t>
      </w:r>
      <w:proofErr w:type="spellEnd"/>
      <w:r w:rsidRPr="004C3939">
        <w:rPr>
          <w:sz w:val="28"/>
          <w:szCs w:val="28"/>
        </w:rPr>
        <w:t xml:space="preserve">’ </w:t>
      </w:r>
      <w:hyperlink r:id="rId20" w:anchor="optimize-minimize-trustn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Ньютона сопряженного градиента доверительной области.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exact</w:t>
      </w:r>
      <w:r w:rsidRPr="004C3939">
        <w:rPr>
          <w:sz w:val="28"/>
          <w:szCs w:val="28"/>
        </w:rPr>
        <w:t xml:space="preserve">’ </w:t>
      </w:r>
      <w:hyperlink r:id="rId21" w:anchor="optimize-minimize-trustexact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 xml:space="preserve">Минимизация скалярной функции одной или нескольких переменных с использованием почти точного алгоритма доверительной </w:t>
      </w:r>
      <w:r w:rsidRPr="004C3939">
        <w:rPr>
          <w:sz w:val="28"/>
          <w:szCs w:val="28"/>
        </w:rPr>
        <w:lastRenderedPageBreak/>
        <w:t>области, который требует только произведения матричных векторов с матрицей Гессе.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krylov</w:t>
      </w:r>
      <w:proofErr w:type="spellEnd"/>
      <w:r w:rsidRPr="004C3939">
        <w:rPr>
          <w:sz w:val="28"/>
          <w:szCs w:val="28"/>
        </w:rPr>
        <w:t xml:space="preserve">’ </w:t>
      </w:r>
      <w:hyperlink r:id="rId22" w:anchor="optimize-minimize-trustkrylov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 w:rsidRPr="004C3939">
        <w:rPr>
          <w:sz w:val="28"/>
          <w:szCs w:val="28"/>
        </w:rPr>
        <w:t xml:space="preserve"> - Минимизация скалярной функции одной или нескольких переменных с использованием почти точного алгоритма доверительной области.</w:t>
      </w:r>
    </w:p>
    <w:p w:rsidR="00781193" w:rsidRPr="007D28C3" w:rsidRDefault="00781193">
      <w:pPr>
        <w:rPr>
          <w:rFonts w:ascii="Times New Roman" w:hAnsi="Times New Roman" w:cs="Times New Roman"/>
          <w:sz w:val="28"/>
          <w:szCs w:val="28"/>
        </w:rPr>
      </w:pPr>
    </w:p>
    <w:p w:rsidR="008C6DC8" w:rsidRPr="007D28C3" w:rsidRDefault="008C6DC8">
      <w:pPr>
        <w:rPr>
          <w:rFonts w:ascii="Times New Roman" w:hAnsi="Times New Roman" w:cs="Times New Roman"/>
          <w:sz w:val="28"/>
          <w:szCs w:val="28"/>
        </w:rPr>
      </w:pPr>
    </w:p>
    <w:sectPr w:rsidR="008C6DC8" w:rsidRPr="007D28C3" w:rsidSect="008C6DC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0EE"/>
    <w:multiLevelType w:val="hybridMultilevel"/>
    <w:tmpl w:val="C16CB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145AC"/>
    <w:multiLevelType w:val="hybridMultilevel"/>
    <w:tmpl w:val="3CC8350A"/>
    <w:lvl w:ilvl="0" w:tplc="BC940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B6719A"/>
    <w:multiLevelType w:val="hybridMultilevel"/>
    <w:tmpl w:val="86B8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FB"/>
    <w:rsid w:val="000605DB"/>
    <w:rsid w:val="001F2E45"/>
    <w:rsid w:val="00235CDE"/>
    <w:rsid w:val="002A450D"/>
    <w:rsid w:val="00345CED"/>
    <w:rsid w:val="0041607F"/>
    <w:rsid w:val="004A4A13"/>
    <w:rsid w:val="004C3939"/>
    <w:rsid w:val="005367BF"/>
    <w:rsid w:val="00596808"/>
    <w:rsid w:val="00604021"/>
    <w:rsid w:val="00614FDF"/>
    <w:rsid w:val="00695E98"/>
    <w:rsid w:val="00781193"/>
    <w:rsid w:val="007D28C3"/>
    <w:rsid w:val="008B3B23"/>
    <w:rsid w:val="008C6DC8"/>
    <w:rsid w:val="00AA74CE"/>
    <w:rsid w:val="00B9230C"/>
    <w:rsid w:val="00BB5854"/>
    <w:rsid w:val="00BF32FB"/>
    <w:rsid w:val="00D13D87"/>
    <w:rsid w:val="00DF36EF"/>
    <w:rsid w:val="00F12051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42E8D-4ED4-480D-834F-4A318A77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4C3939"/>
  </w:style>
  <w:style w:type="character" w:styleId="a4">
    <w:name w:val="Hyperlink"/>
    <w:basedOn w:val="a0"/>
    <w:uiPriority w:val="99"/>
    <w:unhideWhenUsed/>
    <w:rsid w:val="008C6DC8"/>
    <w:rPr>
      <w:color w:val="0563C1" w:themeColor="hyperlink"/>
      <w:u w:val="single"/>
    </w:rPr>
  </w:style>
  <w:style w:type="table" w:customStyle="1" w:styleId="5">
    <w:name w:val="Сетка таблицы5"/>
    <w:basedOn w:val="a1"/>
    <w:next w:val="a5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rintekh.ru/upload/iblock/783/783d2b431d89083ed5a23289ffff0e75.pdf" TargetMode="External"/><Relationship Id="rId13" Type="http://schemas.openxmlformats.org/officeDocument/2006/relationships/hyperlink" Target="https://docs.scipy.org/doc/scipy/reference/optimize.minimize-newtoncg.html" TargetMode="External"/><Relationship Id="rId18" Type="http://schemas.openxmlformats.org/officeDocument/2006/relationships/hyperlink" Target="https://docs.scipy.org/doc/scipy/reference/optimize.minimize-trustconst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cipy.org/doc/scipy/reference/optimize.minimize-trustexact.html" TargetMode="External"/><Relationship Id="rId7" Type="http://schemas.microsoft.com/office/2007/relationships/hdphoto" Target="media/hdphoto1.wdp"/><Relationship Id="rId12" Type="http://schemas.openxmlformats.org/officeDocument/2006/relationships/hyperlink" Target="https://docs.scipy.org/doc/scipy/reference/optimize.minimize-bfgs.html" TargetMode="External"/><Relationship Id="rId17" Type="http://schemas.openxmlformats.org/officeDocument/2006/relationships/hyperlink" Target="https://docs.scipy.org/doc/scipy/reference/optimize.minimize-slsq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/reference/optimize.minimize-cobyla.html" TargetMode="External"/><Relationship Id="rId20" Type="http://schemas.openxmlformats.org/officeDocument/2006/relationships/hyperlink" Target="https://docs.scipy.org/doc/scipy/reference/optimize.minimize-trustnc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cipy.org/doc/scipy/reference/optimize.minimize-cg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abr.com/ru/post/439288/" TargetMode="External"/><Relationship Id="rId15" Type="http://schemas.openxmlformats.org/officeDocument/2006/relationships/hyperlink" Target="https://docs.scipy.org/doc/scipy/reference/optimize.minimize-tnc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scipy.org/doc/scipy/reference/optimize.minimize-powell.html" TargetMode="External"/><Relationship Id="rId19" Type="http://schemas.openxmlformats.org/officeDocument/2006/relationships/hyperlink" Target="https://docs.scipy.org/doc/scipy/reference/optimize.minimize-dogle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reference/optimize.minimize-neldermead.html" TargetMode="External"/><Relationship Id="rId14" Type="http://schemas.openxmlformats.org/officeDocument/2006/relationships/hyperlink" Target="https://docs.scipy.org/doc/scipy/reference/optimize.minimize-lbfgsb.html" TargetMode="External"/><Relationship Id="rId22" Type="http://schemas.openxmlformats.org/officeDocument/2006/relationships/hyperlink" Target="https://docs.scipy.org/doc/scipy/reference/optimize.minimize-trustkryl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6</cp:revision>
  <dcterms:created xsi:type="dcterms:W3CDTF">2023-03-21T12:20:00Z</dcterms:created>
  <dcterms:modified xsi:type="dcterms:W3CDTF">2023-03-24T15:58:00Z</dcterms:modified>
</cp:coreProperties>
</file>